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before="6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655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r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spacing w:before="6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2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r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2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800"/>
        <w:jc w:val="center"/>
      </w:pPr>
      <w:r>
        <w:rPr>
          <w:rFonts w:ascii="Cambria" w:hAnsi="Cambria"/>
          <w:b/>
          <w:i w:val="0"/>
          <w:color w:val="16233F"/>
          <w:sz w:val="60"/>
        </w:rPr>
        <w:t>BRA AMBIENTES</w:t>
      </w:r>
    </w:p>
    <w:p>
      <w:pPr>
        <w:spacing w:after="800"/>
        <w:jc w:val="center"/>
        <w:pBdr>
          <w:bottom w:val="single" w:sz="8" w:space="20" w:color="C9B77E"/>
        </w:pBdr>
      </w:pPr>
      <w:r>
        <w:rPr>
          <w:b w:val="0"/>
          <w:i w:val="0"/>
          <w:color w:val="B8912F"/>
          <w:sz w:val="18"/>
        </w:rPr>
        <w:t>G R U P O   B R T E L E C O M</w:t>
      </w:r>
    </w:p>
    <w:p>
      <w:pPr>
        <w:spacing w:after="80" w:before="600"/>
        <w:jc w:val="center"/>
      </w:pPr>
      <w:r>
        <w:rPr>
          <w:rFonts w:ascii="Cambria" w:hAnsi="Cambria"/>
          <w:b/>
          <w:i w:val="0"/>
          <w:color w:val="16233F"/>
          <w:sz w:val="34"/>
        </w:rPr>
        <w:t>CONTRATO DE COMPRA, VENDA E INSTALAÇÃO DE SISTEMA</w:t>
      </w:r>
    </w:p>
    <w:p>
      <w:pPr>
        <w:spacing w:after="1200"/>
        <w:jc w:val="center"/>
      </w:pPr>
      <w:r>
        <w:rPr>
          <w:b w:val="0"/>
          <w:i/>
          <w:color w:val="808080"/>
          <w:sz w:val="19"/>
        </w:rPr>
        <w:t>Automação Residencial · Sonorização Ambiente · Segurança Eletrônica · Rede Estruturada</w:t>
      </w:r>
    </w:p>
    <w:p>
      <w:pPr>
        <w:spacing w:after="2200"/>
        <w:jc w:val="center"/>
      </w:pPr>
      <w:r>
        <w:rPr>
          <w:b/>
          <w:i w:val="0"/>
          <w:color w:val="B8912F"/>
          <w:sz w:val="20"/>
        </w:rPr>
        <w:t>Contrato referente a unidade {unidade}</w:t>
      </w:r>
    </w:p>
    <w:p>
      <w:pPr>
        <w:spacing w:after="40"/>
        <w:jc w:val="center"/>
      </w:pPr>
      <w:r>
        <w:rPr>
          <w:b/>
          <w:i w:val="0"/>
          <w:color w:val="16233F"/>
        </w:rPr>
        <w:t xml:space="preserve">Nº do Contrato: </w:t>
      </w:r>
      <w:r>
        <w:rPr>
          <w:b/>
          <w:i/>
          <w:color w:val="B8912F"/>
        </w:rPr>
        <w:t>{numero}</w:t>
      </w:r>
    </w:p>
    <w:p>
      <w:pPr>
        <w:jc w:val="center"/>
      </w:pPr>
      <w:r>
        <w:rPr>
          <w:b/>
          <w:i w:val="0"/>
          <w:color w:val="16233F"/>
        </w:rPr>
        <w:t xml:space="preserve">Cliente: </w:t>
      </w:r>
      <w:r>
        <w:rPr>
          <w:b/>
          <w:i/>
          <w:color w:val="B8912F"/>
        </w:rPr>
        <w:t>{cliente_nome}</w:t>
      </w:r>
      <w:r>
        <w:br w:type="page"/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I. DAS PARTES</w:t>
      </w:r>
    </w:p>
    <w:p>
      <w:pPr>
        <w:jc w:val="both"/>
      </w:pPr>
      <w:r>
        <w:rPr>
          <w:b/>
          <w:i w:val="0"/>
        </w:rPr>
        <w:t xml:space="preserve">FORNECEDORA: </w:t>
      </w:r>
      <w:r>
        <w:rPr>
          <w:b w:val="0"/>
          <w:i w:val="0"/>
        </w:rPr>
        <w:t>Brtelecom Comércio e Serviços Integrados LTDA, pessoa jurídica de direito privado, sociedade empresária, inscrita sob o CNPJ 07.787.973/0001-61, com sede na Rua Nossa Senhora de Fátima, 166, Bairro Nova Paulínia, na cidade de Paulínia, Estado de São Paulo, CEP 13.140-313, doravante denominada, simplesmente, FORNECEDORA.</w:t>
      </w:r>
    </w:p>
    <w:p>
      <w:pPr>
        <w:jc w:val="both"/>
      </w:pPr>
      <w:r>
        <w:rPr>
          <w:b/>
          <w:i w:val="0"/>
        </w:rPr>
        <w:t xml:space="preserve">Representante legal: </w:t>
      </w:r>
      <w:r>
        <w:rPr>
          <w:b w:val="0"/>
          <w:i w:val="0"/>
        </w:rPr>
        <w:t>{rep_nome}, empresário, inscrito no CPF sob o nº {rep_cpf}, portador do RG nº {rep_rg}, residente e domiciliado na {rep_endereco}.</w:t>
      </w:r>
    </w:p>
    <w:p>
      <w:pPr>
        <w:spacing w:after="120"/>
        <w:jc w:val="both"/>
      </w:pPr>
      <w:r>
        <w:rPr>
          <w:b/>
          <w:i w:val="0"/>
        </w:rPr>
        <w:t>CLIENTE:</w:t>
      </w:r>
    </w:p>
    <w:p>
      <w:pPr>
        <w:spacing w:after="80"/>
        <w:jc w:val="both"/>
      </w:pPr>
      <w:r>
        <w:rPr>
          <w:b/>
          <w:i w:val="0"/>
        </w:rPr>
        <w:t xml:space="preserve">Nome completo: </w:t>
      </w:r>
      <w:r>
        <w:rPr>
          <w:b/>
          <w:i/>
          <w:color w:val="B8912F"/>
        </w:rPr>
        <w:t>{cliente_nome}</w:t>
      </w:r>
    </w:p>
    <w:p>
      <w:pPr>
        <w:spacing w:after="80"/>
        <w:jc w:val="both"/>
      </w:pPr>
      <w:r>
        <w:rPr>
          <w:b/>
          <w:i w:val="0"/>
        </w:rPr>
        <w:t xml:space="preserve">CPF/CNPJ: </w:t>
      </w:r>
      <w:r>
        <w:rPr>
          <w:b/>
          <w:i/>
          <w:color w:val="B8912F"/>
        </w:rPr>
        <w:t>{cliente_documento}</w:t>
      </w:r>
    </w:p>
    <w:p>
      <w:pPr>
        <w:jc w:val="both"/>
      </w:pPr>
      <w:r>
        <w:rPr>
          <w:b/>
          <w:i w:val="0"/>
        </w:rPr>
        <w:t xml:space="preserve">Endereço: </w:t>
      </w:r>
      <w:r>
        <w:rPr>
          <w:b/>
          <w:i/>
          <w:color w:val="B8912F"/>
        </w:rPr>
        <w:t>{cliente_endereco}</w:t>
      </w:r>
    </w:p>
    <w:p>
      <w:pPr>
        <w:jc w:val="both"/>
      </w:pPr>
      <w:r>
        <w:rPr>
          <w:b w:val="0"/>
          <w:i w:val="0"/>
        </w:rPr>
        <w:t>Doravante denominada, simplesmente, CLIENTE, quando referidas em conjunto FORNECEDORA e CLIENTE serão denominadas PARTES.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II. DO OBJETO</w:t>
      </w:r>
    </w:p>
    <w:p>
      <w:pPr>
        <w:jc w:val="both"/>
      </w:pPr>
      <w:r>
        <w:rPr>
          <w:b w:val="0"/>
          <w:i w:val="0"/>
        </w:rPr>
        <w:t>A FORNECEDORA se obriga a fornecer à CLIENTE os projetos de automação, sonorização ambiente, segurança eletrônica e rede estruturada cujas características encontram-se descritas neste instrumento e em seus anexos, doravante denominados, simplesmente, SISTEMA. A FORNECEDORA compromete-se, ainda, a elaborar o respectivo Projeto Executivo e a prestar os serviços de instalação e consultoria técnica necessários à sua implantação.</w:t>
      </w:r>
    </w:p>
    <w:p>
      <w:pPr>
        <w:keepNext/>
        <w:spacing w:before="120" w:after="60"/>
      </w:pPr>
      <w:r>
        <w:rPr>
          <w:rFonts w:ascii="Cambria" w:hAnsi="Cambria"/>
          <w:b/>
          <w:i w:val="0"/>
          <w:color w:val="16233F"/>
          <w:sz w:val="22"/>
        </w:rPr>
        <w:t>II.I. Composição do Sistema</w:t>
      </w:r>
    </w:p>
    <w:p>
      <w:pPr>
        <w:jc w:val="both"/>
      </w:pPr>
      <w:r>
        <w:rPr>
          <w:b w:val="0"/>
          <w:i w:val="0"/>
        </w:rPr>
        <w:t>O SISTEMA é composto pelos itens e quantidades especificados no(s) orçamento(s) anexo(s) a este contrato, com valores expressos em moeda corrente nacional, os quais servem de referência para a composição do preço final. Estão inclusos os serviços de instalação, configuração e os respectivos acessórios necessários à funcionalidade do SISTEMA. A proposta anexa relaciona a totalidade dos equipamentos e acessórios acordados com a CLIENTE.</w:t>
      </w:r>
    </w:p>
    <w:p>
      <w:pPr>
        <w:keepNext/>
        <w:spacing w:before="120" w:after="60"/>
      </w:pPr>
      <w:r>
        <w:rPr>
          <w:rFonts w:ascii="Cambria" w:hAnsi="Cambria"/>
          <w:b/>
          <w:i w:val="0"/>
          <w:color w:val="16233F"/>
          <w:sz w:val="22"/>
        </w:rPr>
        <w:t>II.II. Itens Não Integrantes do Sistema</w:t>
      </w:r>
    </w:p>
    <w:p>
      <w:pPr>
        <w:pStyle w:val="ListBullet"/>
        <w:ind w:left="567"/>
        <w:jc w:val="both"/>
      </w:pPr>
      <w:r>
        <w:rPr>
          <w:b w:val="0"/>
          <w:i w:val="0"/>
        </w:rPr>
        <w:t>Instalação de toda a tubulação (conduítes), fiação elétrica, caixas de parede 4x2 e/ou 4x4, fornecimento de pulsadores, tomadas e demais adequações civis e elétricas necessárias à instalação do SISTEMA.</w:t>
      </w:r>
    </w:p>
    <w:p>
      <w:pPr>
        <w:pStyle w:val="ListBullet"/>
        <w:ind w:left="567"/>
        <w:jc w:val="both"/>
      </w:pPr>
      <w:r>
        <w:rPr>
          <w:b w:val="0"/>
          <w:i w:val="0"/>
        </w:rPr>
        <w:t>Fornecimento de equipamentos ativos e passivos e acessórios que não estejam relacionados na proposta anexa e que sejam necessários à conclusão do projeto, quando não contemplados neste contrato.</w:t>
      </w:r>
    </w:p>
    <w:p>
      <w:pPr>
        <w:pStyle w:val="ListBullet"/>
        <w:ind w:left="567"/>
        <w:jc w:val="both"/>
      </w:pPr>
      <w:r>
        <w:rPr>
          <w:b w:val="0"/>
          <w:i w:val="0"/>
        </w:rPr>
        <w:t>Em situações de retrofit, eventuais cortes de acesso no gesso, bem como seu fechamento e pintura, ficam sob responsabilidade e às expensas da CLIENTE.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III. DA FORMA DE PAGAMENTO</w:t>
      </w:r>
    </w:p>
    <w:p>
      <w:pPr>
        <w:jc w:val="both"/>
      </w:pPr>
      <w:r>
        <w:rPr>
          <w:b w:val="0"/>
          <w:i w:val="0"/>
        </w:rPr>
        <w:t xml:space="preserve">O preço total de venda do SISTEMA, incluída a instalação, é de </w:t>
      </w:r>
      <w:r>
        <w:rPr>
          <w:b/>
          <w:i/>
          <w:color w:val="B8912F"/>
        </w:rPr>
        <w:t>{valor_total}</w:t>
      </w:r>
      <w:r>
        <w:rPr>
          <w:b w:val="0"/>
          <w:i w:val="0"/>
        </w:rPr>
        <w:t>, já contabilizado eventual desconto concedido durante a negociação, a ser pago pela CLIENTE conforme condições abaixo: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2948"/>
        <w:gridCol w:w="3515"/>
      </w:tblGrid>
      <w:tr>
        <w:trPr>
          <w:tblHeader w:val="true"/>
        </w:trPr>
        <w:tc>
          <w:tcPr>
            <w:tcW w:type="dxa" w:w="2948"/>
            <w:shd w:val="clear" w:color="auto" w:fill="16233F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9"/>
              </w:rPr>
              <w:t>Condição</w:t>
            </w:r>
          </w:p>
        </w:tc>
        <w:tc>
          <w:tcPr>
            <w:tcW w:type="dxa" w:w="2948"/>
            <w:shd w:val="clear" w:color="auto" w:fill="16233F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  <w:tc>
          <w:tcPr>
            <w:tcW w:type="dxa" w:w="3515"/>
            <w:shd w:val="clear" w:color="auto" w:fill="16233F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9"/>
              </w:rPr>
              <w:t>Vencimento</w:t>
            </w:r>
          </w:p>
        </w:tc>
      </w:tr>
      <w:tr>
        <w:tc>
          <w:tcPr>
            <w:tcW w:type="dxa" w:w="2948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{#condicoes}{condicao}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b/>
                <w:i/>
                <w:color w:val="B8912F"/>
                <w:sz w:val="19"/>
              </w:rPr>
              <w:t>{valor}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/>
                <w:i/>
                <w:color w:val="B8912F"/>
                <w:sz w:val="19"/>
              </w:rPr>
              <w:t>{vencimento}{/condicoes}</w:t>
            </w:r>
          </w:p>
        </w:tc>
      </w:tr>
    </w:tbl>
    <w:p>
      <w:pPr>
        <w:spacing w:before="120"/>
        <w:jc w:val="left"/>
      </w:pPr>
      <w:r>
        <w:rPr>
          <w:b w:val="0"/>
          <w:i w:val="0"/>
          <w:color w:val="B8912F"/>
        </w:rPr>
        <w:t xml:space="preserve">Forma de recebimento: </w:t>
      </w:r>
      <w:r>
        <w:rPr>
          <w:b/>
          <w:i w:val="0"/>
          <w:color w:val="B8912F"/>
        </w:rPr>
        <w:t>{forma_recebimento}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IV. DO PRAZO DE ENTREGA</w:t>
      </w:r>
    </w:p>
    <w:p>
      <w:pPr>
        <w:jc w:val="both"/>
      </w:pPr>
      <w:r>
        <w:rPr>
          <w:b w:val="0"/>
          <w:i w:val="0"/>
        </w:rPr>
        <w:t>A partir do momento em que a obra alcançar estágio de desenvolvimento que permita a devida instalação, a CLIENTE deverá solicitar, por escrito, à FORNECEDORA a instalação do SISTEMA. A FORNECEDORA acompanhará de perto o desenvolvimento da obra, procedendo à instalação dos equipamentos ao final de cada etapa concluída, e manterá a CLIENTE informada sobre as próximas etapas por meio de cronograma atualizado periodicamente.</w:t>
      </w:r>
    </w:p>
    <w:p>
      <w:pPr>
        <w:spacing w:after="80"/>
        <w:jc w:val="both"/>
      </w:pPr>
      <w:r>
        <w:rPr>
          <w:b/>
          <w:i w:val="0"/>
        </w:rPr>
        <w:t>Cronograma-base de atividades: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329"/>
        <w:gridCol w:w="3572"/>
      </w:tblGrid>
      <w:tr>
        <w:trPr>
          <w:tblHeader w:val="true"/>
        </w:trPr>
        <w:tc>
          <w:tcPr>
            <w:tcW w:type="dxa" w:w="510"/>
            <w:shd w:val="clear" w:color="auto" w:fill="16233F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5329"/>
            <w:shd w:val="clear" w:color="auto" w:fill="16233F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9"/>
              </w:rPr>
              <w:t>Etapa</w:t>
            </w:r>
          </w:p>
        </w:tc>
        <w:tc>
          <w:tcPr>
            <w:tcW w:type="dxa" w:w="3572"/>
            <w:shd w:val="clear" w:color="auto" w:fill="16233F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9"/>
              </w:rPr>
              <w:t>Prazo estimado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Elaboração de Projeto de Tubulação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5 dias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Elaboração de Projeto de Cabeamento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5 dias após o término do Projeto de Tubulação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Entrega da caixa do Quadro de Automação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15 dias após apresentação dos projetos na obra e definição do local do Quadro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Passagem do cabeamento de som ambiente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4 dias após término da instalação da tubulação e infraestrutura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Conferência da passagem de cabos de rede, pulsadores, ar-condicionado e antena Wi-Fi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2 dias após término da passagem dos cabos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6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Cortes das caixas de som do teto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3 dias após 100% da instalação da iluminação de teto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Conferência da iluminação para produção do Quadro de Automação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2 dias após 90% da instalação da iluminação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8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Instalação dos emissores de IR nos ares-condicionados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2 dias após 90% da instalação da iluminação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9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Produção do Quadro de Automação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3 dias após conferência da iluminação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10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Instalação do Quadro de Automação e montagem dos pulsadores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4 dias após conferência da iluminação e produção do Quadro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11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Instalação das caixas de som de teto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1 dia após cortes no teto e ambientes limpos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12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Instalação do rack de redes e equipamentos (câmeras, Wi-Fi, interfones, pontos de rede, amplificadores, controladora)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10 dias após conferência da iluminação; link de internet a ser contratado pela CLIENTE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13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Programação e ajustes finos dos equipamentos de automação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3 dias após instalação dos equipamentos de rede</w:t>
            </w:r>
          </w:p>
        </w:tc>
      </w:tr>
      <w:tr>
        <w:tc>
          <w:tcPr>
            <w:tcW w:type="dxa" w:w="510"/>
          </w:tcPr>
          <w:p>
            <w:pPr>
              <w:spacing w:after="20"/>
              <w:jc w:val="center"/>
            </w:pPr>
            <w:r>
              <w:rPr>
                <w:b w:val="0"/>
                <w:i w:val="0"/>
                <w:sz w:val="19"/>
              </w:rPr>
              <w:t>14</w:t>
            </w:r>
          </w:p>
        </w:tc>
        <w:tc>
          <w:tcPr>
            <w:tcW w:type="dxa" w:w="5329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Entrega e instruções de uso ao cliente</w:t>
            </w:r>
          </w:p>
        </w:tc>
        <w:tc>
          <w:tcPr>
            <w:tcW w:type="dxa" w:w="3572"/>
          </w:tcPr>
          <w:p>
            <w:pPr>
              <w:spacing w:after="20"/>
            </w:pPr>
            <w:r>
              <w:rPr>
                <w:b w:val="0"/>
                <w:i w:val="0"/>
                <w:sz w:val="19"/>
              </w:rPr>
              <w:t>1 dia após término das atividades anteriores</w:t>
            </w:r>
          </w:p>
        </w:tc>
      </w:tr>
    </w:tbl>
    <w:p>
      <w:pPr>
        <w:spacing w:before="120"/>
        <w:jc w:val="both"/>
      </w:pPr>
      <w:r>
        <w:rPr>
          <w:b w:val="0"/>
          <w:i w:val="0"/>
        </w:rPr>
        <w:t>O cronograma acima é referencial e será ajustado conforme o andamento efetivo da obra, mediante comunicação prévia à CLIENTE.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V. DA GARANTIA</w:t>
      </w:r>
    </w:p>
    <w:p>
      <w:pPr>
        <w:jc w:val="both"/>
      </w:pPr>
      <w:r>
        <w:rPr>
          <w:b w:val="0"/>
          <w:i w:val="0"/>
        </w:rPr>
        <w:t>A garantia dos equipamentos eletrônicos integrantes do SISTEMA segue o prazo estabelecido pelo respectivo fabricante, sendo de 24 (vinte e quatro) meses o prazo padrão oferecido. A FORNECEDORA é responsável pela intermediação entre o fabricante e a CLIENTE, bem como pela garantia e pelo funcionamento dos equipamentos fornecidos.</w:t>
      </w:r>
    </w:p>
    <w:p>
      <w:pPr>
        <w:jc w:val="both"/>
      </w:pPr>
      <w:r>
        <w:rPr>
          <w:b w:val="0"/>
          <w:i w:val="0"/>
        </w:rPr>
        <w:t>Estão excluídos da garantia os eventos decorrentes de ações da natureza (raios, vendavais, infiltração de água), uso de produtos de limpeza inadequados, curtos-circuitos ou manuseio e utilização incorretos do SISTEMA. A garantia será integralmente perdida caso haja intervenção técnica realizada por agente não autorizado pelo respectivo fabricante.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VII. DOS ITENS NÃO INCLUÍDOS NO PREÇO</w:t>
      </w:r>
    </w:p>
    <w:p>
      <w:pPr>
        <w:pStyle w:val="ListBullet"/>
        <w:ind w:left="567"/>
        <w:jc w:val="both"/>
      </w:pPr>
      <w:r>
        <w:rPr>
          <w:b w:val="0"/>
          <w:i w:val="0"/>
        </w:rPr>
        <w:t>Caberá exclusivamente à CLIENTE, e às suas expensas, providenciar que o local de instalação esteja devidamente preparado para receber o SISTEMA, podendo suas condições ser previamente vistoriadas pela FORNECEDORA antes do início dos serviços.</w:t>
      </w:r>
    </w:p>
    <w:p>
      <w:pPr>
        <w:pStyle w:val="ListBullet"/>
        <w:ind w:left="567"/>
        <w:jc w:val="both"/>
      </w:pPr>
      <w:r>
        <w:rPr>
          <w:b w:val="0"/>
          <w:i w:val="0"/>
        </w:rPr>
        <w:t>Equipamentos que não integrem o escopo contratado serão objeto de orçamento específico, a ser enviado à CLIENTE mediante solicitação.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VIII. DA LEI GERAL DE PROTEÇÃO DE DADOS (LGPD)</w:t>
      </w:r>
    </w:p>
    <w:p>
      <w:pPr>
        <w:ind w:left="340"/>
        <w:jc w:val="both"/>
      </w:pPr>
      <w:r>
        <w:rPr>
          <w:b/>
          <w:i w:val="0"/>
        </w:rPr>
        <w:t xml:space="preserve">a) </w:t>
      </w:r>
      <w:r>
        <w:rPr>
          <w:b w:val="0"/>
          <w:i w:val="0"/>
        </w:rPr>
        <w:t>Este contrato observa a Lei Geral de Proteção de Dados Pessoais, Lei nº 13.709/2018 ("LGPD").</w:t>
      </w:r>
    </w:p>
    <w:p>
      <w:pPr>
        <w:ind w:left="340"/>
        <w:jc w:val="both"/>
      </w:pPr>
      <w:r>
        <w:rPr>
          <w:b/>
          <w:i w:val="0"/>
        </w:rPr>
        <w:t xml:space="preserve">b) </w:t>
      </w:r>
      <w:r>
        <w:rPr>
          <w:b w:val="0"/>
          <w:i w:val="0"/>
        </w:rPr>
        <w:t>A CLIENTE, para efeitos da LGPD, é a Titular dos dados, pessoa natural a quem se referem os dados pessoais tratados.</w:t>
      </w:r>
    </w:p>
    <w:p>
      <w:pPr>
        <w:ind w:left="340"/>
        <w:jc w:val="both"/>
      </w:pPr>
      <w:r>
        <w:rPr>
          <w:b/>
          <w:i w:val="0"/>
        </w:rPr>
        <w:t xml:space="preserve">c) </w:t>
      </w:r>
      <w:r>
        <w:rPr>
          <w:b w:val="0"/>
          <w:i w:val="0"/>
        </w:rPr>
        <w:t>Os dados pessoais da CLIENTE, para efeitos da LGPD, correspondem a informações relacionadas a pessoa natural identificada neste instrumento.</w:t>
      </w:r>
    </w:p>
    <w:p>
      <w:pPr>
        <w:ind w:left="340"/>
        <w:jc w:val="both"/>
      </w:pPr>
      <w:r>
        <w:rPr>
          <w:b/>
          <w:i w:val="0"/>
        </w:rPr>
        <w:t xml:space="preserve">d) </w:t>
      </w:r>
      <w:r>
        <w:rPr>
          <w:b w:val="0"/>
          <w:i w:val="0"/>
        </w:rPr>
        <w:t>A FORNECEDORA, nos termos da LGPD, realizará o tratamento dos dados pessoais da CLIENTE, incluindo coleta, armazenamento e transmissão, conforme descrito no art. 5º, inciso X, da Lei.</w:t>
      </w:r>
    </w:p>
    <w:p>
      <w:pPr>
        <w:ind w:left="340"/>
        <w:jc w:val="both"/>
      </w:pPr>
      <w:r>
        <w:rPr>
          <w:b/>
          <w:i w:val="0"/>
        </w:rPr>
        <w:t xml:space="preserve">e) </w:t>
      </w:r>
      <w:r>
        <w:rPr>
          <w:b w:val="0"/>
          <w:i w:val="0"/>
        </w:rPr>
        <w:t>O tratamento dos dados pessoais tem finalidade legítima, restrita ao cumprimento das obrigações contratuais e ao exercício regular de direitos em processo judicial, administrativo ou arbitral, observados os princípios de adequação e transparência.</w:t>
      </w:r>
    </w:p>
    <w:p>
      <w:pPr>
        <w:ind w:left="340"/>
        <w:jc w:val="both"/>
      </w:pPr>
      <w:r>
        <w:rPr>
          <w:b/>
          <w:i w:val="0"/>
        </w:rPr>
        <w:t xml:space="preserve">f) </w:t>
      </w:r>
      <w:r>
        <w:rPr>
          <w:b w:val="0"/>
          <w:i w:val="0"/>
        </w:rPr>
        <w:t>Os dados pessoais da CLIENTE ficam armazenados em centro de dados localizado em território nacional, no endereço da FORNECEDORA.</w:t>
      </w:r>
    </w:p>
    <w:p>
      <w:pPr>
        <w:ind w:left="340"/>
        <w:jc w:val="both"/>
      </w:pPr>
      <w:r>
        <w:rPr>
          <w:b/>
          <w:i w:val="0"/>
        </w:rPr>
        <w:t xml:space="preserve">g) </w:t>
      </w:r>
      <w:r>
        <w:rPr>
          <w:b w:val="0"/>
          <w:i w:val="0"/>
        </w:rPr>
        <w:t>A FORNECEDORA garante à CLIENTE o cumprimento dos direitos do titular previstos no Capítulo III da LGPD, desde que não conflitem com obrigação legal a que esteja sujeita.</w:t>
      </w:r>
    </w:p>
    <w:p>
      <w:pPr>
        <w:ind w:left="340"/>
        <w:jc w:val="both"/>
      </w:pPr>
      <w:r>
        <w:rPr>
          <w:b/>
          <w:i w:val="0"/>
        </w:rPr>
        <w:t xml:space="preserve">h) </w:t>
      </w:r>
      <w:r>
        <w:rPr>
          <w:b w:val="0"/>
          <w:i w:val="0"/>
        </w:rPr>
        <w:t>A FORNECEDORA adotará controles e medidas de segurança da informação e governança compatíveis com as boas práticas de mercado no tratamento dos dados pessoais da titular.</w:t>
      </w:r>
    </w:p>
    <w:p>
      <w:pPr>
        <w:ind w:left="340"/>
        <w:jc w:val="both"/>
      </w:pPr>
      <w:r>
        <w:rPr>
          <w:b/>
          <w:i w:val="0"/>
        </w:rPr>
        <w:t xml:space="preserve">i) </w:t>
      </w:r>
      <w:r>
        <w:rPr>
          <w:b w:val="0"/>
          <w:i w:val="0"/>
        </w:rPr>
        <w:t>A CLIENTE autoriza a FORNECEDORA a coletar os dados pessoais necessários, por meio físico e/ou digital, ao cumprimento das obrigações contratuais e ao exercício regular de direitos em processo judicial, administrativo ou arbitral.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IX. DAS CLÁUSULAS GERAIS</w:t>
      </w:r>
    </w:p>
    <w:p>
      <w:pPr>
        <w:ind w:left="340"/>
        <w:jc w:val="both"/>
      </w:pPr>
      <w:r>
        <w:rPr>
          <w:b/>
          <w:i w:val="0"/>
        </w:rPr>
        <w:t xml:space="preserve">a) </w:t>
      </w:r>
      <w:r>
        <w:rPr>
          <w:b w:val="0"/>
          <w:i w:val="0"/>
        </w:rPr>
        <w:t>O presente contrato não poderá ser modificado ou aditado unilateralmente por qualquer das partes, em nenhuma circunstância.</w:t>
      </w:r>
    </w:p>
    <w:p>
      <w:pPr>
        <w:ind w:left="340"/>
        <w:jc w:val="both"/>
      </w:pPr>
      <w:r>
        <w:rPr>
          <w:b/>
          <w:i w:val="0"/>
        </w:rPr>
        <w:t xml:space="preserve">b) </w:t>
      </w:r>
      <w:r>
        <w:rPr>
          <w:b w:val="0"/>
          <w:i w:val="0"/>
        </w:rPr>
        <w:t>Sempre que possível, cada disposição deste contrato será interpretada de modo a ser eficaz e válida nos termos da legislação aplicável; caso uma ou mais obrigações aqui previstas venham a ser declaradas ineficazes, ilegais ou inexequíveis, tal fato não afetará a integridade, a eficácia ou a validade das demais disposições pactuadas.</w:t>
      </w:r>
    </w:p>
    <w:p>
      <w:pPr>
        <w:ind w:left="340"/>
        <w:jc w:val="both"/>
      </w:pPr>
      <w:r>
        <w:rPr>
          <w:b/>
          <w:i w:val="0"/>
        </w:rPr>
        <w:t xml:space="preserve">c) </w:t>
      </w:r>
      <w:r>
        <w:rPr>
          <w:b w:val="0"/>
          <w:i w:val="0"/>
        </w:rPr>
        <w:t>O presente contrato é ajustado de modo irretratável e irrevogável, ressalvadas as hipóteses aqui expressamente previstas, obrigando as partes e seus sucessores ao seu estrito e integral cumprimento. Eventual tolerância entre as partes quanto ao cumprimento deste contrato não constituirá novação, e a falta de exercício de qualquer direito aqui conferido não implicará renúncia, tácita ou expressa, ao direito não exercido.</w:t>
      </w:r>
    </w:p>
    <w:p>
      <w:pPr>
        <w:ind w:left="340"/>
        <w:jc w:val="both"/>
      </w:pPr>
      <w:r>
        <w:rPr>
          <w:b/>
          <w:i w:val="0"/>
        </w:rPr>
        <w:t xml:space="preserve">d) </w:t>
      </w:r>
      <w:r>
        <w:rPr>
          <w:b w:val="0"/>
          <w:i w:val="0"/>
        </w:rPr>
        <w:t>Este contrato, juntamente com os documentos e anexos nele expressamente referidos ou rubricados pelas partes, representa a integralidade do ajuste entre elas relativamente ao objeto contratado, substituindo toda e qualquer negociação, proposta, correspondência ou comunicação anterior, escrita ou verbal, relacionada ao mesmo objeto.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X. DO FORO</w:t>
      </w:r>
    </w:p>
    <w:p>
      <w:pPr>
        <w:jc w:val="both"/>
      </w:pPr>
      <w:r>
        <w:rPr>
          <w:b w:val="0"/>
          <w:i w:val="0"/>
        </w:rPr>
        <w:t>As partes elegem o foro da comarca de Paulínia, Estado de São Paulo, para dirimir quaisquer questões decorrentes deste contrato, com renúncia a qualquer outro, por mais especial ou privilegiado que seja.</w:t>
      </w:r>
    </w:p>
    <w:p>
      <w:pPr>
        <w:jc w:val="both"/>
      </w:pPr>
      <w:r>
        <w:rPr>
          <w:b w:val="0"/>
          <w:i w:val="0"/>
        </w:rPr>
        <w:t>As partes firmam o presente instrumento em 2 (duas) vias de igual teor e forma, para um só efeito, na presença das testemunhas abaixo.</w:t>
      </w:r>
    </w:p>
    <w:p>
      <w:pPr>
        <w:keepNext/>
        <w:spacing w:before="320" w:after="200"/>
        <w:pBdr>
          <w:bottom w:val="single" w:sz="8" w:space="3" w:color="C9B77E"/>
        </w:pBdr>
      </w:pPr>
      <w:r>
        <w:rPr>
          <w:rFonts w:ascii="Cambria" w:hAnsi="Cambria"/>
          <w:b/>
          <w:i w:val="0"/>
          <w:color w:val="16233F"/>
          <w:sz w:val="26"/>
        </w:rPr>
        <w:t>XI. DAS VISITAS TÉCNICAS</w:t>
      </w:r>
    </w:p>
    <w:p>
      <w:pPr>
        <w:jc w:val="both"/>
      </w:pPr>
      <w:r>
        <w:rPr>
          <w:b w:val="0"/>
          <w:i w:val="0"/>
        </w:rPr>
        <w:t xml:space="preserve">Durante o prazo de garantia de </w:t>
      </w:r>
      <w:r>
        <w:rPr>
          <w:b/>
          <w:i/>
          <w:color w:val="B8912F"/>
        </w:rPr>
        <w:t>12</w:t>
      </w:r>
      <w:r>
        <w:rPr>
          <w:b w:val="0"/>
          <w:i w:val="0"/>
        </w:rPr>
        <w:t xml:space="preserve"> meses, as visitas técnicas relacionadas a falhas de equipamentos, ajustes de programação e suporte à execução das funcionalidades do SISTEMA não terão custo adicional para a CLIENTE.</w:t>
      </w:r>
    </w:p>
    <w:p>
      <w:pPr>
        <w:keepNext/>
        <w:keepLines/>
        <w:spacing w:after="600" w:before="480"/>
        <w:jc w:val="center"/>
      </w:pPr>
      <w:r>
        <w:rPr>
          <w:b w:val="0"/>
          <w:i w:val="0"/>
        </w:rPr>
        <w:t xml:space="preserve">{cidade}, </w:t>
      </w:r>
      <w:r>
        <w:rPr>
          <w:b/>
          <w:i/>
          <w:color w:val="B8912F"/>
        </w:rPr>
        <w:t>{data}</w:t>
      </w:r>
      <w:r>
        <w:rPr>
          <w:b w:val="0"/>
          <w:i w:val="0"/>
        </w:rPr>
        <w:t>.</w:t>
      </w:r>
    </w:p>
    <w:p>
      <w:pPr>
        <w:keepNext/>
        <w:keepLines/>
        <w:spacing w:after="0" w:before="520"/>
        <w:jc w:val="center"/>
      </w:pPr>
      <w:r>
        <w:rPr>
          <w:b w:val="0"/>
          <w:i w:val="0"/>
          <w:color w:val="FFFFFF"/>
          <w:sz w:val="12"/>
        </w:rPr>
        <w:t>/ass_cliente/</w:t>
      </w:r>
    </w:p>
    <w:p>
      <w:pPr>
        <w:keepNext/>
        <w:keepLines/>
        <w:spacing w:after="40"/>
        <w:jc w:val="center"/>
      </w:pPr>
      <w:r>
        <w:rPr>
          <w:b w:val="0"/>
          <w:i w:val="0"/>
          <w:color w:val="B8912F"/>
        </w:rPr>
        <w:t>______________________________________________</w:t>
      </w:r>
    </w:p>
    <w:p>
      <w:pPr>
        <w:keepNext/>
        <w:keepLines/>
        <w:spacing w:after="0"/>
        <w:jc w:val="center"/>
      </w:pPr>
      <w:r>
        <w:rPr>
          <w:b/>
          <w:i w:val="0"/>
          <w:color w:val="B8912F"/>
          <w:sz w:val="18"/>
        </w:rPr>
        <w:t>{cliente_nome}</w:t>
      </w:r>
    </w:p>
    <w:p>
      <w:pPr>
        <w:keepNext/>
        <w:keepLines/>
        <w:spacing w:after="200"/>
        <w:jc w:val="center"/>
      </w:pPr>
      <w:r>
        <w:rPr>
          <w:b w:val="0"/>
          <w:i w:val="0"/>
          <w:color w:val="808080"/>
          <w:sz w:val="18"/>
        </w:rPr>
        <w:t xml:space="preserve">CPF/CNPJ: </w:t>
      </w:r>
      <w:r>
        <w:rPr>
          <w:b/>
          <w:i/>
          <w:color w:val="B8912F"/>
          <w:sz w:val="18"/>
        </w:rPr>
        <w:t>{cliente_documento}</w:t>
      </w:r>
    </w:p>
    <w:p>
      <w:pPr>
        <w:keepNext/>
        <w:keepLines/>
        <w:spacing w:after="0" w:before="520"/>
        <w:jc w:val="center"/>
      </w:pPr>
      <w:r>
        <w:rPr>
          <w:b w:val="0"/>
          <w:i w:val="0"/>
          <w:color w:val="FFFFFF"/>
          <w:sz w:val="12"/>
        </w:rPr>
        <w:t>/ass_rep/</w:t>
      </w:r>
    </w:p>
    <w:p>
      <w:pPr>
        <w:keepNext/>
        <w:keepLines/>
        <w:spacing w:after="40"/>
        <w:jc w:val="center"/>
      </w:pPr>
      <w:r>
        <w:rPr>
          <w:b w:val="0"/>
          <w:i w:val="0"/>
          <w:color w:val="B8912F"/>
        </w:rPr>
        <w:t>______________________________________________</w:t>
      </w:r>
    </w:p>
    <w:p>
      <w:pPr>
        <w:keepNext/>
        <w:keepLines/>
        <w:spacing w:after="0"/>
        <w:jc w:val="center"/>
      </w:pPr>
      <w:r>
        <w:rPr>
          <w:b/>
          <w:i w:val="0"/>
          <w:color w:val="16233F"/>
          <w:sz w:val="18"/>
        </w:rPr>
        <w:t>{rep_nome}</w:t>
      </w:r>
    </w:p>
    <w:p>
      <w:pPr>
        <w:keepNext/>
        <w:keepLines/>
        <w:spacing w:after="0"/>
        <w:jc w:val="center"/>
      </w:pPr>
      <w:r>
        <w:rPr>
          <w:b/>
          <w:i w:val="0"/>
          <w:color w:val="16233F"/>
          <w:sz w:val="18"/>
        </w:rPr>
        <w:t>Grupo BRTelecom | BRA Ambientes</w:t>
      </w:r>
    </w:p>
    <w:p>
      <w:pPr>
        <w:keepNext/>
        <w:keepLines/>
        <w:spacing w:after="200"/>
        <w:jc w:val="center"/>
      </w:pPr>
      <w:r>
        <w:rPr>
          <w:b w:val="0"/>
          <w:i w:val="0"/>
          <w:color w:val="808080"/>
          <w:sz w:val="18"/>
        </w:rPr>
        <w:t>CNPJ: 07.787.973/0001-61 — Fornecedora</w:t>
      </w:r>
    </w:p>
    <w:p>
      <w:pPr>
        <w:keepNext/>
        <w:keepLines/>
        <w:spacing w:after="0" w:before="520"/>
        <w:jc w:val="center"/>
      </w:pPr>
      <w:r>
        <w:rPr>
          <w:b w:val="0"/>
          <w:i w:val="0"/>
          <w:color w:val="FFFFFF"/>
          <w:sz w:val="12"/>
        </w:rPr>
        <w:t>/ass_bra/</w:t>
      </w:r>
    </w:p>
    <w:p>
      <w:pPr>
        <w:keepNext/>
        <w:keepLines/>
        <w:spacing w:after="40"/>
        <w:jc w:val="center"/>
      </w:pPr>
      <w:r>
        <w:rPr>
          <w:b w:val="0"/>
          <w:i w:val="0"/>
          <w:color w:val="B8912F"/>
        </w:rPr>
        <w:t>______________________________________________</w:t>
      </w:r>
    </w:p>
    <w:p>
      <w:pPr>
        <w:keepNext/>
        <w:keepLines/>
        <w:spacing w:after="0"/>
        <w:jc w:val="center"/>
      </w:pPr>
      <w:r>
        <w:rPr>
          <w:b/>
          <w:i w:val="0"/>
          <w:color w:val="16233F"/>
          <w:sz w:val="18"/>
        </w:rPr>
        <w:t>{bra_nome}</w:t>
      </w:r>
    </w:p>
    <w:p>
      <w:pPr>
        <w:keepNext w:val="0"/>
        <w:keepLines/>
        <w:spacing w:after="200"/>
        <w:jc w:val="center"/>
      </w:pPr>
      <w:r>
        <w:rPr>
          <w:b w:val="0"/>
          <w:i w:val="0"/>
          <w:color w:val="808080"/>
          <w:sz w:val="18"/>
        </w:rPr>
        <w:t>CPF: {bra_cpf}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247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  <w:pBdr>
        <w:top w:val="single" w:sz="6" w:space="6" w:color="C9B77E"/>
      </w:pBdr>
    </w:pPr>
    <w:r>
      <w:rPr>
        <w:b w:val="0"/>
        <w:i w:val="0"/>
        <w:color w:val="808080"/>
        <w:sz w:val="15"/>
      </w:rPr>
      <w:t>BRTELECOM COMÉRCIO E SERVIÇOS INTEGRADOS LTDA | www.grupobrtelecom.com.br | www.braambientes.com.br</w:t>
    </w:r>
  </w:p>
  <w:p>
    <w:pPr>
      <w:jc w:val="center"/>
    </w:pPr>
    <w:r>
      <w:rPr>
        <w:b w:val="0"/>
        <w:i w:val="0"/>
        <w:color w:val="808080"/>
        <w:sz w:val="15"/>
      </w:rPr>
      <w:t xml:space="preserve">Página </w:t>
    </w:r>
    <w:r>
      <w:rPr>
        <w:color w:val="8080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b w:val="0"/>
        <w:i w:val="0"/>
        <w:color w:val="808080"/>
        <w:sz w:val="15"/>
      </w:rPr>
      <w:t xml:space="preserve"> de </w:t>
    </w:r>
    <w:r>
      <w:rPr>
        <w:color w:val="8080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411" w:val="right"/>
      </w:tabs>
      <w:pBdr>
        <w:bottom w:val="single" w:sz="6" w:space="6" w:color="C9B77E"/>
      </w:pBdr>
    </w:pPr>
    <w:r>
      <w:rPr>
        <w:rFonts w:ascii="Cambria" w:hAnsi="Cambria"/>
        <w:b/>
        <w:i w:val="0"/>
        <w:color w:val="16233F"/>
        <w:sz w:val="18"/>
      </w:rPr>
      <w:t>BRA AMBIENTES</w:t>
    </w:r>
    <w:r>
      <w:rPr>
        <w:b w:val="0"/>
        <w:i w:val="0"/>
        <w:color w:val="808080"/>
        <w:sz w:val="16"/>
      </w:rPr>
      <w:tab/>
      <w:t>Contrato {numero}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Calibri" w:hAnsi="Calibri" w:eastAsia="Calibri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compra, venda e instalação de sistema — BRA Ambientes</dc:title>
  <dc:subject/>
  <dc:creator>Núcleo BRA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