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AI vs. Human Task Delineation (Round 2 Iteration)</w:t>
      </w:r>
      <w:r w:rsidDel="00000000" w:rsidR="00000000" w:rsidRPr="00000000">
        <w:rPr>
          <w:rtl w:val="0"/>
        </w:rPr>
        <w:t xml:space="preserve"> In accordance with ARIA's requirement for clear and unambiguous acknowledgment of human assistance within the AI-driven scientific workflow, the following delineates the specific roles performed by domain experts versus autonomous AI agents during the Round 2 closed-loop iteration: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Domain Expert Action (Knowledge Curation &amp; Goal Parameterization):</w:t>
      </w:r>
      <w:r w:rsidDel="00000000" w:rsidR="00000000" w:rsidRPr="00000000">
        <w:rPr>
          <w:rtl w:val="0"/>
        </w:rPr>
        <w:t xml:space="preserve"> Domain experts updated the platform's semantic knowledge base by adding an additional peer-reviewed paper to the core literature corpus (Bernard-Lapeyre et al., 2026). Domain experts also provided internal b.next documentation, specifically the June 30, 2025 meeting notes and a foundational PURE system presentation. To ensure continuous longitudinal context, domain experts uploaded the AI-generated draft reports from Round 0 and Round 1. Finally, domain experts explicitly set the optimization goals and defined the physical boundary limits for the upcoming generative search space.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AI Action (Modeling &amp; Experimental Design):</w:t>
      </w:r>
      <w:r w:rsidDel="00000000" w:rsidR="00000000" w:rsidRPr="00000000">
        <w:rPr>
          <w:rtl w:val="0"/>
        </w:rPr>
        <w:t xml:space="preserve"> The IGOR platform's Bayesian optimization engine autonomously trained an updated surrogate model using the aggregated empirical datasets from previous rounds. Navigating the highly constrained design space, the AI generated a novel batch of Generative Experimental Suggestions (GESs) and output them for human review.</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AI Action (Mechanistic Insight &amp; Hypothesis Generation):</w:t>
      </w:r>
      <w:r w:rsidDel="00000000" w:rsidR="00000000" w:rsidRPr="00000000">
        <w:rPr>
          <w:rtl w:val="0"/>
        </w:rPr>
        <w:t xml:space="preserve"> Operating autonomously, IGOR synthesized the empirical data and semantic context to generate advanced mechanistic understandings and testable hypotheses. Specifically, the AI identified a categorical performance deficit and proposed ideas explaining why automated assembly via the Labcraft liquid handler systematically results in lower yields compared to other machines. Leveraging these insights, the AI suggested specific GES formulations computationally predicted to overcome these categorical handicaps and achieve exceptionally high yields.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Domain Expert Action (Workflow Translation &amp; Execution):</w:t>
      </w:r>
      <w:r w:rsidDel="00000000" w:rsidR="00000000" w:rsidRPr="00000000">
        <w:rPr>
          <w:rtl w:val="0"/>
        </w:rPr>
        <w:t xml:space="preserve"> [Pending] At the time of this report, the physical execution of the Round 2 iteration remains pending. The workflow is paused awaiting a human domain expert to map the AI-generated GESs to the robotic liquid handler, oversee the physical reactions in the laboratory, and collect the resulting ground-truth fluorescence data.</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