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lineRule="auto"/>
        <w:ind w:left="3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optimization of protein yield in the PURE system relies on a complex, non-linear interplay within its core energy and catalysis subsystem, rather than the isolated maximization of individual components. Achieving peak performance requires precisely balancing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Creatine Phosphate</w:t>
      </w:r>
      <w:r w:rsidDel="00000000" w:rsidR="00000000" w:rsidRPr="00000000">
        <w:rPr>
          <w:color w:val="1f1f1f"/>
          <w:rtl w:val="0"/>
        </w:rPr>
        <w:t xml:space="preserve"> ($\text{CP}$),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ATP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GTP</w:t>
      </w:r>
      <w:r w:rsidDel="00000000" w:rsidR="00000000" w:rsidRPr="00000000">
        <w:rPr>
          <w:color w:val="1f1f1f"/>
          <w:rtl w:val="0"/>
        </w:rPr>
        <w:t xml:space="preserve"> to maintain a homeostatic pool of free, bio-available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Magnesium</w:t>
      </w:r>
      <w:r w:rsidDel="00000000" w:rsidR="00000000" w:rsidRPr="00000000">
        <w:rPr>
          <w:color w:val="1f1f1f"/>
          <w:rtl w:val="0"/>
        </w:rPr>
        <w:t xml:space="preserve"> ($\text{Mg}^{2+}$) without inducing precipitation from inorganic phosphate ($\text{P}_i$). To validate these multi-dimensional interactions, an upcoming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$96$-condition combinatorial experiment</w:t>
      </w:r>
      <w:r w:rsidDel="00000000" w:rsidR="00000000" w:rsidRPr="00000000">
        <w:rPr>
          <w:color w:val="1f1f1f"/>
          <w:rtl w:val="0"/>
        </w:rPr>
        <w:t xml:space="preserve"> will map the operational boundaries to determine if the system is governed by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kinetic flux balance</w:t>
      </w:r>
      <w:r w:rsidDel="00000000" w:rsidR="00000000" w:rsidRPr="00000000">
        <w:rPr>
          <w:color w:val="1f1f1f"/>
          <w:rtl w:val="0"/>
        </w:rPr>
        <w:t xml:space="preserve"> or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hydrotropically-stabilized phase boundary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emkcfo2wlhg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Literature Review &amp; Core Findings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qj36xx6m82x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Biochemical Constraints &amp; Key Interactions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Optimizing the PURE system requires managing several competitive biochemical interactions where essential components can act as severe inhibitors if not properly balanced.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4695"/>
        <w:gridCol w:w="1680"/>
        <w:tblGridChange w:id="0">
          <w:tblGrid>
            <w:gridCol w:w="2430"/>
            <w:gridCol w:w="4695"/>
            <w:gridCol w:w="1680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Mechanistic Role &amp; Inhibitory Effects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Relevant Literature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Magnesium</w:t>
            </w:r>
            <w:r w:rsidDel="00000000" w:rsidR="00000000" w:rsidRPr="00000000">
              <w:rPr>
                <w:color w:val="1f1f1f"/>
                <w:rtl w:val="0"/>
              </w:rPr>
              <w:t xml:space="preserve"> ($\text{Mg}^{2+}$)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Critical cofactor for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ATP</w:t>
            </w:r>
            <w:r w:rsidDel="00000000" w:rsidR="00000000" w:rsidRPr="00000000">
              <w:rPr>
                <w:color w:val="1f1f1f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Creatine Kinase</w:t>
            </w:r>
            <w:r w:rsidDel="00000000" w:rsidR="00000000" w:rsidRPr="00000000">
              <w:rPr>
                <w:color w:val="1f1f1f"/>
                <w:rtl w:val="0"/>
              </w:rPr>
              <w:t xml:space="preserve">. Optimal levels strictly depend on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ATP</w:t>
            </w:r>
            <w:r w:rsidDel="00000000" w:rsidR="00000000" w:rsidRPr="00000000">
              <w:rPr>
                <w:color w:val="1f1f1f"/>
                <w:rtl w:val="0"/>
              </w:rPr>
              <w:t xml:space="preserve"> and $\text{P}_i$ concentrations due to heavy chelation and precipitation risks.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Li et al., 2017; Li et al., 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Creatine Phosphate</w:t>
            </w:r>
            <w:r w:rsidDel="00000000" w:rsidR="00000000" w:rsidRPr="00000000">
              <w:rPr>
                <w:color w:val="1f1f1f"/>
                <w:rtl w:val="0"/>
              </w:rPr>
              <w:t xml:space="preserve"> ($\text{CP}$)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Synergistically regenerates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ATP</w:t>
            </w:r>
            <w:r w:rsidDel="00000000" w:rsidR="00000000" w:rsidRPr="00000000">
              <w:rPr>
                <w:color w:val="1f1f1f"/>
                <w:rtl w:val="0"/>
              </w:rPr>
              <w:t xml:space="preserve"> but generates inhibitory $\text{P}_i$ as a byproduct, which sequesters free $\text{Mg}^{2+}$ and can stall protein synthesis.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Kim &amp; Choi, 2007; Schoborg et al., 2014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Adenosine Triphosphate</w:t>
            </w:r>
            <w:r w:rsidDel="00000000" w:rsidR="00000000" w:rsidRPr="00000000">
              <w:rPr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ATP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Primary energy source. Excessive levels act as a strong chelator, stripping the system of the active $\text{Mg-ATP}$ complex and free $\text{Mg}^{2+}$.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Pontes et al., 2015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Guanosine Triphosphate</w:t>
            </w:r>
            <w:r w:rsidDel="00000000" w:rsidR="00000000" w:rsidRPr="00000000">
              <w:rPr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GTP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Drives the mechanical translocation of the ribosome via elongation factors (e.g.,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EF-G</w:t>
            </w:r>
            <w:r w:rsidDel="00000000" w:rsidR="00000000" w:rsidRPr="00000000">
              <w:rPr>
                <w:color w:val="1f1f1f"/>
                <w:rtl w:val="0"/>
              </w:rPr>
              <w:t xml:space="preserve">). Cannot be substituted by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ATP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Joseph, 2003; Wilden et al., 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Transfer RNA</w:t>
            </w:r>
            <w:r w:rsidDel="00000000" w:rsidR="00000000" w:rsidRPr="00000000">
              <w:rPr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tRNA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Mismatches between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tRNA</w:t>
            </w:r>
            <w:r w:rsidDel="00000000" w:rsidR="00000000" w:rsidRPr="00000000">
              <w:rPr>
                <w:color w:val="1f1f1f"/>
                <w:rtl w:val="0"/>
              </w:rPr>
              <w:t xml:space="preserve"> availability and target codon usage cause significant translation bottlenecks, altering overall fractional yield.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Chen et al., 2025; Schoborg et al., 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vi2r48p4vi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Identified Knowledge Gaps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move beyond trial-and-error optimization, several empirical gaps must be addressed:</w:t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6600"/>
        <w:tblGridChange w:id="0">
          <w:tblGrid>
            <w:gridCol w:w="2220"/>
            <w:gridCol w:w="66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Knowledge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Multi-Dimensional Modeling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quantitative model describing the three-way stoichiometric interaction between $\text{Mg}^{2+}$,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</w:t>
            </w:r>
            <w:r w:rsidDel="00000000" w:rsidR="00000000" w:rsidRPr="00000000">
              <w:rPr>
                <w:color w:val="1f1f1f"/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ATP</w:t>
            </w:r>
            <w:r w:rsidDel="00000000" w:rsidR="00000000" w:rsidRPr="00000000">
              <w:rPr>
                <w:color w:val="1f1f1f"/>
                <w:rtl w:val="0"/>
              </w:rPr>
              <w:t xml:space="preserve"> to predict optimal yield ratios is lacking.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Precipitation Thresholds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Specific concentration limits where $\text{P}_i$ precipitation actively inhibits reactions under varying initial $\text{Mg}^{2+}$ levels remain unmapped.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Nucleotide Ratios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optimal ratio balancing bulk energy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ATP</w:t>
            </w:r>
            <w:r w:rsidDel="00000000" w:rsidR="00000000" w:rsidRPr="00000000">
              <w:rPr>
                <w:color w:val="1f1f1f"/>
                <w:rtl w:val="0"/>
              </w:rPr>
              <w:t xml:space="preserve">) versus specific mechanical translocation action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GTP</w:t>
            </w:r>
            <w:r w:rsidDel="00000000" w:rsidR="00000000" w:rsidRPr="00000000">
              <w:rPr>
                <w:color w:val="1f1f1f"/>
                <w:rtl w:val="0"/>
              </w:rPr>
              <w:t xml:space="preserve">) is poorly understood.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Protein-Specific Shifts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How optimal component concentrations adapt for target proteins with differing sizes, stabilities, and codon biases has not been systematically investigated.</w:t>
            </w:r>
          </w:p>
        </w:tc>
      </w:tr>
    </w:tbl>
    <w:p w:rsidR="00000000" w:rsidDel="00000000" w:rsidP="00000000" w:rsidRDefault="00000000" w:rsidRPr="00000000" w14:paraId="0000002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0703sg2ddi9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Hypothesis Generation &amp; Evolution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s4bnymi3pvn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Top-Ranked Mechanistic Models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During the meta-review process, univariate optimization models were deprioritized. The two most robust hypotheses propose that maximal yield occurs along a non-linear, multi-dimensional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performance ridge</w:t>
      </w:r>
      <w:r w:rsidDel="00000000" w:rsidR="00000000" w:rsidRPr="00000000">
        <w:rPr>
          <w:color w:val="1f1f1f"/>
          <w:rtl w:val="0"/>
        </w:rPr>
        <w:t xml:space="preserve">.</w:t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2040"/>
        <w:gridCol w:w="2100"/>
        <w:gridCol w:w="1785"/>
        <w:tblGridChange w:id="0">
          <w:tblGrid>
            <w:gridCol w:w="2835"/>
            <w:gridCol w:w="2040"/>
            <w:gridCol w:w="2100"/>
            <w:gridCol w:w="178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Core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Regulated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Failure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Kinetic Flux Balance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(Architect_1_evolved)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dynamic, rate-based equilibrium where the rate of $\text{Mg}^{2+}$-dependent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ATP</w:t>
            </w:r>
            <w:r w:rsidDel="00000000" w:rsidR="00000000" w:rsidRPr="00000000">
              <w:rPr>
                <w:color w:val="1f1f1f"/>
                <w:rtl w:val="0"/>
              </w:rPr>
              <w:t xml:space="preserve"> regeneration precisely matches $\text{Mg-ATP}$ consumption.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Free $\text{Mg}^{2+}$</w:t>
            </w:r>
            <w:r w:rsidDel="00000000" w:rsidR="00000000" w:rsidRPr="00000000">
              <w:rPr>
                <w:color w:val="1f1f1f"/>
                <w:rtl w:val="0"/>
              </w:rPr>
              <w:t xml:space="preserve"> acting as a homeostatically buffered variable.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Kinetic Mismatch:</w:t>
            </w:r>
            <w:r w:rsidDel="00000000" w:rsidR="00000000" w:rsidRPr="00000000">
              <w:rPr>
                <w:color w:val="1f1f1f"/>
                <w:rtl w:val="0"/>
              </w:rPr>
              <w:t xml:space="preserve"> Rapid $\text{P}_i$ accumulation (regeneration outpaces consumption) or energy depletion.</w:t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Phase Boundary Optimization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(Quant_Explorer_hybrid)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system operates as a near-saturated solution. Optimal yield occurs exactly at a hydrotropically-stabilized phase boundary, just before precipitation.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NTPs</w:t>
            </w:r>
            <w:r w:rsidDel="00000000" w:rsidR="00000000" w:rsidRPr="00000000">
              <w:rPr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ATP</w:t>
            </w:r>
            <w:r w:rsidDel="00000000" w:rsidR="00000000" w:rsidRPr="00000000">
              <w:rPr>
                <w:color w:val="1f1f1f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GTP</w:t>
            </w:r>
            <w:r w:rsidDel="00000000" w:rsidR="00000000" w:rsidRPr="00000000">
              <w:rPr>
                <w:color w:val="1f1f1f"/>
                <w:rtl w:val="0"/>
              </w:rPr>
              <w:t xml:space="preserve">) acting dually as energy currency and chemical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hydrotropes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Phase Transition Collapse:</w:t>
            </w:r>
            <w:r w:rsidDel="00000000" w:rsidR="00000000" w:rsidRPr="00000000">
              <w:rPr>
                <w:color w:val="1f1f1f"/>
                <w:rtl w:val="0"/>
              </w:rPr>
              <w:t xml:space="preserve"> Loss of hydrotropic stabilization or fatal $\text{Mg}^{2+}$ chelation triggers systemic precipitation.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3tlnc2tcqy7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Discarded Models (Dead Ends)</w:t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3255"/>
        <w:gridCol w:w="3645"/>
        <w:tblGridChange w:id="0">
          <w:tblGrid>
            <w:gridCol w:w="1890"/>
            <w:gridCol w:w="3255"/>
            <w:gridCol w:w="364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Hypothesis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Core Premise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Reason for Elimination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Codon-Modulated Metabolic Optima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Sequence-specific resource demands fundamentally alter optimal $\text{Mg}^{2+}$ buffer requirements.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Focuses heavily on secondary phenomena and lacks a parsimonious explanation for the primary bimodal performance ridges observed in baseline empirical data.</w:t>
            </w:r>
          </w:p>
        </w:tc>
      </w:tr>
    </w:tbl>
    <w:p w:rsidR="00000000" w:rsidDel="00000000" w:rsidP="00000000" w:rsidRDefault="00000000" w:rsidRPr="00000000" w14:paraId="0000003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im47uq5zwn7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Experimental Strategy &amp; Methodology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6095r4hrdo9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Multivariate Design Space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Sobol sequence sampling strategy</w:t>
      </w:r>
      <w:r w:rsidDel="00000000" w:rsidR="00000000" w:rsidRPr="00000000">
        <w:rPr>
          <w:color w:val="1f1f1f"/>
          <w:rtl w:val="0"/>
        </w:rPr>
        <w:t xml:space="preserve"> will be utilized to generate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$96$ unique conditions</w:t>
      </w:r>
      <w:r w:rsidDel="00000000" w:rsidR="00000000" w:rsidRPr="00000000">
        <w:rPr>
          <w:color w:val="1f1f1f"/>
          <w:rtl w:val="0"/>
        </w:rPr>
        <w:t xml:space="preserve">. This effectively maps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$4$-dimensional design space</w:t>
      </w:r>
      <w:r w:rsidDel="00000000" w:rsidR="00000000" w:rsidRPr="00000000">
        <w:rPr>
          <w:color w:val="1f1f1f"/>
          <w:rtl w:val="0"/>
        </w:rPr>
        <w:t xml:space="preserve"> without the blind spots characteristic of One-Factor-at-a-Time (OFAT) testing. All other components will be held at baseline levels.</w:t>
      </w:r>
    </w:p>
    <w:tbl>
      <w:tblPr>
        <w:tblStyle w:val="Table5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100"/>
        <w:gridCol w:w="1995"/>
        <w:gridCol w:w="2865"/>
        <w:tblGridChange w:id="0">
          <w:tblGrid>
            <w:gridCol w:w="1800"/>
            <w:gridCol w:w="2100"/>
            <w:gridCol w:w="1995"/>
            <w:gridCol w:w="286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Target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Concentration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Experimental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Magnesium Acetate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$[\text{Mg}^{2+}]$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$4.0 \text{ mM} - 25.0 \text{ mM}$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Primary catalytic cofactor; target of chelation/precipitation.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Creatine Phosphate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$[\text{CP}]$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$10.0 \text{ mM} - 60.0 \text{ mM}$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Driver of energy regeneration and main source of inhibitory $\text{P}_i$.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Adenosine Triphosphate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$[\text{ATP}]$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$1.0 \text{ mM} - 3.7 \text{ mM}$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Bulk energy currency, primary $\text{Mg}^{2+}$ chelator, and potential hydrotrope.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Guanosine Triphosphate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$[\text{GTP}]$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$1.0 \text{ mM} - 3.3 \text{ mM}$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Mechanical translocation driver and potential hydrotrope.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i1yd0ib1d7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Execution Protocol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Stock Preparation:</w:t>
      </w:r>
      <w:r w:rsidDel="00000000" w:rsidR="00000000" w:rsidRPr="00000000">
        <w:rPr>
          <w:color w:val="1f1f1f"/>
          <w:rtl w:val="0"/>
        </w:rPr>
        <w:t xml:space="preserve"> Prepare highly calibrated, concentrated stock solutions for $[\text{Mg}^{2+}]$, $[\text{CP}]$, $[\text{ATP}]$, and $[\text{GTP}]$.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Master Mix Formulation:</w:t>
      </w:r>
      <w:r w:rsidDel="00000000" w:rsidR="00000000" w:rsidRPr="00000000">
        <w:rPr>
          <w:color w:val="1f1f1f"/>
          <w:rtl w:val="0"/>
        </w:rPr>
        <w:t xml:space="preserve"> Create a baseline master mix containing all constant PURE components, leaving exact volumetric headroom.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Combinatorial Plating:</w:t>
      </w:r>
      <w:r w:rsidDel="00000000" w:rsidR="00000000" w:rsidRPr="00000000">
        <w:rPr>
          <w:color w:val="1f1f1f"/>
          <w:rtl w:val="0"/>
        </w:rPr>
        <w:t xml:space="preserve"> Use an automated liquid handler to dispense precise volumes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$96$-well plate</w:t>
      </w:r>
      <w:r w:rsidDel="00000000" w:rsidR="00000000" w:rsidRPr="00000000">
        <w:rPr>
          <w:color w:val="1f1f1f"/>
          <w:rtl w:val="0"/>
        </w:rPr>
        <w:t xml:space="preserve"> dictated by the Sobol sequence.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Reaction Incubation:</w:t>
      </w:r>
      <w:r w:rsidDel="00000000" w:rsidR="00000000" w:rsidRPr="00000000">
        <w:rPr>
          <w:color w:val="1f1f1f"/>
          <w:rtl w:val="0"/>
        </w:rPr>
        <w:t xml:space="preserve"> Initiate reactions by adding a standard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GFP DNA template</w:t>
      </w:r>
      <w:r w:rsidDel="00000000" w:rsidR="00000000" w:rsidRPr="00000000">
        <w:rPr>
          <w:color w:val="1f1f1f"/>
          <w:rtl w:val="0"/>
        </w:rPr>
        <w:t xml:space="preserve"> and incubate in a temperature-controlled plate reader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$37^\circ\text{C}$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Acquisition:</w:t>
      </w:r>
      <w:r w:rsidDel="00000000" w:rsidR="00000000" w:rsidRPr="00000000">
        <w:rPr>
          <w:color w:val="1f1f1f"/>
          <w:rtl w:val="0"/>
        </w:rPr>
        <w:t xml:space="preserve"> Monitor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GFP fluorescence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$90^\circ$ light scattering</w:t>
      </w:r>
      <w:r w:rsidDel="00000000" w:rsidR="00000000" w:rsidRPr="00000000">
        <w:rPr>
          <w:color w:val="1f1f1f"/>
          <w:rtl w:val="0"/>
        </w:rPr>
        <w:t xml:space="preserve"> kinetically over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$4$-hour period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3178bma60kh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Optimization Metrics</w:t>
      </w:r>
    </w:p>
    <w:tbl>
      <w:tblPr>
        <w:tblStyle w:val="Table6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3000"/>
        <w:gridCol w:w="1620"/>
        <w:gridCol w:w="2220"/>
        <w:tblGridChange w:id="0">
          <w:tblGrid>
            <w:gridCol w:w="1905"/>
            <w:gridCol w:w="3000"/>
            <w:gridCol w:w="1620"/>
            <w:gridCol w:w="2220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Metric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Target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Hypothesis Evaluated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Analytical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(Yield)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$sigmoid\_steady\_state$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Overall Viability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Generates a 4D response surface map to visualize the peak operational ridge.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Secondary (Kinetics)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$sigmoid\_rate \ (\text{h}^{-1})$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Kinetic Flux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Validates kinetic alignment; significantly suboptimal rates indicate a "kinetic mismatch."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Tertiary (Precipitation)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$90^\circ \text{ Light Scattering}$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Phase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Tracks sharp scattering increases correlated with yield collapse to flag the precipitation edge.</w:t>
            </w:r>
          </w:p>
        </w:tc>
      </w:tr>
    </w:tbl>
    <w:p w:rsidR="00000000" w:rsidDel="00000000" w:rsidP="00000000" w:rsidRDefault="00000000" w:rsidRPr="00000000" w14:paraId="0000006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dghe14qbrb2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Meta-Review Analysis &amp; Strategic Implications</w:t>
      </w:r>
    </w:p>
    <w:tbl>
      <w:tblPr>
        <w:tblStyle w:val="Table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6750"/>
        <w:tblGridChange w:id="0">
          <w:tblGrid>
            <w:gridCol w:w="2070"/>
            <w:gridCol w:w="675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Strategic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Observation &amp; Directive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Modeling Strengths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most successful hypotheses provide direct, mechanistic explanations for complex, non-linear empirical observations (e.g., bimodal performance ridges).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Optimization Paradigm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Future iterations must focus on quantifiable stoichiometric ratios and multi-dimensional interactions of core components, eschewing isolated single-factor tuning.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Parsimony &amp; Unification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Proposed mechanisms must successfully unify well-established biochemical principles (e.g.,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ATP</w:t>
            </w:r>
            <w:r w:rsidDel="00000000" w:rsidR="00000000" w:rsidRPr="00000000">
              <w:rPr>
                <w:color w:val="1f1f1f"/>
                <w:rtl w:val="0"/>
              </w:rPr>
              <w:t xml:space="preserve"> chelation and $\text{P}_i$ precipitation) into a cohesive, testable framework.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Data-Driven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resulting 4D empirical dataset will be fed directly back into the AI surrogate model, continuously refining its predictive accuracy to steer algorithmic optimization.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