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1f1f1f"/>
          <w:sz w:val="22"/>
          <w:szCs w:val="22"/>
        </w:rPr>
      </w:pPr>
      <w:bookmarkStart w:colFirst="0" w:colLast="0" w:name="_gzb3ipadxmzl" w:id="0"/>
      <w:bookmarkEnd w:id="0"/>
      <w:r w:rsidDel="00000000" w:rsidR="00000000" w:rsidRPr="00000000">
        <w:rPr>
          <w:b w:val="1"/>
          <w:bCs w:val="1"/>
          <w:color w:val="1f1f1f"/>
          <w:sz w:val="22"/>
          <w:szCs w:val="22"/>
          <w:rtl w:val="0"/>
        </w:rPr>
        <w:t xml:space="preserve">AI vs. Human Task Delineation (Round 1 Iteration)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gzb3ipadxmzl" w:id="0"/>
      <w:bookmarkEnd w:id="0"/>
      <w:r w:rsidDel="00000000" w:rsidR="00000000" w:rsidRPr="00000000">
        <w:rPr>
          <w:color w:val="1f1f1f"/>
          <w:sz w:val="22"/>
          <w:szCs w:val="22"/>
          <w:rtl w:val="0"/>
        </w:rPr>
        <w:t xml:space="preserve">In accordance with ARIA's requirement for clear and unambiguous acknowledgment of human assistance within the AI-driven scientific workflow, the following delineates the specific roles performed by domain experts versus autonomous AI agents during the Round 1 closed-loop iteration: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gzb3ipadxmzl" w:id="0"/>
      <w:bookmarkEnd w:id="0"/>
      <w:r w:rsidDel="00000000" w:rsidR="00000000" w:rsidRPr="00000000">
        <w:rPr>
          <w:b w:val="1"/>
          <w:bCs w:val="1"/>
          <w:color w:val="1f1f1f"/>
          <w:sz w:val="22"/>
          <w:szCs w:val="22"/>
          <w:rtl w:val="0"/>
        </w:rPr>
        <w:t xml:space="preserve">Domain Expert Action (Feature Expansion &amp; Prior Definition):</w:t>
      </w:r>
      <w:r w:rsidDel="00000000" w:rsidR="00000000" w:rsidRPr="00000000">
        <w:rPr>
          <w:color w:val="1f1f1f"/>
          <w:sz w:val="22"/>
          <w:szCs w:val="22"/>
          <w:rtl w:val="0"/>
        </w:rPr>
        <w:t xml:space="preserve"> Domain experts curated the empirical results from Round 0 and aggregated them with the historical data. To push the platform's boundaries, humans expanded the search space from three to seven factors (adding GTP, ATP, amino acids, and tRNAs). Because Bayesian optimization fundamentally requires priors for previously unexplored, zero-variance columns, FWM and b.next domain experts collaborated to manually implement an initial sampling strategy for these new features, utilizing a normal distribution centered on baseline values with an expert-informed standard deviation.</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gzb3ipadxmzl" w:id="0"/>
      <w:bookmarkEnd w:id="0"/>
      <w:r w:rsidDel="00000000" w:rsidR="00000000" w:rsidRPr="00000000">
        <w:rPr>
          <w:b w:val="1"/>
          <w:bCs w:val="1"/>
          <w:color w:val="1f1f1f"/>
          <w:sz w:val="22"/>
          <w:szCs w:val="22"/>
          <w:rtl w:val="0"/>
        </w:rPr>
        <w:t xml:space="preserve">AI Action (Modeling, Outlier Detection &amp; Experimental Design):</w:t>
      </w:r>
      <w:r w:rsidDel="00000000" w:rsidR="00000000" w:rsidRPr="00000000">
        <w:rPr>
          <w:color w:val="1f1f1f"/>
          <w:sz w:val="22"/>
          <w:szCs w:val="22"/>
          <w:rtl w:val="0"/>
        </w:rPr>
        <w:t xml:space="preserve"> The IGOR platform's Bayesian optimization engine ingested the updated dataset and autonomously trained its surrogate model. The AI effectively eliminated the need for expensive physical replicates. It then navigated the newly expanded 7-factor design space to generate a batch of Generated Experimental Suggestions (GESs).</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gzb3ipadxmzl" w:id="0"/>
      <w:bookmarkEnd w:id="0"/>
      <w:r w:rsidDel="00000000" w:rsidR="00000000" w:rsidRPr="00000000">
        <w:rPr>
          <w:b w:val="1"/>
          <w:bCs w:val="1"/>
          <w:color w:val="1f1f1f"/>
          <w:sz w:val="22"/>
          <w:szCs w:val="22"/>
          <w:rtl w:val="0"/>
        </w:rPr>
        <w:t xml:space="preserve">Domain Expert Action (Physical Constraints &amp; Workflow Execution):</w:t>
      </w:r>
      <w:r w:rsidDel="00000000" w:rsidR="00000000" w:rsidRPr="00000000">
        <w:rPr>
          <w:color w:val="1f1f1f"/>
          <w:sz w:val="22"/>
          <w:szCs w:val="22"/>
          <w:rtl w:val="0"/>
        </w:rPr>
        <w:t xml:space="preserve"> Before executing the AI recommendations, domain experts explicitly defined hardware and formulation boundaries. This included manually capping Creatine Phosphate at 60.0 mM and amino acids at 0.4 mM to fit physical well volumes, and increasing the total reaction volume to 10 $\mu$L. The domain expert overridden the GESs and made DNA, Pmix, and Ribosome concentrations to remain constant. The domain expert then mapped the AI's 7-factor GES matrix to the LabCraft liquid handler, which physically executed the high-throughput combinatorial titration under human supervision.</w:t>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gzb3ipadxmzl" w:id="0"/>
      <w:bookmarkEnd w:id="0"/>
      <w:r w:rsidDel="00000000" w:rsidR="00000000" w:rsidRPr="00000000">
        <w:rPr>
          <w:b w:val="1"/>
          <w:bCs w:val="1"/>
          <w:color w:val="1f1f1f"/>
          <w:sz w:val="22"/>
          <w:szCs w:val="22"/>
          <w:rtl w:val="0"/>
        </w:rPr>
        <w:t xml:space="preserve">Domain Expert Action (Metrology &amp; Data Formatting):</w:t>
      </w:r>
      <w:r w:rsidDel="00000000" w:rsidR="00000000" w:rsidRPr="00000000">
        <w:rPr>
          <w:color w:val="1f1f1f"/>
          <w:sz w:val="22"/>
          <w:szCs w:val="22"/>
          <w:rtl w:val="0"/>
        </w:rPr>
        <w:t xml:space="preserve"> Following the physical reactions, a human operator collected the raw time-series fluorescence measurements. The human applied standard calibration curves to convert relative fluorescence into absolute GFP concentration (ng/$\mu$L), fit the steady-state sigmoidal kinetic parameters, curated the final unified matrix, and appended the empirical ground-truth observations to the dataset for the AI's subsequent learning cycle. During this process, humans also used the data to confirm that the original Round 0 magnesium stock concentrations were indeed accurate.</w:t>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f1f1f"/>
          <w:sz w:val="22"/>
          <w:szCs w:val="22"/>
        </w:rPr>
      </w:pPr>
      <w:bookmarkStart w:colFirst="0" w:colLast="0" w:name="_1e1br3rztyfb" w:id="1"/>
      <w:bookmarkEnd w:id="1"/>
      <w:r w:rsidDel="00000000" w:rsidR="00000000" w:rsidRPr="00000000">
        <w:rPr>
          <w:b w:val="1"/>
          <w:bCs w:val="1"/>
          <w:color w:val="1f1f1f"/>
          <w:sz w:val="22"/>
          <w:szCs w:val="22"/>
          <w:rtl w:val="0"/>
        </w:rPr>
        <w:t xml:space="preserve">AI Action (Mechanistic Insight &amp; Scientific Reporting):</w:t>
      </w:r>
      <w:r w:rsidDel="00000000" w:rsidR="00000000" w:rsidRPr="00000000">
        <w:rPr>
          <w:color w:val="1f1f1f"/>
          <w:sz w:val="22"/>
          <w:szCs w:val="22"/>
          <w:rtl w:val="0"/>
        </w:rPr>
        <w:t xml:space="preserve"> Ingesting the fresh empirical outcomes, the AI autonomously mapped the underlying topography, discovering a complex, non-linear bimodal performance ridge dictating the stoichiometric balance between Creatine Phosphate and Magnesium. Finally, the specialized AI science writer agent ingested these insights to synthesize the formal mechanistic interpretations and generate the written draft for the Round 1 unified report. A IGOR agent named SamCell turned the IGOR outputs into a DevNote: </w:t>
      </w:r>
      <w:hyperlink r:id="rId6">
        <w:r w:rsidDel="00000000" w:rsidR="00000000" w:rsidRPr="00000000">
          <w:rPr>
            <w:color w:val="1155cc"/>
            <w:sz w:val="22"/>
            <w:szCs w:val="22"/>
            <w:u w:val="single"/>
            <w:rtl w:val="0"/>
          </w:rPr>
          <w:t xml:space="preserve">https://devnotes.nucleus.engineering/articles/bnext-devnotes-igor-260324#generated-experimental-suggestions-1</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qm4sc3pn53ow" w:id="2"/>
      <w:bookmarkEnd w:id="2"/>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c89whghm1f" w:id="3"/>
      <w:bookmarkEnd w:id="3"/>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7spvu7jh1cwy" w:id="4"/>
      <w:bookmarkEnd w:id="4"/>
      <w:r w:rsidDel="00000000" w:rsidR="00000000" w:rsidRPr="00000000">
        <w:rPr>
          <w:b w:val="1"/>
          <w:bCs w:val="1"/>
          <w:color w:val="1f1f1f"/>
          <w:sz w:val="46"/>
          <w:szCs w:val="46"/>
          <w:rtl w:val="0"/>
        </w:rPr>
        <w:t xml:space="preserve">Unified Report: Round 1 PURE System Yield Optimization</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md48yt1ivsw" w:id="5"/>
      <w:bookmarkEnd w:id="5"/>
      <w:r w:rsidDel="00000000" w:rsidR="00000000" w:rsidRPr="00000000">
        <w:rPr>
          <w:b w:val="1"/>
          <w:bCs w:val="1"/>
          <w:color w:val="1f1f1f"/>
          <w:sz w:val="34"/>
          <w:szCs w:val="34"/>
          <w:rtl w:val="0"/>
        </w:rPr>
        <w:t xml:space="preserve">Executive Summary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60" w:lineRule="auto"/>
        <w:ind w:left="300" w:right="600" w:firstLine="0"/>
        <w:rPr>
          <w:b w:val="1"/>
          <w:bCs w:val="1"/>
          <w:color w:val="1f1f1f"/>
        </w:rPr>
      </w:pPr>
      <w:r w:rsidDel="00000000" w:rsidR="00000000" w:rsidRPr="00000000">
        <w:rPr>
          <w:b w:val="1"/>
          <w:bCs w:val="1"/>
          <w:color w:val="1f1f1f"/>
          <w:rtl w:val="0"/>
        </w:rPr>
        <w:t xml:space="preserve">In Round 1 experiments, we discovered that PURE system protein yield is fundamentally governed by complex, non-linear interactions within the core energy and catalysis subsystem, rather than the isolated maximization of individual components. Empirical data confirmed a distinct bimodal performance ridge requiring the precise stoichiometric balancing of Creatine Phosphate (CP) and nucleotides (ATP/GTP) to maintain a homeostatic pool of free Magnesium (Mg²⁺) without triggering systemic precipitation.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research initiative combined AI-driven hypothesis generation (IGOR) with human domain expertise to build a mechanistic understanding of protein yield variations. By moving beyond trial-and-error paradigms to a highly automated, combinatorial experimental design, we systematically mapped the multi-dimensional interaction landscape, successfully completing a major milestone: our first 7-factor automated titration.</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bft43s2byjv" w:id="6"/>
      <w:bookmarkEnd w:id="6"/>
      <w:r w:rsidDel="00000000" w:rsidR="00000000" w:rsidRPr="00000000">
        <w:rPr>
          <w:b w:val="1"/>
          <w:bCs w:val="1"/>
          <w:color w:val="1f1f1f"/>
          <w:sz w:val="34"/>
          <w:szCs w:val="34"/>
          <w:rtl w:val="0"/>
        </w:rPr>
        <w:t xml:space="preserve">Core Findings &amp; Empirical Results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physical experiments generated a solid, unbiased yield platemap that strongly supports the existence of defined high-yield optimization domains, directly validating our core predictive models.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uxwst1lg6fn" w:id="7"/>
      <w:bookmarkEnd w:id="7"/>
      <w:r w:rsidDel="00000000" w:rsidR="00000000" w:rsidRPr="00000000">
        <w:rPr>
          <w:b w:val="1"/>
          <w:bCs w:val="1"/>
          <w:color w:val="1f1f1f"/>
          <w:sz w:val="26"/>
          <w:szCs w:val="26"/>
          <w:rtl w:val="0"/>
        </w:rPr>
        <w:t xml:space="preserve">The Bimodal Performance Ridge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Crucially, empirical data revealed that </w:t>
      </w:r>
      <w:r w:rsidDel="00000000" w:rsidR="00000000" w:rsidRPr="00000000">
        <w:rPr>
          <w:b w:val="1"/>
          <w:bCs w:val="1"/>
          <w:color w:val="1f1f1f"/>
          <w:rtl w:val="0"/>
        </w:rPr>
        <w:t xml:space="preserve">Creatine Phosphate (CP) exhibits a bimodal distribution tightly correlated with Magnesium (Mg²⁺) levels</w:t>
      </w:r>
      <w:r w:rsidDel="00000000" w:rsidR="00000000" w:rsidRPr="00000000">
        <w:rPr>
          <w:color w:val="1f1f1f"/>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Optimum 1:</w:t>
      </w:r>
      <w:r w:rsidDel="00000000" w:rsidR="00000000" w:rsidRPr="00000000">
        <w:rPr>
          <w:color w:val="1f1f1f"/>
          <w:rtl w:val="0"/>
        </w:rPr>
        <w:t xml:space="preserve"> High CP combined with High Mg²⁺ results in a distinct high-yield region.</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Optimum 2:</w:t>
      </w:r>
      <w:r w:rsidDel="00000000" w:rsidR="00000000" w:rsidRPr="00000000">
        <w:rPr>
          <w:color w:val="1f1f1f"/>
          <w:rtl w:val="0"/>
        </w:rPr>
        <w:t xml:space="preserve"> Medium CP combined with Medium Mg²⁺ results in a secondary high-yield region.</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Failure Modes (The "Valley"):</w:t>
      </w:r>
      <w:r w:rsidDel="00000000" w:rsidR="00000000" w:rsidRPr="00000000">
        <w:rPr>
          <w:color w:val="1f1f1f"/>
          <w:rtl w:val="0"/>
        </w:rPr>
        <w:t xml:space="preserve"> Conditions falling between these specific coordinate ratios result in poor yields. This active failure mode directly validates the "kinetic mismatch" theory proposed in our agentic models.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y6mllemmdj2" w:id="8"/>
      <w:bookmarkEnd w:id="8"/>
      <w:r w:rsidDel="00000000" w:rsidR="00000000" w:rsidRPr="00000000">
        <w:rPr>
          <w:b w:val="1"/>
          <w:bCs w:val="1"/>
          <w:color w:val="1f1f1f"/>
          <w:sz w:val="26"/>
          <w:szCs w:val="26"/>
          <w:rtl w:val="0"/>
        </w:rPr>
        <w:t xml:space="preserve">Resolution of Magnesium Stock Discrepancies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results also demonstrated high yields in the higher Mg²⁺ concentration ranges, perfectly mirroring baseline behaviors seen in early Round 0 tests. This indicates that our initial Mg²⁺ stock concentrations from Round 0 were actually accurate, and previous post-hoc mathematical adjustments were unnecessary. Moving forward, we will utilize the newly confirmed Mg²⁺ stock concentrations as our baseline ground truth.</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23vrza0ui46" w:id="9"/>
      <w:bookmarkEnd w:id="9"/>
      <w:r w:rsidDel="00000000" w:rsidR="00000000" w:rsidRPr="00000000">
        <w:rPr>
          <w:b w:val="1"/>
          <w:bCs w:val="1"/>
          <w:color w:val="1f1f1f"/>
          <w:sz w:val="34"/>
          <w:szCs w:val="34"/>
          <w:rtl w:val="0"/>
        </w:rPr>
        <w:t xml:space="preserve">Mechanistic Theories &amp; Hypotheses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During the meta-review process, univariate optimization models were discarded in favor of multi-dimensional paradigms that mathematically explain the empirically observed performance ridge.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l9jfau5ms9s" w:id="10"/>
      <w:bookmarkEnd w:id="10"/>
      <w:r w:rsidDel="00000000" w:rsidR="00000000" w:rsidRPr="00000000">
        <w:rPr>
          <w:b w:val="1"/>
          <w:bCs w:val="1"/>
          <w:color w:val="1f1f1f"/>
          <w:sz w:val="26"/>
          <w:szCs w:val="26"/>
          <w:rtl w:val="0"/>
        </w:rPr>
        <w:t xml:space="preserve">Evaluated Models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95"/>
        <w:gridCol w:w="1920"/>
        <w:gridCol w:w="1695"/>
        <w:gridCol w:w="1440"/>
        <w:tblGridChange w:id="0">
          <w:tblGrid>
            <w:gridCol w:w="1680"/>
            <w:gridCol w:w="1995"/>
            <w:gridCol w:w="1920"/>
            <w:gridCol w:w="1695"/>
            <w:gridCol w:w="144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Model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Core Mechanism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Regulated Variable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Primary Failure Mode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1. Kinetic Flux Balance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A dynamic equilibrium where the rate of Mg²⁺-dependent ATP regeneration precisely matches Mg-ATP consumption.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Free Mg²⁺</w:t>
            </w:r>
            <w:r w:rsidDel="00000000" w:rsidR="00000000" w:rsidRPr="00000000">
              <w:rPr>
                <w:color w:val="1f1f1f"/>
                <w:rtl w:val="0"/>
              </w:rPr>
              <w:t xml:space="preserve"> (Acting as a homeostatically buffered variable)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Kinetic Mismatch:</w:t>
            </w:r>
            <w:r w:rsidDel="00000000" w:rsidR="00000000" w:rsidRPr="00000000">
              <w:rPr>
                <w:color w:val="1f1f1f"/>
                <w:rtl w:val="0"/>
              </w:rPr>
              <w:t xml:space="preserve"> Rapid Pᵢ accumulation or early energy depletion.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Validated by Data</w:t>
            </w:r>
            <w:r w:rsidDel="00000000" w:rsidR="00000000" w:rsidRPr="00000000">
              <w:rPr>
                <w:color w:val="1f1f1f"/>
                <w:rtl w:val="0"/>
              </w:rPr>
              <w:t xml:space="preserve"> (Bimodal ridge confirmed)</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2. Phase Boundary Optimization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The system operates as a near-saturated solution. Optimal yield occurs exactly at a hydrotropically-stabilized phase boundary, just before precipitation.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NTPs (ATP/GTP)</w:t>
            </w:r>
            <w:r w:rsidDel="00000000" w:rsidR="00000000" w:rsidRPr="00000000">
              <w:rPr>
                <w:color w:val="1f1f1f"/>
                <w:rtl w:val="0"/>
              </w:rPr>
              <w:t xml:space="preserve"> (Acting dually as energy and chemical hydrotropes)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Phase Transition Collapse:</w:t>
            </w:r>
            <w:r w:rsidDel="00000000" w:rsidR="00000000" w:rsidRPr="00000000">
              <w:rPr>
                <w:color w:val="1f1f1f"/>
                <w:rtl w:val="0"/>
              </w:rPr>
              <w:t xml:space="preserve"> Fatal Mg²⁺ chelation triggers systemic precipitation.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Under Evaluation</w:t>
            </w:r>
            <w:r w:rsidDel="00000000" w:rsidR="00000000" w:rsidRPr="00000000">
              <w:rPr>
                <w:color w:val="1f1f1f"/>
                <w:rtl w:val="0"/>
              </w:rPr>
              <w:t xml:space="preserve"> (via light scattering data)</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3. Codon-Modulated Metabolic Optima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Sequence-specific resource demands fundamentally alter optimal Mg²⁺ buffer requirements.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Secondary sequence demands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Discarded</w:t>
            </w:r>
            <w:r w:rsidDel="00000000" w:rsidR="00000000" w:rsidRPr="00000000">
              <w:rPr>
                <w:color w:val="1f1f1f"/>
                <w:rtl w:val="0"/>
              </w:rPr>
              <w:t xml:space="preserve"> (Lacked parsimony; focused heavily on secondary phenomena)</w:t>
            </w:r>
          </w:p>
        </w:tc>
      </w:tr>
    </w:tbl>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auc7kx2bh9l" w:id="11"/>
      <w:bookmarkEnd w:id="11"/>
      <w:r w:rsidDel="00000000" w:rsidR="00000000" w:rsidRPr="00000000">
        <w:rPr>
          <w:b w:val="1"/>
          <w:bCs w:val="1"/>
          <w:color w:val="1f1f1f"/>
          <w:sz w:val="26"/>
          <w:szCs w:val="26"/>
          <w:rtl w:val="0"/>
        </w:rPr>
        <w:t xml:space="preserve">Key Biochemical Constraints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Optimizing the PURE system requires managing competitive biochemical interactions where essential components can quickly act as severe inhibitors if unbalanced.</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35"/>
        <w:tblGridChange w:id="0">
          <w:tblGrid>
            <w:gridCol w:w="2385"/>
            <w:gridCol w:w="643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Mechanistic Role &amp; Inhibitory Effects</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Magnesium (Mg²⁺)</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Critical cofactor for ATP and Creatine Kinase. Optimal levels strictly depend on ATP and Pᵢ concentrations due to heavy chelation and precipitation risks.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Creatine Phosphate (CP)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Synergistically regenerates ATP but generates inhibitory Pᵢ as a byproduct, which sequesters free Mg²⁺ and can stall protein synthesis.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Adenosine Triphosphate (ATP)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Primary energy source. Excessive levels act as a strong chelator, stripping the system of the active Mg-ATP complex and free Mg²⁺.</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Guanosine Triphosphate (GTP)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Drives the mechanical translocation of the ribosome via elongation factors. Cannot be substituted by ATP.</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Transfer RNA (tRNA)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Mismatches between tRNA availability and target codon usage cause significant translation bottlenecks.</w:t>
            </w:r>
          </w:p>
        </w:tc>
      </w:tr>
    </w:tbl>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bqlw5zbs5uq" w:id="12"/>
      <w:bookmarkEnd w:id="12"/>
      <w:r w:rsidDel="00000000" w:rsidR="00000000" w:rsidRPr="00000000">
        <w:rPr>
          <w:b w:val="1"/>
          <w:bCs w:val="1"/>
          <w:color w:val="1f1f1f"/>
          <w:sz w:val="34"/>
          <w:szCs w:val="34"/>
          <w:rtl w:val="0"/>
        </w:rPr>
        <w:t xml:space="preserve">Methodology &amp; Experimental Design</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9ypuyihrqno" w:id="13"/>
      <w:bookmarkEnd w:id="13"/>
      <w:r w:rsidDel="00000000" w:rsidR="00000000" w:rsidRPr="00000000">
        <w:rPr>
          <w:b w:val="1"/>
          <w:bCs w:val="1"/>
          <w:color w:val="1f1f1f"/>
          <w:sz w:val="26"/>
          <w:szCs w:val="26"/>
          <w:rtl w:val="0"/>
        </w:rPr>
        <w:t xml:space="preserve">Generative Experimental Space (GES) Strategy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break past previous operational limitations and map unexplored interactions, we significantly expanded the design space. A new Forward Model (FWM) domain expert was integrated with our b.next domain expert to facilitate complex feature exploration.</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Expanded Factors:</w:t>
      </w:r>
      <w:r w:rsidDel="00000000" w:rsidR="00000000" w:rsidRPr="00000000">
        <w:rPr>
          <w:color w:val="1f1f1f"/>
          <w:rtl w:val="0"/>
        </w:rPr>
        <w:t xml:space="preserve"> In addition to previously explored factors (</w:t>
      </w:r>
      <w:r w:rsidDel="00000000" w:rsidR="00000000" w:rsidRPr="00000000">
        <w:rPr>
          <w:color w:val="444746"/>
          <w:shd w:fill="e9eef6" w:val="clear"/>
          <w:rtl w:val="0"/>
        </w:rPr>
        <w:t xml:space="preserve">{Mg, K, CP}</w:t>
      </w:r>
      <w:r w:rsidDel="00000000" w:rsidR="00000000" w:rsidRPr="00000000">
        <w:rPr>
          <w:color w:val="1f1f1f"/>
          <w:rtl w:val="0"/>
        </w:rPr>
        <w:t xml:space="preserve">), we explicitly introduced </w:t>
      </w:r>
      <w:r w:rsidDel="00000000" w:rsidR="00000000" w:rsidRPr="00000000">
        <w:rPr>
          <w:b w:val="1"/>
          <w:bCs w:val="1"/>
          <w:color w:val="444746"/>
          <w:shd w:fill="e9eef6" w:val="clear"/>
          <w:rtl w:val="0"/>
        </w:rPr>
        <w:t xml:space="preserve">{GTP, ATP, Amino Acids (AAs), tRNAs}</w:t>
      </w:r>
      <w:r w:rsidDel="00000000" w:rsidR="00000000" w:rsidRPr="00000000">
        <w:rPr>
          <w:color w:val="1f1f1f"/>
          <w:rtl w:val="0"/>
        </w:rPr>
        <w:t xml:space="preserve">.</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Zero-Variance Handling:</w:t>
      </w:r>
      <w:r w:rsidDel="00000000" w:rsidR="00000000" w:rsidRPr="00000000">
        <w:rPr>
          <w:color w:val="1f1f1f"/>
          <w:rtl w:val="0"/>
        </w:rPr>
        <w:t xml:space="preserve"> Because Bayesian models cannot determine exploration parameters without prior information on zero-variance columns, FWM utilized an initial manual sampling strategy. Samples were normally distributed around the baseline value (centered on the baseline point), using a probability distribution that decays with distance and a standard deviation informed by domain experts. This will be iteratively updated via Bayesian optimization.</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vqhunsd5chm" w:id="14"/>
      <w:bookmarkEnd w:id="14"/>
      <w:r w:rsidDel="00000000" w:rsidR="00000000" w:rsidRPr="00000000">
        <w:rPr>
          <w:b w:val="1"/>
          <w:bCs w:val="1"/>
          <w:color w:val="1f1f1f"/>
          <w:sz w:val="26"/>
          <w:szCs w:val="26"/>
          <w:rtl w:val="0"/>
        </w:rPr>
        <w:t xml:space="preserve">Multivariate Design Space &amp; System Constraints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round represented a </w:t>
      </w:r>
      <w:r w:rsidDel="00000000" w:rsidR="00000000" w:rsidRPr="00000000">
        <w:rPr>
          <w:b w:val="1"/>
          <w:bCs w:val="1"/>
          <w:color w:val="1f1f1f"/>
          <w:rtl w:val="0"/>
        </w:rPr>
        <w:t xml:space="preserve">major operational milestone</w:t>
      </w:r>
      <w:r w:rsidDel="00000000" w:rsidR="00000000" w:rsidRPr="00000000">
        <w:rPr>
          <w:color w:val="1f1f1f"/>
          <w:rtl w:val="0"/>
        </w:rPr>
        <w:t xml:space="preserve">: our highest-throughput run to date, seamlessly titrating </w:t>
      </w:r>
      <w:r w:rsidDel="00000000" w:rsidR="00000000" w:rsidRPr="00000000">
        <w:rPr>
          <w:b w:val="1"/>
          <w:bCs w:val="1"/>
          <w:color w:val="1f1f1f"/>
          <w:rtl w:val="0"/>
        </w:rPr>
        <w:t xml:space="preserve">seven independent factors</w:t>
      </w:r>
      <w:r w:rsidDel="00000000" w:rsidR="00000000" w:rsidRPr="00000000">
        <w:rPr>
          <w:color w:val="1f1f1f"/>
          <w:rtl w:val="0"/>
        </w:rPr>
        <w:t xml:space="preserve"> via the Labcraft automated liquid handler. Due to physical volume limits across a 96-well plate, several strategic parameters were implemented:</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65"/>
        <w:gridCol w:w="2100"/>
        <w:gridCol w:w="3480"/>
        <w:tblGridChange w:id="0">
          <w:tblGrid>
            <w:gridCol w:w="1515"/>
            <w:gridCol w:w="1665"/>
            <w:gridCol w:w="2100"/>
            <w:gridCol w:w="3480"/>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Parameter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Variable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Experimental Range / Fixed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Rationale &amp; Protocol Notes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Titrated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Mg²⁺ Acetate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444746"/>
                <w:shd w:fill="e9eef6" w:val="clear"/>
                <w:rtl w:val="0"/>
              </w:rPr>
              <w:t xml:space="preserve">4.0 mM – 25.0 mM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Utilized newly created stock with confirmed concentrations.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Titrated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Creatine Phosphate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444746"/>
                <w:shd w:fill="e9eef6" w:val="clear"/>
                <w:rtl w:val="0"/>
              </w:rPr>
              <w:t xml:space="preserve">10.0 mM – 60.0 mM (Capped)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Cropped upper limit to fit physical volume constraints of stock concentrations.</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Titrated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ATP &amp; GTP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1f1f1f"/>
                <w:rtl w:val="0"/>
              </w:rPr>
              <w:t xml:space="preserve">ATP: </w:t>
            </w:r>
            <w:r w:rsidDel="00000000" w:rsidR="00000000" w:rsidRPr="00000000">
              <w:rPr>
                <w:color w:val="444746"/>
                <w:shd w:fill="e9eef6" w:val="clear"/>
                <w:rtl w:val="0"/>
              </w:rPr>
              <w:t xml:space="preserve">1.0 – 3.7 mM</w:t>
            </w:r>
          </w:p>
          <w:p w:rsidR="00000000" w:rsidDel="00000000" w:rsidP="00000000" w:rsidRDefault="00000000" w:rsidRPr="00000000" w14:paraId="00000056">
            <w:pPr>
              <w:spacing w:after="480"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1f1f1f"/>
                <w:rtl w:val="0"/>
              </w:rPr>
              <w:t xml:space="preserve">GTP: </w:t>
            </w:r>
            <w:r w:rsidDel="00000000" w:rsidR="00000000" w:rsidRPr="00000000">
              <w:rPr>
                <w:color w:val="444746"/>
                <w:shd w:fill="e9eef6" w:val="clear"/>
                <w:rtl w:val="0"/>
              </w:rPr>
              <w:t xml:space="preserve">1.0 – 3.3 mM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Evaluated for dual hydrotropic/energy boundaries.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Titrated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Amino Acids (AAs)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rFonts w:ascii="Arial Unicode MS" w:cs="Arial Unicode MS" w:eastAsia="Arial Unicode MS" w:hAnsi="Arial Unicode MS"/>
                <w:color w:val="444746"/>
                <w:shd w:fill="e9eef6" w:val="clear"/>
                <w:rtl w:val="0"/>
              </w:rPr>
              <w:t xml:space="preserve">≤ 0.4 mM (Capped)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Upper bound restricted to physically fit within well dead volumes.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Titrated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K &amp; tRNAs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i w:val="1"/>
                <w:iCs w:val="1"/>
                <w:color w:val="1f1f1f"/>
                <w:rtl w:val="0"/>
              </w:rPr>
              <w:t xml:space="preserve">Exploratory range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Handled via FWM zero-variance decay sampling.</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Constant Override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DNA, Pmix, Ribosomes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444746"/>
                <w:shd w:fill="e9eef6" w:val="clear"/>
                <w:rtl w:val="0"/>
              </w:rPr>
              <w:t xml:space="preserve">DNA = 5</w:t>
            </w:r>
            <w:r w:rsidDel="00000000" w:rsidR="00000000" w:rsidRPr="00000000">
              <w:rPr>
                <w:color w:val="1f1f1f"/>
                <w:rtl w:val="0"/>
              </w:rPr>
              <w:t xml:space="preserve">, </w:t>
            </w:r>
            <w:r w:rsidDel="00000000" w:rsidR="00000000" w:rsidRPr="00000000">
              <w:rPr>
                <w:color w:val="444746"/>
                <w:shd w:fill="e9eef6" w:val="clear"/>
                <w:rtl w:val="0"/>
              </w:rPr>
              <w:t xml:space="preserve">Pmix = 1.8</w:t>
            </w:r>
            <w:r w:rsidDel="00000000" w:rsidR="00000000" w:rsidRPr="00000000">
              <w:rPr>
                <w:color w:val="1f1f1f"/>
                <w:rtl w:val="0"/>
              </w:rPr>
              <w:t xml:space="preserve">, </w:t>
            </w:r>
            <w:r w:rsidDel="00000000" w:rsidR="00000000" w:rsidRPr="00000000">
              <w:rPr>
                <w:color w:val="444746"/>
                <w:shd w:fill="e9eef6" w:val="clear"/>
                <w:rtl w:val="0"/>
              </w:rPr>
              <w:t xml:space="preserve">Ribosomes = 1.8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Automated titration currently unavailable; held constant across all GESs. Base master mix prepared manually to conserve cytosol.</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Reaction Specs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Total Volume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444746"/>
                <w:shd w:fill="e9eef6" w:val="clear"/>
                <w:rtl w:val="0"/>
              </w:rPr>
              <w:t xml:space="preserve">10 µL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Increased from 5 µL to provide sufficient dead volume for the 7-factor combinatorial titration.</w:t>
            </w:r>
          </w:p>
        </w:tc>
      </w:tr>
    </w:tbl>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ubjm0cl3e4d" w:id="15"/>
      <w:bookmarkEnd w:id="15"/>
      <w:r w:rsidDel="00000000" w:rsidR="00000000" w:rsidRPr="00000000">
        <w:rPr>
          <w:b w:val="1"/>
          <w:bCs w:val="1"/>
          <w:color w:val="1f1f1f"/>
          <w:sz w:val="26"/>
          <w:szCs w:val="26"/>
          <w:rtl w:val="0"/>
        </w:rPr>
        <w:t xml:space="preserve">The "No-Replicates" Statistical Strategy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Physical replicates were strategically omitted to maximize the exploratory footprint of the 96-well plate.</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Rationale:</w:t>
      </w:r>
      <w:r w:rsidDel="00000000" w:rsidR="00000000" w:rsidRPr="00000000">
        <w:rPr>
          <w:color w:val="1f1f1f"/>
          <w:rtl w:val="0"/>
        </w:rPr>
        <w:t xml:space="preserve"> In advanced </w:t>
      </w:r>
      <w:r w:rsidDel="00000000" w:rsidR="00000000" w:rsidRPr="00000000">
        <w:rPr>
          <w:i w:val="1"/>
          <w:iCs w:val="1"/>
          <w:color w:val="1f1f1f"/>
          <w:rtl w:val="0"/>
        </w:rPr>
        <w:t xml:space="preserve">in silico</w:t>
      </w:r>
      <w:r w:rsidDel="00000000" w:rsidR="00000000" w:rsidRPr="00000000">
        <w:rPr>
          <w:color w:val="1f1f1f"/>
          <w:rtl w:val="0"/>
        </w:rPr>
        <w:t xml:space="preserve"> material optimization, experiments are expensive and single physical replicates offer limited statistical power against correlated noise.</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Instead of running duplicates, we rely on an </w:t>
      </w:r>
      <w:r w:rsidDel="00000000" w:rsidR="00000000" w:rsidRPr="00000000">
        <w:rPr>
          <w:b w:val="1"/>
          <w:bCs w:val="1"/>
          <w:color w:val="1f1f1f"/>
          <w:rtl w:val="0"/>
        </w:rPr>
        <w:t xml:space="preserve">n-minus-one dataset outlier detection method</w:t>
      </w:r>
      <w:r w:rsidDel="00000000" w:rsidR="00000000" w:rsidRPr="00000000">
        <w:rPr>
          <w:color w:val="1f1f1f"/>
          <w:rtl w:val="0"/>
        </w:rPr>
        <w:t xml:space="preserve">. The Bayesian surrogate model's "smoothness priors" allow the simultaneous unraveling of underlying trends and ambient noise. By comparing a candidate data point to a well-regularized predictive distribution formed by partially overlapping data points, we identify true outliers with significantly greater statistical power than traditional triplicate testing.</w:t>
      </w:r>
    </w:p>
    <w:p w:rsidR="00000000" w:rsidDel="00000000" w:rsidP="00000000" w:rsidRDefault="00000000" w:rsidRPr="00000000" w14:paraId="000000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5u9xsajna9" w:id="16"/>
      <w:bookmarkEnd w:id="16"/>
      <w:r w:rsidDel="00000000" w:rsidR="00000000" w:rsidRPr="00000000">
        <w:rPr>
          <w:b w:val="1"/>
          <w:bCs w:val="1"/>
          <w:color w:val="1f1f1f"/>
          <w:sz w:val="34"/>
          <w:szCs w:val="34"/>
          <w:rtl w:val="0"/>
        </w:rPr>
        <w:t xml:space="preserve">Data Processing &amp; Strategic Next Steps</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Dataset Normalization &amp; Combination:</w:t>
      </w:r>
      <w:r w:rsidDel="00000000" w:rsidR="00000000" w:rsidRPr="00000000">
        <w:rPr>
          <w:color w:val="1f1f1f"/>
          <w:rtl w:val="0"/>
        </w:rPr>
        <w:t xml:space="preserve"> Combine the legacy dataset (</w:t>
      </w:r>
      <w:r w:rsidDel="00000000" w:rsidR="00000000" w:rsidRPr="00000000">
        <w:rPr>
          <w:color w:val="444746"/>
          <w:shd w:fill="e9eef6" w:val="clear"/>
          <w:rtl w:val="0"/>
        </w:rPr>
        <w:t xml:space="preserve">20260305-round-0-igor.csv</w:t>
      </w:r>
      <w:r w:rsidDel="00000000" w:rsidR="00000000" w:rsidRPr="00000000">
        <w:rPr>
          <w:color w:val="1f1f1f"/>
          <w:rtl w:val="0"/>
        </w:rPr>
        <w:t xml:space="preserve">) with the new Round 0 GES results. Convert the current empirical raw data (</w:t>
      </w:r>
      <w:r w:rsidDel="00000000" w:rsidR="00000000" w:rsidRPr="00000000">
        <w:rPr>
          <w:color w:val="444746"/>
          <w:shd w:fill="e9eef6" w:val="clear"/>
          <w:rtl w:val="0"/>
        </w:rPr>
        <w:t xml:space="preserve">ges-round-1-results-normalized-fluorescence.csv</w:t>
      </w:r>
      <w:r w:rsidDel="00000000" w:rsidR="00000000" w:rsidRPr="00000000">
        <w:rPr>
          <w:color w:val="1f1f1f"/>
          <w:rtl w:val="0"/>
        </w:rPr>
        <w:t xml:space="preserve">) entirely to absolute yield (</w:t>
      </w:r>
      <w:r w:rsidDel="00000000" w:rsidR="00000000" w:rsidRPr="00000000">
        <w:rPr>
          <w:b w:val="1"/>
          <w:bCs w:val="1"/>
          <w:color w:val="1f1f1f"/>
          <w:rtl w:val="0"/>
        </w:rPr>
        <w:t xml:space="preserve">ng/µL of GFP</w:t>
      </w:r>
      <w:r w:rsidDel="00000000" w:rsidR="00000000" w:rsidRPr="00000000">
        <w:rPr>
          <w:color w:val="1f1f1f"/>
          <w:rtl w:val="0"/>
        </w:rPr>
        <w:t xml:space="preserve">) and fit it with a steady-state sigmoid function for precise quantitative mapping.</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Model Correction:</w:t>
      </w:r>
      <w:r w:rsidDel="00000000" w:rsidR="00000000" w:rsidRPr="00000000">
        <w:rPr>
          <w:color w:val="1f1f1f"/>
          <w:rtl w:val="0"/>
        </w:rPr>
        <w:t xml:space="preserve"> Update internal tracking baselines to reflect that the original Round 0 Mg²⁺ stock was accurately concentrated. Any post-hoc mathematical adjustments applied to previous Mg²⁺ data must be systematically reversed.</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Pipeline Broadening:</w:t>
      </w:r>
      <w:r w:rsidDel="00000000" w:rsidR="00000000" w:rsidRPr="00000000">
        <w:rPr>
          <w:color w:val="1f1f1f"/>
          <w:rtl w:val="0"/>
        </w:rPr>
        <w:t xml:space="preserve"> Currently, GES runs are strictly generated from IGOR (IG) outputs. Moving forward, we will formally integrate Generative Experimental Spaces sourced from </w:t>
      </w:r>
      <w:r w:rsidDel="00000000" w:rsidR="00000000" w:rsidRPr="00000000">
        <w:rPr>
          <w:b w:val="1"/>
          <w:bCs w:val="1"/>
          <w:color w:val="1f1f1f"/>
          <w:rtl w:val="0"/>
        </w:rPr>
        <w:t xml:space="preserve">Operational Research (OR)</w:t>
      </w:r>
      <w:r w:rsidDel="00000000" w:rsidR="00000000" w:rsidRPr="00000000">
        <w:rPr>
          <w:color w:val="1f1f1f"/>
          <w:rtl w:val="0"/>
        </w:rPr>
        <w:t xml:space="preserve"> models to ensure maximum multidimensional coverage.</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Surrogate Model Feedback Loop:</w:t>
      </w:r>
      <w:r w:rsidDel="00000000" w:rsidR="00000000" w:rsidRPr="00000000">
        <w:rPr>
          <w:color w:val="1f1f1f"/>
          <w:rtl w:val="0"/>
        </w:rPr>
        <w:t xml:space="preserve"> The newly finalized 7-factor combinatorial dataset will be fed directly back into the AI surrogate model. Training on this empirical dataset will dramatically improve predictive accuracy within this critical subspace, actively guiding future algorithms directly toward the identified high-performance operational ridge.</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notes.nucleus.engineering/articles/bnext-devnotes-igor-260324#generated-experimental-suggestion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