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jc w:val="center"/>
      </w:pPr>
      <w:r>
        <w:rPr>
          <w:rFonts w:ascii="Poppins" w:cs="Poppins" w:eastAsia="Poppins" w:hAnsi="Poppins"/>
          <w:b/>
          <w:bCs/>
          <w:color w:val="0F3D2E"/>
          <w:sz w:val="64"/>
          <w:szCs w:val="64"/>
        </w:rPr>
        <w:t xml:space="preserve">VOEQ</w:t>
      </w:r>
    </w:p>
    <w:p>
      <w:pPr>
        <w:spacing w:after="400" w:before="200"/>
        <w:jc w:val="center"/>
      </w:pPr>
      <w:r>
        <w:rPr>
          <w:b/>
          <w:bCs/>
          <w:sz w:val="28"/>
          <w:szCs w:val="28"/>
        </w:rPr>
        <w:t xml:space="preserve">Category &amp; Listing Architecture — Resolution Document</w:t>
      </w:r>
    </w:p>
    <w:p>
      <w:pPr>
        <w:jc w:val="center"/>
      </w:pPr>
      <w:r>
        <w:rPr>
          <w:color w:val="666666"/>
          <w:sz w:val="20"/>
          <w:szCs w:val="20"/>
        </w:rPr>
        <w:t xml:space="preserve">Prepared for the development team — August 2, 2026</w:t>
      </w:r>
    </w:p>
    <w:p>
      <w:pPr>
        <w:spacing w:after="400"/>
      </w:pPr>
    </w:p>
    <w:p>
      <w:pPr>
        <w:pStyle w:val="Heading1"/>
        <w:pBdr>
          <w:bottom w:val="single" w:color="0F3D2E" w:sz="12" w:space="4"/>
        </w:pBdr>
        <w:spacing w:after="200" w:before="400"/>
      </w:pPr>
      <w:r>
        <w:t xml:space="preserve">1. The Problem</w:t>
      </w:r>
    </w:p>
    <w:p>
      <w:pPr>
        <w:spacing w:after="160"/>
      </w:pPr>
      <w:r>
        <w:t xml:space="preserve">A live-platform review found that category is currently attached to the vendor's profile, not to individual listings. In practice this means a vendor can only ever belong to one category, even if they sell or offer more than one type of product or service — for example, a phone repairer who also sells phones, or a makeup artist who also does photography. Any category-based search or filter (“Browse Vendors” filtered by Category) is therefore querying the vendor table, not a listing table, and will miss a vendor's secondary offerings entirely.</w:t>
      </w:r>
    </w:p>
    <w:p>
      <w:pPr>
        <w:spacing w:after="160"/>
      </w:pPr>
      <w:r>
        <w:t xml:space="preserve">There is also currently no distinct “Listing” or “Product” entity on the platform. The existing 4-step “List Your Business” flow builds one vendor profile with one category, one description, one profile photo, and a general photo gallery (“show your work, products, or space”) — not individual, priced, categorized items.</w:t>
      </w:r>
    </w:p>
    <w:p>
      <w:pPr>
        <w:pStyle w:val="Heading1"/>
        <w:pBdr>
          <w:bottom w:val="single" w:color="0F3D2E" w:sz="12" w:space="4"/>
        </w:pBdr>
        <w:spacing w:after="200" w:before="400"/>
      </w:pPr>
      <w:r>
        <w:t xml:space="preserve">2. The Decision</w:t>
      </w:r>
    </w:p>
    <w:p>
      <w:pPr>
        <w:spacing w:after="160"/>
      </w:pPr>
      <w:r>
        <w:t xml:space="preserve">Category moves from the vendor profile to the individual listing. A vendor's profile becomes a container that can hold any number of listings, each with its own category, photo(s), price, and description. Search and filter by category should query listings, not vendors — a buyer filtering “Tech” should see every individual Tech listing from any vendor, not vendor profiles.</w:t>
      </w:r>
    </w:p>
    <w:p>
      <w:pPr>
        <w:spacing w:after="160"/>
      </w:pPr>
      <w:r>
        <w:t xml:space="preserve">This mirrors how Etsy resolves the same problem at much larger scale: every individual listing belongs to exactly one category marketplace-wide, while a seller's own shop can contain listings spanning many categories, organized into the seller's own optional sections.</w:t>
      </w:r>
    </w:p>
    <w:p>
      <w:pPr>
        <w:pStyle w:val="Heading1"/>
        <w:pBdr>
          <w:bottom w:val="single" w:color="0F3D2E" w:sz="12" w:space="4"/>
        </w:pBdr>
        <w:spacing w:after="200" w:before="400"/>
      </w:pPr>
      <w:r>
        <w:t xml:space="preserve">3. No New Categories Required</w:t>
      </w:r>
    </w:p>
    <w:p>
      <w:pPr>
        <w:spacing w:after="160"/>
      </w:pPr>
      <w:r>
        <w:t xml:space="preserve">This is an architectural fix, not a category-list expansion. A vendor who does multiple things already fits within the existing category list — the change is that their different listings can now each carry their own category, rather than the vendor being forced into one. Anything that genuinely has no fitting category is still covered by the existing “Other” category.</w:t>
      </w:r>
    </w:p>
    <w:p>
      <w:pPr>
        <w:pStyle w:val="Heading1"/>
        <w:pBdr>
          <w:bottom w:val="single" w:color="0F3D2E" w:sz="12" w:space="4"/>
        </w:pBdr>
        <w:spacing w:after="200" w:before="400"/>
      </w:pPr>
      <w:r>
        <w:t xml:space="preserve">4. Finalized Vendor Onboarding Flow (5 Steps)</w:t>
      </w:r>
    </w:p>
    <w:p>
      <w:pPr>
        <w:spacing w:after="160"/>
      </w:pPr>
      <w:r>
        <w:t xml:space="preserve">Sign-up is required before a vendor can begin the “List Business” flow — tapping “For Vendors” routes an unauthenticated user to Sign Up first. The flow itself stays a single continuous process, extended from 4 steps to 5:</w:t>
      </w:r>
    </w:p>
    <w:p>
      <w:pPr>
        <w:pStyle w:val="ListParagraph"/>
        <w:numPr>
          <w:ilvl w:val="0"/>
          <w:numId w:val="2"/>
        </w:numPr>
        <w:spacing w:after="80"/>
      </w:pPr>
      <w:r>
        <w:t xml:space="preserve">Basic Information — Business Name, Owner Name, Description (general, about the business as a whole — category removed from this step)</w:t>
      </w:r>
    </w:p>
    <w:p>
      <w:pPr>
        <w:pStyle w:val="ListParagraph"/>
        <w:numPr>
          <w:ilvl w:val="0"/>
          <w:numId w:val="2"/>
        </w:numPr>
        <w:spacing w:after="80"/>
      </w:pPr>
      <w:r>
        <w:t xml:space="preserve">Contact &amp; Location</w:t>
      </w:r>
    </w:p>
    <w:p>
      <w:pPr>
        <w:pStyle w:val="ListParagraph"/>
        <w:numPr>
          <w:ilvl w:val="0"/>
          <w:numId w:val="2"/>
        </w:numPr>
        <w:spacing w:after="80"/>
      </w:pPr>
      <w:r>
        <w:t xml:space="preserve">Profile Photo — one vendor profile photo only (the general “gallery images” upload is removed from this step; product/work photos move to Step 4, attached to a specific listing)</w:t>
      </w:r>
    </w:p>
    <w:p>
      <w:pPr>
        <w:pStyle w:val="ListParagraph"/>
        <w:numPr>
          <w:ilvl w:val="0"/>
          <w:numId w:val="2"/>
        </w:numPr>
        <w:spacing w:after="80"/>
      </w:pPr>
      <w:r>
        <w:t xml:space="preserve">First Listing — Category (required, single select), Listing Photo(s), Title, Price or price range, Description — this is the new step, and it is what the “Go Live” gate depends on</w:t>
      </w:r>
    </w:p>
    <w:p>
      <w:pPr>
        <w:pStyle w:val="ListParagraph"/>
        <w:numPr>
          <w:ilvl w:val="0"/>
          <w:numId w:val="2"/>
        </w:numPr>
        <w:spacing w:after="80"/>
      </w:pPr>
      <w:r>
        <w:t xml:space="preserve">Review — vendor reviews their profile and first listing, then goes live</w:t>
      </w:r>
    </w:p>
    <w:p>
      <w:pPr>
        <w:spacing w:after="160"/>
      </w:pPr>
      <w:r>
        <w:t xml:space="preserve">On Go Live, the vendor lands on their own storefront, from which they can add further listings at any time using the same Step-4 form (category, photo, price, description) — without repeating Steps 1–3.</w:t>
      </w:r>
    </w:p>
    <w:p>
      <w:pPr>
        <w:pStyle w:val="Heading2"/>
        <w:spacing w:after="120" w:before="300"/>
      </w:pPr>
      <w:r>
        <w:t xml:space="preserve">Go Live Gating</w:t>
      </w:r>
    </w:p>
    <w:p>
      <w:pPr>
        <w:spacing w:after="160"/>
      </w:pPr>
      <w:r>
        <w:t xml:space="preserve">The Go Live button/state should depend on two conditions both being met: the vendor registration agreement checkbox is ticked, and at least one listing exists. A vendor profile with zero listings should not be visible or searchable on the marketplace.</w:t>
      </w:r>
    </w:p>
    <w:p>
      <w:pPr>
        <w:pStyle w:val="Heading1"/>
        <w:pBdr>
          <w:bottom w:val="single" w:color="0F3D2E" w:sz="12" w:space="4"/>
        </w:pBdr>
        <w:spacing w:after="200" w:before="400"/>
      </w:pPr>
      <w:r>
        <w:t xml:space="preserve">5. Data Model Implication</w:t>
      </w:r>
    </w:p>
    <w:p>
      <w:pPr>
        <w:spacing w:after="160"/>
      </w:pPr>
      <w:r>
        <w:t xml:space="preserve">This requires a distinct Listing entity, separate from the Vendor entity, related to it (one vendor → many listings):</w:t>
      </w:r>
    </w:p>
    <w:p>
      <w:pPr>
        <w:pBdr>
          <w:top w:val="single" w:color="CCCCCC" w:sz="4"/>
          <w:bottom w:val="single" w:color="CCCCCC" w:sz="4"/>
          <w:left w:val="single" w:color="CCCCCC" w:sz="4"/>
          <w:right w:val="single" w:color="CCCCCC" w:sz="4"/>
        </w:pBdr>
        <w:shd w:fill="F0EEE8" w:val="clear"/>
        <w:spacing w:after="200" w:before="100"/>
      </w:pPr>
      <w:r>
        <w:rPr>
          <w:rFonts w:ascii="Courier New" w:cs="Courier New" w:eastAsia="Courier New" w:hAnsi="Courier New"/>
          <w:sz w:val="20"/>
          <w:szCs w:val="20"/>
        </w:rPr>
        <w:t xml:space="preserve">Vendor
  - business name
  - owner name
  - description (general)
  - profile photo
  - contact &amp; location
  - status: Incomplete / Complete / Live
Listing (new — one row per product/service)
  - vendor_id (linked to Vendor)
  - category  ← category now lives here, not on Vendor
  - title
  - photo(s)
  - price / price range
  - description</w:t>
      </w:r>
    </w:p>
    <w:p>
      <w:pPr>
        <w:spacing w:after="160"/>
      </w:pPr>
      <w:r>
        <w:t xml:space="preserve">Search and filter logic needs to change from querying “vendors where category = X” to “listings where category = X”, with results linking through to the parent vendor's storefront.</w:t>
      </w:r>
    </w:p>
    <w:p>
      <w:pPr>
        <w:pStyle w:val="Heading1"/>
        <w:pBdr>
          <w:bottom w:val="single" w:color="0F3D2E" w:sz="12" w:space="4"/>
        </w:pBdr>
        <w:spacing w:after="200" w:before="400"/>
      </w:pPr>
      <w:r>
        <w:t xml:space="preserve">6. Buyer-Facing Browse Structure</w:t>
      </w:r>
    </w:p>
    <w:p>
      <w:pPr>
        <w:spacing w:after="160"/>
      </w:pPr>
      <w:r>
        <w:t xml:space="preserve">Both browsing modes are kept, serving different intents: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c>
          <w:tcPr>
            <w:tcW w:type="dxa" w:w="3000"/>
            <w:shd w:fill="0F3D2E" w:val="clear"/>
          </w:tcPr>
          <w:p>
            <w:r>
              <w:rPr>
                <w:b/>
                <w:bCs/>
                <w:color w:val="FFFFFF"/>
              </w:rPr>
              <w:t xml:space="preserve">Mode</w:t>
            </w:r>
          </w:p>
        </w:tc>
        <w:tc>
          <w:tcPr>
            <w:tcW w:type="dxa" w:w="6600"/>
            <w:shd w:fill="0F3D2E" w:val="clear"/>
          </w:tcPr>
          <w:p>
            <w:r>
              <w:rPr>
                <w:b/>
                <w:bCs/>
                <w:color w:val="FFFFFF"/>
              </w:rPr>
              <w:t xml:space="preserve">Purpose</w:t>
            </w:r>
          </w:p>
        </w:tc>
      </w:tr>
      <w:tr>
        <w:tc>
          <w:tcPr>
            <w:tcW w:type="dxa" w:w="3000"/>
            <w:shd w:fill="F7F5F0" w:val="clear"/>
          </w:tcPr>
          <w:p>
            <w:r>
              <w:rPr>
                <w:b/>
                <w:bCs/>
                <w:color w:val="0F3D2E"/>
              </w:rPr>
              <w:t xml:space="preserve">Browse Listing</w:t>
            </w:r>
          </w:p>
        </w:tc>
        <w:tc>
          <w:tcPr>
            <w:tcW w:type="dxa" w:w="6600"/>
          </w:tcPr>
          <w:p>
            <w:r>
              <w:rPr>
                <w:b w:val="false"/>
                <w:bCs w:val="false"/>
                <w:color w:val="000000"/>
              </w:rPr>
              <w:t xml:space="preserve">Primary discovery path — a buyer with a specific need (“I want food,” “I need a phone repaired”) searches or filters by category and sees individual matching listings from any vendor. Tapping a listing opens its detail, then links through to the vendor's full storefront.</w:t>
            </w:r>
          </w:p>
        </w:tc>
      </w:tr>
      <w:tr>
        <w:tc>
          <w:tcPr>
            <w:tcW w:type="dxa" w:w="3000"/>
            <w:shd w:fill="F7F5F0" w:val="clear"/>
          </w:tcPr>
          <w:p>
            <w:r>
              <w:rPr>
                <w:b/>
                <w:bCs/>
                <w:color w:val="0F3D2E"/>
              </w:rPr>
              <w:t xml:space="preserve">Browse Vendors</w:t>
            </w:r>
          </w:p>
        </w:tc>
        <w:tc>
          <w:tcPr>
            <w:tcW w:type="dxa" w:w="6600"/>
          </w:tcPr>
          <w:p>
            <w:r>
              <w:rPr>
                <w:b w:val="false"/>
                <w:bCs w:val="false"/>
                <w:color w:val="000000"/>
              </w:rPr>
              <w:t xml:space="preserve">Secondary path — for a buyer who already knows a vendor's name, or wants to browse all businesses generally. Filters here (Location, Min. Rating) remain genuinely vendor-level attributes.</w:t>
            </w:r>
          </w:p>
        </w:tc>
      </w:tr>
    </w:tbl>
    <w:p>
      <w:pPr>
        <w:spacing w:after="160"/>
      </w:pPr>
      <w:r>
        <w:t xml:space="preserve">Browse Listing is placed above Browse Vendors in the site menu, since most buyers arrive with a need rather than a specific vendor in mind — consistent with the homepage's existing “Search vendors, services, categories” search bar and category scroll, which are already listing-first in intent.</w:t>
      </w:r>
    </w:p>
    <w:p>
      <w:pPr>
        <w:pStyle w:val="Heading1"/>
        <w:pBdr>
          <w:bottom w:val="single" w:color="0F3D2E" w:sz="12" w:space="4"/>
        </w:pBdr>
        <w:spacing w:after="200" w:before="400"/>
      </w:pPr>
      <w:r>
        <w:t xml:space="preserve">7. Scope Note for the Developer</w:t>
      </w:r>
    </w:p>
    <w:p>
      <w:pPr>
        <w:spacing w:after="160"/>
      </w:pPr>
      <w:r>
        <w:t xml:space="preserve">This is new scope, separate from the original 14-item Platform Update Priorities brief, and involves real schema and search-logic changes — not a simple field move. It should be scoped and estimated on its own terms rather than folded silently into the current one-week timeline. Recommended framing for the conversation: confirm whether this can be absorbed within the current developer push, or whether it should follow as an immediate next project once the original 14 priorities are stable — given it is a precondition for vendors being onboarded correctly, it cannot be deferred past the pre-launch vendor recruitment period.</w:t>
      </w:r>
    </w:p>
    <w:p>
      <w:pPr>
        <w:pStyle w:val="Heading1"/>
        <w:pBdr>
          <w:bottom w:val="single" w:color="0F3D2E" w:sz="12" w:space="4"/>
        </w:pBdr>
        <w:spacing w:after="200" w:before="400"/>
      </w:pPr>
      <w:r>
        <w:t xml:space="preserve">7. Shareable URLs (Vendor &amp; Listing Pages)</w:t>
      </w:r>
    </w:p>
    <w:p>
      <w:pPr>
        <w:spacing w:after="160"/>
      </w:pPr>
      <w:r>
        <w:t xml:space="preserve">Since vendor outreach and launch depend entirely on digital sharing (WhatsApp status, class rep groups, student union posts, QR posters), each vendor storefront and each individual listing needs its own unique, shareable URL — not a single static address for the whole site. This lets a vendor advertise their storefront directly (e.g. voeq.ng/vendor/mamas-kitchen), and a QR poster or launch post to point straight to a specific vendor or listing instead of only the homepage.</w:t>
      </w:r>
    </w:p>
    <w:p>
      <w:pPr>
        <w:spacing w:after="160"/>
      </w:pPr>
      <w:r>
        <w:t xml:space="preserve">Browser “Share” functionality is automatic and requires no development work — it simply shares whatever URL is currently in the address bar. What needs to be confirmed with the developer is whether the address bar actually updates per vendor/listing page today. Given the site is hosted on Vercel, it is most likely built on a framework (e.g. Next.js) where per-page dynamic routing (/vendor/[id], /listing/[id]) is a standard, well-supported pattern — this is typically a routine addition, not a rebuild, provided vendor storefront and listing views already exist as separate pages internally.</w:t>
      </w:r>
    </w:p>
    <w:p>
      <w:pPr>
        <w:pStyle w:val="Heading2"/>
        <w:spacing w:after="120" w:before="300"/>
      </w:pPr>
      <w:r>
        <w:t xml:space="preserve">What to Confirm with the Developer</w:t>
      </w:r>
    </w:p>
    <w:p>
      <w:pPr>
        <w:pStyle w:val="ListParagraph"/>
        <w:numPr>
          <w:ilvl w:val="0"/>
          <w:numId w:val="3"/>
        </w:numPr>
        <w:spacing w:after="80"/>
      </w:pPr>
      <w:r>
        <w:t xml:space="preserve">Does every vendor storefront and every listing already have its own unique URL, or does the address bar stay static across pages?</w:t>
      </w:r>
    </w:p>
    <w:p>
      <w:pPr>
        <w:pStyle w:val="ListParagraph"/>
        <w:numPr>
          <w:ilvl w:val="0"/>
          <w:numId w:val="3"/>
        </w:numPr>
        <w:spacing w:after="80"/>
      </w:pPr>
      <w:r>
        <w:t xml:space="preserve">If not, add per-vendor and per-listing dynamic routes, generated from an auto slug of the business/listing name (e.g. mamas-kitchen), falling back to a numeric suffix on duplicate names (e.g. mamas-kitchen-2)</w:t>
      </w:r>
    </w:p>
    <w:p>
      <w:pPr>
        <w:pStyle w:val="ListParagraph"/>
        <w:numPr>
          <w:ilvl w:val="0"/>
          <w:numId w:val="3"/>
        </w:numPr>
        <w:spacing w:after="80"/>
      </w:pPr>
      <w:r>
        <w:t xml:space="preserve">Confirm this alongside the Vendor/Listing restructuring in Sections 4–6, since both changes touch the same underlying page structure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2026-08-01T23:36:48.695Z</dcterms:created>
  <dcterms:modified xsi:type="dcterms:W3CDTF">2026-08-01T23:36:48.791Z</dcterms:modified>
</cp:coreProperties>
</file>

<file path=docProps/custom.xml><?xml version="1.0" encoding="utf-8"?>
<Properties xmlns="http://schemas.openxmlformats.org/officeDocument/2006/custom-properties" xmlns:vt="http://schemas.openxmlformats.org/officeDocument/2006/docPropsVTypes"/>
</file>