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Poppins" w:cs="Poppins" w:eastAsia="Poppins" w:hAnsi="Poppins"/>
          <w:b/>
          <w:bCs/>
          <w:color w:val="0F3D2E"/>
          <w:sz w:val="96"/>
          <w:szCs w:val="96"/>
        </w:rPr>
        <w:t xml:space="preserve">VOEQ</w:t>
      </w:r>
    </w:p>
    <w:p>
      <w:pPr>
        <w:spacing w:before="200"/>
        <w:jc w:val="center"/>
      </w:pPr>
      <w:r>
        <w:rPr>
          <w:i/>
          <w:iCs/>
          <w:color w:val="C9A24B"/>
          <w:sz w:val="28"/>
          <w:szCs w:val="28"/>
        </w:rPr>
        <w:t xml:space="preserve">Find. Connect. Grow.</w:t>
      </w:r>
    </w:p>
    <w:p>
      <w:pPr>
        <w:spacing w:before="800"/>
        <w:jc w:val="center"/>
      </w:pPr>
      <w:r>
        <w:rPr>
          <w:b/>
          <w:bCs/>
          <w:sz w:val="32"/>
          <w:szCs w:val="32"/>
        </w:rPr>
        <w:t xml:space="preserve">COMPLETE PROJECT DOCUMENTATION</w:t>
      </w:r>
    </w:p>
    <w:p>
      <w:pPr>
        <w:spacing w:before="200"/>
        <w:jc w:val="center"/>
      </w:pPr>
      <w:r>
        <w:rPr>
          <w:sz w:val="24"/>
          <w:szCs w:val="24"/>
        </w:rPr>
        <w:t xml:space="preserve">From Idea to Implementation to Execution</w:t>
      </w:r>
    </w:p>
    <w:p>
      <w:pPr>
        <w:spacing w:before="1000"/>
        <w:jc w:val="center"/>
      </w:pPr>
      <w:r>
        <w:rPr>
          <w:sz w:val="22"/>
          <w:szCs w:val="22"/>
        </w:rPr>
        <w:t xml:space="preserve">Prepared by Emmanuel Ayibatonye Owi, Founder</w:t>
      </w:r>
    </w:p>
    <w:p>
      <w:pPr>
        <w:spacing w:before="100"/>
        <w:jc w:val="center"/>
      </w:pPr>
      <w:r>
        <w:rPr>
          <w:color w:val="666666"/>
          <w:sz w:val="20"/>
          <w:szCs w:val="20"/>
        </w:rPr>
        <w:t xml:space="preserve">Document version: July 31,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3D2E" w:sz="12" w:space="4"/>
        </w:pBdr>
        <w:spacing w:after="200" w:before="400"/>
      </w:pPr>
      <w:r>
        <w:t xml:space="preserve">1. The Idea &amp; Vision</w:t>
      </w:r>
    </w:p>
    <w:p>
      <w:pPr>
        <w:spacing w:after="160"/>
      </w:pPr>
      <w:r>
        <w:t xml:space="preserve">Voeq is a campus marketplace directory for Nigerian university students — not an e-commerce platform. Students discover verified campus vendors and connect with them directly via WhatsApp. The platform's job is discovery and connection, not transaction processing, at least in its first phase.</w:t>
      </w:r>
    </w:p>
    <w:p>
      <w:pPr>
        <w:pStyle w:val="Heading2"/>
        <w:spacing w:after="120" w:before="300"/>
      </w:pPr>
      <w:r>
        <w:t xml:space="preserve">Name &amp; Meaning</w:t>
      </w:r>
    </w:p>
    <w:p>
      <w:pPr>
        <w:spacing w:after="160"/>
      </w:pPr>
      <w:r>
        <w:t xml:space="preserve">The name Voeq is pronounced like “Vogue” and is derived from the Italian word voce, meaning voice. The name evolved through several iterations, including an earlier working name, Trovi, before settling on Voeq.</w:t>
      </w:r>
    </w:p>
    <w:p>
      <w:pPr>
        <w:pStyle w:val="Heading2"/>
        <w:spacing w:after="120" w:before="300"/>
      </w:pPr>
      <w:r>
        <w:t xml:space="preserve">Tagline</w:t>
      </w:r>
    </w:p>
    <w:p>
      <w:pPr>
        <w:spacing w:after="160"/>
      </w:pPr>
      <w:r>
        <w:t xml:space="preserve">“Find. Connect. Grow.” is used across the platform and marketing materials, alongside the secondary line “Built for Campus. Built for You.”</w:t>
      </w:r>
    </w:p>
    <w:p>
      <w:pPr>
        <w:pStyle w:val="Heading2"/>
        <w:spacing w:after="120" w:before="300"/>
      </w:pPr>
      <w:r>
        <w:t xml:space="preserve">Founding Problem</w:t>
      </w:r>
    </w:p>
    <w:p>
      <w:pPr>
        <w:spacing w:after="160"/>
      </w:pPr>
      <w:r>
        <w:t xml:space="preserve">Nigerian university students have no reliable, campus-specific way to discover vendors and service providers around them — food, repairs, tailoring, tech support, and dozens of other everyday needs. Discovery currently happens informally through word of mouth. Voeq's founding bet is that a directory built specifically around campus life, with verified vendors and direct WhatsApp connection, solves a real and recurring problem for a well-defined first market.</w:t>
      </w:r>
    </w:p>
    <w:p>
      <w:pPr>
        <w:pStyle w:val="Heading2"/>
        <w:spacing w:after="120" w:before="300"/>
      </w:pPr>
      <w:r>
        <w:t xml:space="preserve">First Market</w:t>
      </w:r>
    </w:p>
    <w:p>
      <w:pPr>
        <w:spacing w:after="160"/>
      </w:pPr>
      <w:r>
        <w:t xml:space="preserve">Nigeria Maritime University (NMU), Okerenkoko, Delta State — chosen as the pilot campus. NMU's relative isolation (island-based, limited outside access) also motivates future features such as the Waybill service.</w:t>
      </w:r>
    </w:p>
    <w:p>
      <w:pPr>
        <w:pStyle w:val="Heading1"/>
        <w:pBdr>
          <w:bottom w:val="single" w:color="0F3D2E" w:sz="12" w:space="4"/>
        </w:pBdr>
        <w:spacing w:after="200" w:before="400"/>
      </w:pPr>
      <w:r>
        <w:t xml:space="preserve">2. Founder &amp; Team</w:t>
      </w:r>
    </w:p>
    <w:p>
      <w:pPr>
        <w:pStyle w:val="Heading2"/>
        <w:spacing w:after="120" w:before="300"/>
      </w:pPr>
      <w:r>
        <w:t xml:space="preserve">Founder</w:t>
      </w:r>
    </w:p>
    <w:p>
      <w:pPr>
        <w:spacing w:after="160"/>
      </w:pPr>
      <w:r>
        <w:t xml:space="preserve">Emmanuel Ayibatonye Owi is the sole founder and sole conceiver of Voeq. He is a final-year Mechanical Engineering student (2:1 classification) at NMU, currently completing an IT/SIWES placement at the Nigerian Civil Aviation Authority (NCAA) in Abuja, in the Airworthiness Standards department.</w:t>
      </w:r>
    </w:p>
    <w:p>
      <w:pPr>
        <w:spacing w:after="160"/>
      </w:pPr>
      <w:r>
        <w:t xml:space="preserve">Key structural decision: Voeq has no co-founder. Emmanuel retains sole founder control; his brother, who built the platform, holds the title of CTO rather than co-founder.</w:t>
      </w:r>
    </w:p>
    <w:p>
      <w:pPr>
        <w:pStyle w:val="Heading2"/>
        <w:spacing w:after="120" w:before="300"/>
      </w:pPr>
      <w:r>
        <w:t xml:space="preserve">CTO — Emmanuel's Brother</w:t>
      </w:r>
    </w:p>
    <w:p>
      <w:pPr>
        <w:spacing w:after="160"/>
      </w:pPr>
      <w:r>
        <w:t xml:space="preserve">Built the Voeq platform. He is concurrently leading a separate five-person student team in the OPay and Google National Innovation Challenge (₨18–20M prize pool), working on a cross-institutional identity spoofing fraud detection system — a graph-based anomaly detection engine plus a crowdsourced public reporting app. This is a live claim on his time and bandwidth that runs in parallel with Voeq's August development push.</w:t>
      </w:r>
    </w:p>
    <w:p>
      <w:pPr>
        <w:pStyle w:val="Heading2"/>
        <w:spacing w:after="120" w:before="300"/>
      </w:pPr>
      <w:r>
        <w:t xml:space="preserve">Creative Director — Emmanuella Uzoh</w:t>
      </w:r>
    </w:p>
    <w:p>
      <w:pPr>
        <w:spacing w:after="160"/>
      </w:pPr>
      <w:r>
        <w:t xml:space="preserve">Signed a simplified Creative Director Agreement dated 11th July 2026. Compensation is a deferred payment of ₦85,000, due within 30 days of Voeq's first revenue. She holds Instagram posting access (Emmanuel approves before publishing) and is producing anticipation videos and vendor spotlight content. She was retained over another designer who was considered a stronger technical fit but declined — a deliberate loyalty-over-polish call.</w:t>
      </w:r>
    </w:p>
    <w:p>
      <w:pPr>
        <w:pStyle w:val="Heading2"/>
        <w:spacing w:after="120" w:before="300"/>
      </w:pPr>
      <w:r>
        <w:t xml:space="preserve">Ground Team (NMU Campus)</w:t>
      </w:r>
    </w:p>
    <w:p>
      <w:pPr>
        <w:spacing w:after="160"/>
      </w:pPr>
      <w:r>
        <w:t xml:space="preserve">Three NMU-based roles to be recruited for vendor onboarding and profile building:</w:t>
      </w:r>
    </w:p>
    <w:p>
      <w:pPr>
        <w:pStyle w:val="ListParagraph"/>
        <w:numPr>
          <w:ilvl w:val="0"/>
          <w:numId w:val="2"/>
        </w:numPr>
        <w:spacing w:after="80"/>
      </w:pPr>
      <w:r>
        <w:t xml:space="preserve">2 × Vendor Onboarding Ambassadors — ₨500 per successful vendor signup (performance-based)</w:t>
      </w:r>
    </w:p>
    <w:p>
      <w:pPr>
        <w:pStyle w:val="ListParagraph"/>
        <w:numPr>
          <w:ilvl w:val="0"/>
          <w:numId w:val="2"/>
        </w:numPr>
        <w:spacing w:after="80"/>
      </w:pPr>
      <w:r>
        <w:t xml:space="preserve">1 × Profile Builder — ₨5,000 per week flat rate</w:t>
      </w:r>
    </w:p>
    <w:p>
      <w:pPr>
        <w:spacing w:after="160"/>
      </w:pPr>
      <w:r>
        <w:t xml:space="preserve">Extended family is deliberately excluded from the ground team to avoid family drama entering the business.</w:t>
      </w:r>
    </w:p>
    <w:p>
      <w:pPr>
        <w:pStyle w:val="Heading2"/>
        <w:spacing w:after="120" w:before="300"/>
      </w:pPr>
      <w:r>
        <w:t xml:space="preserve">Non-Dilutive Funding Connections</w:t>
      </w:r>
    </w:p>
    <w:p>
      <w:pPr>
        <w:spacing w:after="160"/>
      </w:pPr>
      <w:r>
        <w:t xml:space="preserve">Two relationships identified as non-dilutive funding/support connections: a SMEDAN director (a nominating authority for programs such as KOICA) and an SDG Youth International Nigeria regional representative. The KOICA Youth Leaders Program has been assessed as a target for the 2027 cycle, since Voeq's current stage is considered too early for it now.</w:t>
      </w:r>
    </w:p>
    <w:p>
      <w:pPr>
        <w:pStyle w:val="Heading1"/>
        <w:pBdr>
          <w:bottom w:val="single" w:color="0F3D2E" w:sz="12" w:space="4"/>
        </w:pBdr>
        <w:spacing w:after="200" w:before="400"/>
      </w:pPr>
      <w:r>
        <w:t xml:space="preserve">3. Brand Identity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Element</w:t>
            </w:r>
          </w:p>
        </w:tc>
        <w:tc>
          <w:tcPr>
            <w:tcW w:type="dxa" w:w="6600"/>
            <w:shd w:fill="0F3D2E" w:val="clear"/>
          </w:tcPr>
          <w:p>
            <w:r>
              <w:rPr>
                <w:b/>
                <w:bCs/>
                <w:color w:val="FFFFFF"/>
              </w:rPr>
              <w:t xml:space="preserve">Detail</w:t>
            </w:r>
          </w:p>
        </w:tc>
      </w:tr>
      <w:tr>
        <w:tc>
          <w:tcPr>
            <w:tcW w:type="dxa" w:w="3000"/>
            <w:shd w:fill="F7F5F0" w:val="clear"/>
          </w:tcPr>
          <w:p>
            <w:r>
              <w:rPr>
                <w:b/>
                <w:bCs/>
                <w:color w:val="0F3D2E"/>
              </w:rPr>
              <w:t xml:space="preserve">Colours</w:t>
            </w:r>
          </w:p>
        </w:tc>
        <w:tc>
          <w:tcPr>
            <w:tcW w:type="dxa" w:w="6600"/>
          </w:tcPr>
          <w:p>
            <w:r>
              <w:rPr>
                <w:b w:val="false"/>
                <w:bCs w:val="false"/>
                <w:color w:val="000000"/>
              </w:rPr>
              <w:t xml:space="preserve">Forest Green #0F3D2E · Muted Gold #C9A24B · Cream #F7F5F0</w:t>
            </w:r>
          </w:p>
        </w:tc>
      </w:tr>
      <w:tr>
        <w:tc>
          <w:tcPr>
            <w:tcW w:type="dxa" w:w="3000"/>
            <w:shd w:fill="F7F5F0" w:val="clear"/>
          </w:tcPr>
          <w:p>
            <w:r>
              <w:rPr>
                <w:b/>
                <w:bCs/>
                <w:color w:val="0F3D2E"/>
              </w:rPr>
              <w:t xml:space="preserve">Typography</w:t>
            </w:r>
          </w:p>
        </w:tc>
        <w:tc>
          <w:tcPr>
            <w:tcW w:type="dxa" w:w="6600"/>
          </w:tcPr>
          <w:p>
            <w:r>
              <w:rPr>
                <w:b w:val="false"/>
                <w:bCs w:val="false"/>
                <w:color w:val="000000"/>
              </w:rPr>
              <w:t xml:space="preserve">Poppins or Nunito</w:t>
            </w:r>
          </w:p>
        </w:tc>
      </w:tr>
      <w:tr>
        <w:tc>
          <w:tcPr>
            <w:tcW w:type="dxa" w:w="3000"/>
            <w:shd w:fill="F7F5F0" w:val="clear"/>
          </w:tcPr>
          <w:p>
            <w:r>
              <w:rPr>
                <w:b/>
                <w:bCs/>
                <w:color w:val="0F3D2E"/>
              </w:rPr>
              <w:t xml:space="preserve">Logo</w:t>
            </w:r>
          </w:p>
        </w:tc>
        <w:tc>
          <w:tcPr>
            <w:tcW w:type="dxa" w:w="6600"/>
          </w:tcPr>
          <w:p>
            <w:r>
              <w:rPr>
                <w:b w:val="false"/>
                <w:bCs w:val="false"/>
                <w:color w:val="000000"/>
              </w:rPr>
              <w:t xml:space="preserve">Lowercase wordmark — “voe” in green, “q” in gold</w:t>
            </w:r>
          </w:p>
        </w:tc>
      </w:tr>
      <w:tr>
        <w:tc>
          <w:tcPr>
            <w:tcW w:type="dxa" w:w="3000"/>
            <w:shd w:fill="F7F5F0" w:val="clear"/>
          </w:tcPr>
          <w:p>
            <w:r>
              <w:rPr>
                <w:b/>
                <w:bCs/>
                <w:color w:val="0F3D2E"/>
              </w:rPr>
              <w:t xml:space="preserve">Icon</w:t>
            </w:r>
          </w:p>
        </w:tc>
        <w:tc>
          <w:tcPr>
            <w:tcW w:type="dxa" w:w="6600"/>
          </w:tcPr>
          <w:p>
            <w:r>
              <w:rPr>
                <w:b w:val="false"/>
                <w:bCs w:val="false"/>
                <w:color w:val="000000"/>
              </w:rPr>
              <w:t xml:space="preserve">Standalone “q” mark, used for profile pictures and favicons</w:t>
            </w:r>
          </w:p>
        </w:tc>
      </w:tr>
      <w:tr>
        <w:tc>
          <w:tcPr>
            <w:tcW w:type="dxa" w:w="3000"/>
            <w:shd w:fill="F7F5F0" w:val="clear"/>
          </w:tcPr>
          <w:p>
            <w:r>
              <w:rPr>
                <w:b/>
                <w:bCs/>
                <w:color w:val="0F3D2E"/>
              </w:rPr>
              <w:t xml:space="preserve">Pronunciation</w:t>
            </w:r>
          </w:p>
        </w:tc>
        <w:tc>
          <w:tcPr>
            <w:tcW w:type="dxa" w:w="6600"/>
          </w:tcPr>
          <w:p>
            <w:r>
              <w:rPr>
                <w:b w:val="false"/>
                <w:bCs w:val="false"/>
                <w:color w:val="000000"/>
              </w:rPr>
              <w:t xml:space="preserve">VOEQ /voʊk/ — pronounced like “Vogue”, included on all materials</w:t>
            </w:r>
          </w:p>
        </w:tc>
      </w:tr>
      <w:tr>
        <w:tc>
          <w:tcPr>
            <w:tcW w:type="dxa" w:w="3000"/>
            <w:shd w:fill="F7F5F0" w:val="clear"/>
          </w:tcPr>
          <w:p>
            <w:r>
              <w:rPr>
                <w:b/>
                <w:bCs/>
                <w:color w:val="0F3D2E"/>
              </w:rPr>
              <w:t xml:space="preserve">Tagline</w:t>
            </w:r>
          </w:p>
        </w:tc>
        <w:tc>
          <w:tcPr>
            <w:tcW w:type="dxa" w:w="6600"/>
          </w:tcPr>
          <w:p>
            <w:r>
              <w:rPr>
                <w:b w:val="false"/>
                <w:bCs w:val="false"/>
                <w:color w:val="000000"/>
              </w:rPr>
              <w:t xml:space="preserve">Find. Connect. Grow. / Built for Campus. Built for You.</w:t>
            </w:r>
          </w:p>
        </w:tc>
      </w:tr>
    </w:tbl>
    <w:p>
      <w:pPr>
        <w:spacing w:after="100"/>
      </w:pPr>
    </w:p>
    <w:p>
      <w:pPr>
        <w:pStyle w:val="Heading2"/>
        <w:spacing w:after="120" w:before="300"/>
      </w:pPr>
      <w:r>
        <w:t xml:space="preserve">Creative Assets Completed</w:t>
      </w:r>
    </w:p>
    <w:p>
      <w:pPr>
        <w:pStyle w:val="ListParagraph"/>
        <w:numPr>
          <w:ilvl w:val="0"/>
          <w:numId w:val="2"/>
        </w:numPr>
        <w:spacing w:after="80"/>
      </w:pPr>
      <w:r>
        <w:t xml:space="preserve">Three student-facing posters: “Need It Find It on Voeq”, “Campus Life Simplified”, a maze puzzle poster, a word search poster</w:t>
      </w:r>
    </w:p>
    <w:p>
      <w:pPr>
        <w:pStyle w:val="ListParagraph"/>
        <w:numPr>
          <w:ilvl w:val="0"/>
          <w:numId w:val="2"/>
        </w:numPr>
        <w:spacing w:after="80"/>
      </w:pPr>
      <w:r>
        <w:t xml:space="preserve">One vendor-facing poster: “Grow Your Business On Campus”</w:t>
      </w:r>
    </w:p>
    <w:p>
      <w:pPr>
        <w:pStyle w:val="ListParagraph"/>
        <w:numPr>
          <w:ilvl w:val="0"/>
          <w:numId w:val="2"/>
        </w:numPr>
        <w:spacing w:after="80"/>
      </w:pPr>
      <w:r>
        <w:t xml:space="preserve">Pronunciation graphic — dark green background, large wordmark, phonetic transcription</w:t>
      </w:r>
    </w:p>
    <w:p>
      <w:pPr>
        <w:pStyle w:val="ListParagraph"/>
        <w:numPr>
          <w:ilvl w:val="0"/>
          <w:numId w:val="2"/>
        </w:numPr>
        <w:spacing w:after="80"/>
      </w:pPr>
      <w:r>
        <w:t xml:space="preserve">Coming-soon teaser — dark green with gold star accents, to go live when the domain is purchased</w:t>
      </w:r>
    </w:p>
    <w:p>
      <w:pPr>
        <w:pStyle w:val="ListParagraph"/>
        <w:numPr>
          <w:ilvl w:val="0"/>
          <w:numId w:val="2"/>
        </w:numPr>
        <w:spacing w:after="80"/>
      </w:pPr>
      <w:r>
        <w:t xml:space="preserve">Full content calendar, July–October, with specific weekly posts mapped out</w:t>
      </w:r>
    </w:p>
    <w:p>
      <w:pPr>
        <w:pStyle w:val="ListParagraph"/>
        <w:numPr>
          <w:ilvl w:val="0"/>
          <w:numId w:val="2"/>
        </w:numPr>
        <w:spacing w:after="80"/>
      </w:pPr>
      <w:r>
        <w:t xml:space="preserve">Etsy-style content guide sent to the Creative Director</w:t>
      </w:r>
    </w:p>
    <w:p>
      <w:pPr>
        <w:pStyle w:val="ListParagraph"/>
        <w:numPr>
          <w:ilvl w:val="0"/>
          <w:numId w:val="2"/>
        </w:numPr>
        <w:spacing w:after="80"/>
      </w:pPr>
      <w:r>
        <w:t xml:space="preserve">Brand kit: logos (light/dark), transparent “q” icon PNG, colour codes</w:t>
      </w:r>
    </w:p>
    <w:p>
      <w:pPr>
        <w:pStyle w:val="Heading1"/>
        <w:pBdr>
          <w:bottom w:val="single" w:color="0F3D2E" w:sz="12" w:space="4"/>
        </w:pBdr>
        <w:spacing w:after="200" w:before="400"/>
      </w:pPr>
      <w:r>
        <w:t xml:space="preserve">4. Platform &amp; Product</w:t>
      </w:r>
    </w:p>
    <w:p>
      <w:pPr>
        <w:spacing w:after="160"/>
      </w:pPr>
      <w:r>
        <w:t xml:space="preserve">Voeq is currently live at voeq.vercel.app and is a mobile-first web platform — not a native app. A native app is a Stage 3/4 consideration, not a near-term priority. The custom domain, voeq.ng, is being connected in early August 2026 — chosen over voeq.com.ng for being shorter and more premium.</w:t>
      </w:r>
    </w:p>
    <w:p>
      <w:pPr>
        <w:pStyle w:val="Heading2"/>
        <w:spacing w:after="120" w:before="300"/>
      </w:pPr>
      <w:r>
        <w:t xml:space="preserve">Core Features</w:t>
      </w:r>
    </w:p>
    <w:p>
      <w:pPr>
        <w:pStyle w:val="ListParagraph"/>
        <w:numPr>
          <w:ilvl w:val="0"/>
          <w:numId w:val="2"/>
        </w:numPr>
        <w:spacing w:after="80"/>
      </w:pPr>
      <w:r>
        <w:t xml:space="preserve">Search bar</w:t>
      </w:r>
    </w:p>
    <w:p>
      <w:pPr>
        <w:pStyle w:val="ListParagraph"/>
        <w:numPr>
          <w:ilvl w:val="0"/>
          <w:numId w:val="2"/>
        </w:numPr>
        <w:spacing w:after="80"/>
      </w:pPr>
      <w:r>
        <w:t xml:space="preserve">Horizontal category scroll (20 categories)</w:t>
      </w:r>
    </w:p>
    <w:p>
      <w:pPr>
        <w:pStyle w:val="ListParagraph"/>
        <w:numPr>
          <w:ilvl w:val="0"/>
          <w:numId w:val="2"/>
        </w:numPr>
        <w:spacing w:after="80"/>
      </w:pPr>
      <w:r>
        <w:t xml:space="preserve">Featured Vendors section (curated)</w:t>
      </w:r>
    </w:p>
    <w:p>
      <w:pPr>
        <w:pStyle w:val="ListParagraph"/>
        <w:numPr>
          <w:ilvl w:val="0"/>
          <w:numId w:val="2"/>
        </w:numPr>
        <w:spacing w:after="80"/>
      </w:pPr>
      <w:r>
        <w:t xml:space="preserve">Recently Joined Vendors section</w:t>
      </w:r>
    </w:p>
    <w:p>
      <w:pPr>
        <w:pStyle w:val="ListParagraph"/>
        <w:numPr>
          <w:ilvl w:val="0"/>
          <w:numId w:val="2"/>
        </w:numPr>
        <w:spacing w:after="80"/>
      </w:pPr>
      <w:r>
        <w:t xml:space="preserve">Flash Deals section</w:t>
      </w:r>
    </w:p>
    <w:p>
      <w:pPr>
        <w:pStyle w:val="ListParagraph"/>
        <w:numPr>
          <w:ilvl w:val="0"/>
          <w:numId w:val="2"/>
        </w:numPr>
        <w:spacing w:after="80"/>
      </w:pPr>
      <w:r>
        <w:t xml:space="preserve">“Request a product or service” button</w:t>
      </w:r>
    </w:p>
    <w:p>
      <w:pPr>
        <w:pStyle w:val="ListParagraph"/>
        <w:numPr>
          <w:ilvl w:val="0"/>
          <w:numId w:val="2"/>
        </w:numPr>
        <w:spacing w:after="80"/>
      </w:pPr>
      <w:r>
        <w:t xml:space="preserve">Vendor profiles with storefront, reviews, and comments</w:t>
      </w:r>
    </w:p>
    <w:p>
      <w:pPr>
        <w:pStyle w:val="ListParagraph"/>
        <w:numPr>
          <w:ilvl w:val="0"/>
          <w:numId w:val="2"/>
        </w:numPr>
        <w:spacing w:after="80"/>
      </w:pPr>
      <w:r>
        <w:t xml:space="preserve">Direct WhatsApp connection button on every vendor profile</w:t>
      </w:r>
    </w:p>
    <w:p>
      <w:pPr>
        <w:pStyle w:val="ListParagraph"/>
        <w:numPr>
          <w:ilvl w:val="0"/>
          <w:numId w:val="2"/>
        </w:numPr>
        <w:spacing w:after="80"/>
      </w:pPr>
      <w:r>
        <w:t xml:space="preserve">Campus-specific filtering — users select their campus at registration and only see vendors from that campus</w:t>
      </w:r>
    </w:p>
    <w:p>
      <w:pPr>
        <w:pStyle w:val="Heading2"/>
        <w:spacing w:after="120" w:before="300"/>
      </w:pPr>
      <w:r>
        <w:t xml:space="preserve">Vendor Categories (20)</w:t>
      </w:r>
    </w:p>
    <w:p>
      <w:pPr>
        <w:spacing w:after="160"/>
      </w:pPr>
      <w:r>
        <w:t xml:space="preserve">Food, Fashion, Tech, Beauty, Repairs, Printing, Laundry, Photography, Academic Services, Logistics, Furniture, Health and Wellness, Catering, Cleaning, Electrical, Plumbing, Tailoring, Supermarket, Pharmacy, Other.</w:t>
      </w:r>
    </w:p>
    <w:p>
      <w:pPr>
        <w:pStyle w:val="Heading1"/>
        <w:pBdr>
          <w:bottom w:val="single" w:color="0F3D2E" w:sz="12" w:space="4"/>
        </w:pBdr>
        <w:spacing w:after="200" w:before="400"/>
      </w:pPr>
      <w:r>
        <w:t xml:space="preserve">5. Developer Update Priorities — August 2026</w:t>
      </w:r>
    </w:p>
    <w:p>
      <w:pPr>
        <w:spacing w:after="160"/>
      </w:pPr>
      <w:r>
        <w:t xml:space="preserve">A 14-item developer brief (“Platform Update Priorities”) was prepared for the developer arriving in August 2026, based on a detailed review of the live platform. The brief itself sets the priority tiering: Priorities 1–9 must be complete before vendor recruitment begins; Priorities 10–14 may run alongside early vendor recruitment but must be complete before the October public launch. The developer has indicated he will try to complete all 14 within one week.</w:t>
      </w:r>
    </w:p>
    <w:p>
      <w:pPr>
        <w:pStyle w:val="Heading2"/>
        <w:spacing w:after="120" w:before="300"/>
      </w:pPr>
      <w:r>
        <w:t xml:space="preserve">Priority 1–9 — Must complete before vendor recruitment begins</w:t>
      </w:r>
    </w:p>
    <w:p>
      <w:pPr>
        <w:pStyle w:val="ListParagraph"/>
        <w:numPr>
          <w:ilvl w:val="0"/>
          <w:numId w:val="2"/>
        </w:numPr>
        <w:spacing w:after="80"/>
      </w:pPr>
      <w:r>
        <w:t xml:space="preserve">P1 — Critical bug fix: remove the duplicated “popular tags” row in the hero section</w:t>
      </w:r>
    </w:p>
    <w:p>
      <w:pPr>
        <w:pStyle w:val="ListParagraph"/>
        <w:numPr>
          <w:ilvl w:val="0"/>
          <w:numId w:val="2"/>
        </w:numPr>
        <w:spacing w:after="80"/>
      </w:pPr>
      <w:r>
        <w:t xml:space="preserve">P2 — Fix mobile hero spacing so the headline/search bar sit in the upper third with no dead space above</w:t>
      </w:r>
    </w:p>
    <w:p>
      <w:pPr>
        <w:pStyle w:val="ListParagraph"/>
        <w:numPr>
          <w:ilvl w:val="0"/>
          <w:numId w:val="2"/>
        </w:numPr>
        <w:spacing w:after="80"/>
      </w:pPr>
      <w:r>
        <w:t xml:space="preserve">P3 — Replace hero subheadline copy with the new, sharper version</w:t>
      </w:r>
    </w:p>
    <w:p>
      <w:pPr>
        <w:pStyle w:val="ListParagraph"/>
        <w:numPr>
          <w:ilvl w:val="0"/>
          <w:numId w:val="2"/>
        </w:numPr>
        <w:spacing w:after="80"/>
      </w:pPr>
      <w:r>
        <w:t xml:space="preserve">P4 — Replace the lightning-bolt “Connect” icon with a WhatsApp/chat-bubble icon</w:t>
      </w:r>
    </w:p>
    <w:p>
      <w:pPr>
        <w:pStyle w:val="ListParagraph"/>
        <w:numPr>
          <w:ilvl w:val="0"/>
          <w:numId w:val="2"/>
        </w:numPr>
        <w:spacing w:after="80"/>
      </w:pPr>
      <w:r>
        <w:t xml:space="preserve">P5 — Convert the vertical category grid into a horizontal scrollable row (3–4 categories visible at once on mobile)</w:t>
      </w:r>
    </w:p>
    <w:p>
      <w:pPr>
        <w:pStyle w:val="ListParagraph"/>
        <w:numPr>
          <w:ilvl w:val="0"/>
          <w:numId w:val="2"/>
        </w:numPr>
        <w:spacing w:after="80"/>
      </w:pPr>
      <w:r>
        <w:t xml:space="preserve">P6 — Add a curated Featured Vendors section (photo, name, category, rating/reviews, one-line description)</w:t>
      </w:r>
    </w:p>
    <w:p>
      <w:pPr>
        <w:pStyle w:val="ListParagraph"/>
        <w:numPr>
          <w:ilvl w:val="0"/>
          <w:numId w:val="2"/>
        </w:numPr>
        <w:spacing w:after="80"/>
      </w:pPr>
      <w:r>
        <w:t xml:space="preserve">P7 — Add campus selection at registration for both vendors and users, with campus-aware filtering architected from day one</w:t>
      </w:r>
    </w:p>
    <w:p>
      <w:pPr>
        <w:pStyle w:val="ListParagraph"/>
        <w:numPr>
          <w:ilvl w:val="0"/>
          <w:numId w:val="2"/>
        </w:numPr>
        <w:spacing w:after="80"/>
      </w:pPr>
      <w:r>
        <w:t xml:space="preserve">P8 — Add the vendor registration agreement checkbox, required before the “Go Live” button activates</w:t>
      </w:r>
    </w:p>
    <w:p>
      <w:pPr>
        <w:pStyle w:val="ListParagraph"/>
        <w:numPr>
          <w:ilvl w:val="0"/>
          <w:numId w:val="2"/>
        </w:numPr>
        <w:spacing w:after="80"/>
      </w:pPr>
      <w:r>
        <w:t xml:space="preserve">P9 — Connect the custom domain once purchased, and update all hardcoded voeq.vercel.app references</w:t>
      </w:r>
    </w:p>
    <w:p>
      <w:pPr>
        <w:pStyle w:val="Heading2"/>
        <w:spacing w:after="120" w:before="300"/>
      </w:pPr>
      <w:r>
        <w:t xml:space="preserve">Priority 10–14 — Must complete before the October public launch</w:t>
      </w:r>
    </w:p>
    <w:p>
      <w:pPr>
        <w:pStyle w:val="ListParagraph"/>
        <w:numPr>
          <w:ilvl w:val="0"/>
          <w:numId w:val="2"/>
        </w:numPr>
        <w:spacing w:after="80"/>
      </w:pPr>
      <w:r>
        <w:t xml:space="preserve">P10 — “Why Voeq” section copy update</w:t>
      </w:r>
    </w:p>
    <w:p>
      <w:pPr>
        <w:pStyle w:val="ListParagraph"/>
        <w:numPr>
          <w:ilvl w:val="0"/>
          <w:numId w:val="2"/>
        </w:numPr>
        <w:spacing w:after="80"/>
      </w:pPr>
      <w:r>
        <w:t xml:space="preserve">P11 — “Community First” feature-point copy update</w:t>
      </w:r>
    </w:p>
    <w:p>
      <w:pPr>
        <w:pStyle w:val="ListParagraph"/>
        <w:numPr>
          <w:ilvl w:val="0"/>
          <w:numId w:val="2"/>
        </w:numPr>
        <w:spacing w:after="80"/>
      </w:pPr>
      <w:r>
        <w:t xml:space="preserve">P12 — Replace stock office photos with real NMU vendor/student photos (or remove until available)</w:t>
      </w:r>
    </w:p>
    <w:p>
      <w:pPr>
        <w:pStyle w:val="ListParagraph"/>
        <w:numPr>
          <w:ilvl w:val="0"/>
          <w:numId w:val="2"/>
        </w:numPr>
        <w:spacing w:after="80"/>
      </w:pPr>
      <w:r>
        <w:t xml:space="preserve">P13 — Vendor CTA copy fix — remove the “thousands of vendors” claim, which is inaccurate at launch</w:t>
      </w:r>
    </w:p>
    <w:p>
      <w:pPr>
        <w:pStyle w:val="ListParagraph"/>
        <w:numPr>
          <w:ilvl w:val="0"/>
          <w:numId w:val="2"/>
        </w:numPr>
        <w:spacing w:after="80"/>
      </w:pPr>
      <w:r>
        <w:t xml:space="preserve">P14 — Mobile performance testing across at least 3 Android devices: search bar visibility, tappable category cards, 4G load speed on vendor profiles, working WhatsApp connect button, error-free vendor registration flow, and full confirmation that the duplicate-tags bug is resolved on all screen sizes</w:t>
      </w:r>
    </w:p>
    <w:p>
      <w:pPr>
        <w:pStyle w:val="Heading1"/>
        <w:pBdr>
          <w:bottom w:val="single" w:color="0F3D2E" w:sz="12" w:space="4"/>
        </w:pBdr>
        <w:spacing w:after="200" w:before="400"/>
      </w:pPr>
      <w:r>
        <w:t xml:space="preserve">6. Legal &amp; Business Registration</w:t>
      </w:r>
    </w:p>
    <w:p>
      <w:pPr>
        <w:pStyle w:val="Heading2"/>
        <w:spacing w:after="120" w:before="300"/>
      </w:pPr>
      <w:r>
        <w:t xml:space="preserve">Documents Completed</w:t>
      </w:r>
    </w:p>
    <w:p>
      <w:pPr>
        <w:pStyle w:val="ListParagraph"/>
        <w:numPr>
          <w:ilvl w:val="0"/>
          <w:numId w:val="2"/>
        </w:numPr>
        <w:spacing w:after="80"/>
      </w:pPr>
      <w:r>
        <w:t xml:space="preserve">Terms of Service — Voeq Limited</w:t>
      </w:r>
    </w:p>
    <w:p>
      <w:pPr>
        <w:pStyle w:val="ListParagraph"/>
        <w:numPr>
          <w:ilvl w:val="0"/>
          <w:numId w:val="2"/>
        </w:numPr>
        <w:spacing w:after="80"/>
      </w:pPr>
      <w:r>
        <w:t xml:space="preserve">Privacy Policy — NDPR 2019 compliant</w:t>
      </w:r>
    </w:p>
    <w:p>
      <w:pPr>
        <w:pStyle w:val="ListParagraph"/>
        <w:numPr>
          <w:ilvl w:val="0"/>
          <w:numId w:val="2"/>
        </w:numPr>
        <w:spacing w:after="80"/>
      </w:pPr>
      <w:r>
        <w:t xml:space="preserve">Vendor registration agreement clause</w:t>
      </w:r>
    </w:p>
    <w:p>
      <w:pPr>
        <w:pStyle w:val="ListParagraph"/>
        <w:numPr>
          <w:ilvl w:val="0"/>
          <w:numId w:val="2"/>
        </w:numPr>
        <w:spacing w:after="80"/>
      </w:pPr>
      <w:r>
        <w:t xml:space="preserve">Creative Director Agreement (simplified 2-page version, signed)</w:t>
      </w:r>
    </w:p>
    <w:p>
      <w:pPr>
        <w:pStyle w:val="ListParagraph"/>
        <w:numPr>
          <w:ilvl w:val="0"/>
          <w:numId w:val="2"/>
        </w:numPr>
        <w:spacing w:after="80"/>
      </w:pPr>
      <w:r>
        <w:t xml:space="preserve">Founder's Playbook — 15 sections (vision, problem, platform, team, launch strategy, liquidity, monetization, content strategy, vendor strategy, growth, avoiding failure, differentiation, legal, action plan, mindset)</w:t>
      </w:r>
    </w:p>
    <w:p>
      <w:pPr>
        <w:pStyle w:val="ListParagraph"/>
        <w:numPr>
          <w:ilvl w:val="0"/>
          <w:numId w:val="2"/>
        </w:numPr>
        <w:spacing w:after="80"/>
      </w:pPr>
      <w:r>
        <w:t xml:space="preserve">Platform Update Priorities — 14-item developer brief, deadline August 20, 2026</w:t>
      </w:r>
    </w:p>
    <w:p>
      <w:pPr>
        <w:pStyle w:val="Heading2"/>
        <w:spacing w:after="120" w:before="300"/>
      </w:pPr>
      <w:r>
        <w:t xml:space="preserve">Business Registration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Item</w:t>
            </w:r>
          </w:p>
        </w:tc>
        <w:tc>
          <w:tcPr>
            <w:tcW w:type="dxa" w:w="6600"/>
            <w:shd w:fill="0F3D2E" w:val="clear"/>
          </w:tcPr>
          <w:p>
            <w:r>
              <w:rPr>
                <w:b/>
                <w:bCs/>
                <w:color w:val="FFFFFF"/>
              </w:rPr>
              <w:t xml:space="preserve">Plan</w:t>
            </w:r>
          </w:p>
        </w:tc>
      </w:tr>
      <w:tr>
        <w:tc>
          <w:tcPr>
            <w:tcW w:type="dxa" w:w="3000"/>
            <w:shd w:fill="F7F5F0" w:val="clear"/>
          </w:tcPr>
          <w:p>
            <w:r>
              <w:rPr>
                <w:b/>
                <w:bCs/>
                <w:color w:val="0F3D2E"/>
              </w:rPr>
              <w:t xml:space="preserve">Company name</w:t>
            </w:r>
          </w:p>
        </w:tc>
        <w:tc>
          <w:tcPr>
            <w:tcW w:type="dxa" w:w="6600"/>
          </w:tcPr>
          <w:p>
            <w:r>
              <w:rPr>
                <w:b w:val="false"/>
                <w:bCs w:val="false"/>
                <w:color w:val="000000"/>
              </w:rPr>
              <w:t xml:space="preserve">Voeq Limited</w:t>
            </w:r>
          </w:p>
        </w:tc>
      </w:tr>
      <w:tr>
        <w:tc>
          <w:tcPr>
            <w:tcW w:type="dxa" w:w="3000"/>
            <w:shd w:fill="F7F5F0" w:val="clear"/>
          </w:tcPr>
          <w:p>
            <w:r>
              <w:rPr>
                <w:b/>
                <w:bCs/>
                <w:color w:val="0F3D2E"/>
              </w:rPr>
              <w:t xml:space="preserve">CAC registration</w:t>
            </w:r>
          </w:p>
        </w:tc>
        <w:tc>
          <w:tcPr>
            <w:tcW w:type="dxa" w:w="6600"/>
          </w:tcPr>
          <w:p>
            <w:r>
              <w:rPr>
                <w:b w:val="false"/>
                <w:bCs w:val="false"/>
                <w:color w:val="000000"/>
              </w:rPr>
              <w:t xml:space="preserve">December 2026, during mid-semester break</w:t>
            </w:r>
          </w:p>
        </w:tc>
      </w:tr>
      <w:tr>
        <w:tc>
          <w:tcPr>
            <w:tcW w:type="dxa" w:w="3000"/>
            <w:shd w:fill="F7F5F0" w:val="clear"/>
          </w:tcPr>
          <w:p>
            <w:r>
              <w:rPr>
                <w:b/>
                <w:bCs/>
                <w:color w:val="0F3D2E"/>
              </w:rPr>
              <w:t xml:space="preserve">Objects clause</w:t>
            </w:r>
          </w:p>
        </w:tc>
        <w:tc>
          <w:tcPr>
            <w:tcW w:type="dxa" w:w="6600"/>
          </w:tcPr>
          <w:p>
            <w:r>
              <w:rPr>
                <w:b w:val="false"/>
                <w:bCs w:val="false"/>
                <w:color w:val="000000"/>
              </w:rPr>
              <w:t xml:space="preserve">Deliberately broad — technology platforms, digital services, commerce, and any other business the company deems appropriate — to cover future verticals (housing, ticketing, supplier network, delivery)</w:t>
            </w:r>
          </w:p>
        </w:tc>
      </w:tr>
      <w:tr>
        <w:tc>
          <w:tcPr>
            <w:tcW w:type="dxa" w:w="3000"/>
            <w:shd w:fill="F7F5F0" w:val="clear"/>
          </w:tcPr>
          <w:p>
            <w:r>
              <w:rPr>
                <w:b/>
                <w:bCs/>
                <w:color w:val="0F3D2E"/>
              </w:rPr>
              <w:t xml:space="preserve">Bank account</w:t>
            </w:r>
          </w:p>
        </w:tc>
        <w:tc>
          <w:tcPr>
            <w:tcW w:type="dxa" w:w="6600"/>
          </w:tcPr>
          <w:p>
            <w:r>
              <w:rPr>
                <w:b w:val="false"/>
                <w:bCs w:val="false"/>
                <w:color w:val="000000"/>
              </w:rPr>
              <w:t xml:space="preserve">GTBank or UBA current account, opened immediately after CAC certificate</w:t>
            </w:r>
          </w:p>
        </w:tc>
      </w:tr>
      <w:tr>
        <w:tc>
          <w:tcPr>
            <w:tcW w:type="dxa" w:w="3000"/>
            <w:shd w:fill="F7F5F0" w:val="clear"/>
          </w:tcPr>
          <w:p>
            <w:r>
              <w:rPr>
                <w:b/>
                <w:bCs/>
                <w:color w:val="0F3D2E"/>
              </w:rPr>
              <w:t xml:space="preserve">Payment processor</w:t>
            </w:r>
          </w:p>
        </w:tc>
        <w:tc>
          <w:tcPr>
            <w:tcW w:type="dxa" w:w="6600"/>
          </w:tcPr>
          <w:p>
            <w:r>
              <w:rPr>
                <w:b w:val="false"/>
                <w:bCs w:val="false"/>
                <w:color w:val="000000"/>
              </w:rPr>
              <w:t xml:space="preserve">Paystack merchant account, registered after the business bank account</w:t>
            </w:r>
          </w:p>
        </w:tc>
      </w:tr>
      <w:tr>
        <w:tc>
          <w:tcPr>
            <w:tcW w:type="dxa" w:w="3000"/>
            <w:shd w:fill="F7F5F0" w:val="clear"/>
          </w:tcPr>
          <w:p>
            <w:r>
              <w:rPr>
                <w:b/>
                <w:bCs/>
                <w:color w:val="0F3D2E"/>
              </w:rPr>
              <w:t xml:space="preserve">International structure</w:t>
            </w:r>
          </w:p>
        </w:tc>
        <w:tc>
          <w:tcPr>
            <w:tcW w:type="dxa" w:w="6600"/>
          </w:tcPr>
          <w:p>
            <w:r>
              <w:rPr>
                <w:b w:val="false"/>
                <w:bCs w:val="false"/>
                <w:color w:val="000000"/>
              </w:rPr>
              <w:t xml:space="preserve">Delaware C-Corp considered as an international parent company — a Year 3/4 conversation, timed to approaching international investors</w:t>
            </w:r>
          </w:p>
        </w:tc>
      </w:tr>
    </w:tbl>
    <w:p>
      <w:pPr>
        <w:pStyle w:val="Heading1"/>
        <w:pBdr>
          <w:bottom w:val="single" w:color="0F3D2E" w:sz="12" w:space="4"/>
        </w:pBdr>
        <w:spacing w:after="200" w:before="400"/>
      </w:pPr>
      <w:r>
        <w:t xml:space="preserve">7. Launch Strategy</w:t>
      </w:r>
    </w:p>
    <w:p>
      <w:pPr>
        <w:spacing w:after="160"/>
      </w:pPr>
      <w:r>
        <w:t xml:space="preserve">Modeled on Facebook's campus-by-campus playbook. Vendor recruitment happens digitally in August and September while campus is on vacation, so that all vendor storefronts are ready before students return.</w:t>
      </w:r>
    </w:p>
    <w:p>
      <w:pPr>
        <w:pStyle w:val="Heading2"/>
        <w:spacing w:after="120" w:before="300"/>
      </w:pPr>
      <w:r>
        <w:t xml:space="preserve">Why October, Not September</w:t>
      </w:r>
    </w:p>
    <w:p>
      <w:pPr>
        <w:spacing w:after="160"/>
      </w:pPr>
      <w:r>
        <w:t xml:space="preserve">Vendors are returning students, so the launch is timed to October 7–10 — after returning students resume on October 4 — rather than September 27, when only fresh students arrive.</w:t>
      </w:r>
    </w:p>
    <w:p>
      <w:pPr>
        <w:pStyle w:val="Heading2"/>
        <w:spacing w:after="120" w:before="300"/>
      </w:pPr>
      <w:r>
        <w:t xml:space="preserve">Pre-Launch Targets</w:t>
      </w:r>
    </w:p>
    <w:p>
      <w:pPr>
        <w:pStyle w:val="ListParagraph"/>
        <w:numPr>
          <w:ilvl w:val="0"/>
          <w:numId w:val="2"/>
        </w:numPr>
        <w:spacing w:after="80"/>
      </w:pPr>
      <w:r>
        <w:t xml:space="preserve">30 vendors recruited across all major categories before launch, at least 2–3 per category</w:t>
      </w:r>
    </w:p>
    <w:p>
      <w:pPr>
        <w:pStyle w:val="ListParagraph"/>
        <w:numPr>
          <w:ilvl w:val="0"/>
          <w:numId w:val="2"/>
        </w:numPr>
        <w:spacing w:after="80"/>
      </w:pPr>
      <w:r>
        <w:t xml:space="preserve">Every vendor has a live storefront before launch day</w:t>
      </w:r>
    </w:p>
    <w:p>
      <w:pPr>
        <w:pStyle w:val="Heading2"/>
        <w:spacing w:after="120" w:before="300"/>
      </w:pPr>
      <w:r>
        <w:t xml:space="preserve">Launch Day</w:t>
      </w:r>
    </w:p>
    <w:p>
      <w:pPr>
        <w:pStyle w:val="ListParagraph"/>
        <w:numPr>
          <w:ilvl w:val="0"/>
          <w:numId w:val="2"/>
        </w:numPr>
        <w:spacing w:after="80"/>
      </w:pPr>
      <w:r>
        <w:t xml:space="preserve">WhatsApp status storm across the ground team and early vendor network</w:t>
      </w:r>
    </w:p>
    <w:p>
      <w:pPr>
        <w:pStyle w:val="ListParagraph"/>
        <w:numPr>
          <w:ilvl w:val="0"/>
          <w:numId w:val="2"/>
        </w:numPr>
        <w:spacing w:after="80"/>
      </w:pPr>
      <w:r>
        <w:t xml:space="preserve">QR code posters placed at high-traffic points: the NMU jetty waiting areas and the cadet mess</w:t>
      </w:r>
    </w:p>
    <w:p>
      <w:pPr>
        <w:pStyle w:val="Heading2"/>
        <w:spacing w:after="120" w:before="300"/>
      </w:pPr>
      <w:r>
        <w:t xml:space="preserve">Post-Launch Content</w:t>
      </w:r>
    </w:p>
    <w:p>
      <w:pPr>
        <w:pStyle w:val="ListParagraph"/>
        <w:numPr>
          <w:ilvl w:val="0"/>
          <w:numId w:val="2"/>
        </w:numPr>
        <w:spacing w:after="80"/>
      </w:pPr>
      <w:r>
        <w:t xml:space="preserve">Vendor spotlights</w:t>
      </w:r>
    </w:p>
    <w:p>
      <w:pPr>
        <w:pStyle w:val="ListParagraph"/>
        <w:numPr>
          <w:ilvl w:val="0"/>
          <w:numId w:val="2"/>
        </w:numPr>
        <w:spacing w:after="80"/>
      </w:pPr>
      <w:r>
        <w:t xml:space="preserve">Engagement posts</w:t>
      </w:r>
    </w:p>
    <w:p>
      <w:pPr>
        <w:pStyle w:val="ListParagraph"/>
        <w:numPr>
          <w:ilvl w:val="0"/>
          <w:numId w:val="2"/>
        </w:numPr>
        <w:spacing w:after="80"/>
      </w:pPr>
      <w:r>
        <w:t xml:space="preserve">Flash deal announcements</w:t>
      </w:r>
    </w:p>
    <w:p>
      <w:pPr>
        <w:pStyle w:val="Heading1"/>
        <w:pBdr>
          <w:bottom w:val="single" w:color="0F3D2E" w:sz="12" w:space="4"/>
        </w:pBdr>
        <w:spacing w:after="200" w:before="400"/>
      </w:pPr>
      <w:r>
        <w:t xml:space="preserve">8. Monetization Model</w:t>
      </w:r>
    </w:p>
    <w:p>
      <w:pPr>
        <w:spacing w:after="160"/>
      </w:pPr>
      <w:r>
        <w:t xml:space="preserve">All monetization activates in January 2027, after CAC registration and Paystack integration. October 2026 through January 2027 is a free discovery-and-connection period with zero payment features live.</w:t>
      </w:r>
    </w:p>
    <w:p>
      <w:pPr>
        <w:pStyle w:val="Heading2"/>
        <w:spacing w:after="120" w:before="300"/>
      </w:pPr>
      <w:r>
        <w:t xml:space="preserve">Commission Model</w:t>
      </w:r>
    </w:p>
    <w:p>
      <w:pPr>
        <w:pStyle w:val="ListParagraph"/>
        <w:numPr>
          <w:ilvl w:val="0"/>
          <w:numId w:val="2"/>
        </w:numPr>
        <w:spacing w:after="80"/>
      </w:pPr>
      <w:r>
        <w:t xml:space="preserve">Vendor pays 6.5% commission on all transactions</w:t>
      </w:r>
    </w:p>
    <w:p>
      <w:pPr>
        <w:pStyle w:val="ListParagraph"/>
        <w:numPr>
          <w:ilvl w:val="0"/>
          <w:numId w:val="2"/>
        </w:numPr>
        <w:spacing w:after="80"/>
      </w:pPr>
      <w:r>
        <w:t xml:space="preserve">Paystack takes 1.5% out of that 6.5%</w:t>
      </w:r>
    </w:p>
    <w:p>
      <w:pPr>
        <w:pStyle w:val="ListParagraph"/>
        <w:numPr>
          <w:ilvl w:val="0"/>
          <w:numId w:val="2"/>
        </w:numPr>
        <w:spacing w:after="80"/>
      </w:pPr>
      <w:r>
        <w:t xml:space="preserve">Voeq nets an effective ~5% commission</w:t>
      </w:r>
    </w:p>
    <w:p>
      <w:pPr>
        <w:pStyle w:val="ListParagraph"/>
        <w:numPr>
          <w:ilvl w:val="0"/>
          <w:numId w:val="2"/>
        </w:numPr>
        <w:spacing w:after="80"/>
      </w:pPr>
      <w:r>
        <w:t xml:space="preserve">Buyer pays the listed price with zero additional fees — a deliberate choice to remove any incentive to bypass the platform</w:t>
      </w:r>
    </w:p>
    <w:p>
      <w:pPr>
        <w:pStyle w:val="ListParagraph"/>
        <w:numPr>
          <w:ilvl w:val="0"/>
          <w:numId w:val="2"/>
        </w:numPr>
        <w:spacing w:after="80"/>
      </w:pPr>
      <w:r>
        <w:t xml:space="preserve">Transactions under ₨2,000 pay a ₨100 flat fee instead of a percentage, to protect Voeq from Paystack's minimum-charge losses on small transactions</w:t>
      </w:r>
    </w:p>
    <w:p>
      <w:pPr>
        <w:pStyle w:val="Heading2"/>
        <w:spacing w:after="120" w:before="300"/>
      </w:pPr>
      <w:r>
        <w:t xml:space="preserve">Subscription Model</w:t>
      </w:r>
    </w:p>
    <w:p>
      <w:pPr>
        <w:pStyle w:val="ListParagraph"/>
        <w:numPr>
          <w:ilvl w:val="0"/>
          <w:numId w:val="2"/>
        </w:numPr>
        <w:spacing w:after="80"/>
      </w:pPr>
      <w:r>
        <w:t xml:space="preserve">Free basic listing — forever</w:t>
      </w:r>
    </w:p>
    <w:p>
      <w:pPr>
        <w:pStyle w:val="ListParagraph"/>
        <w:numPr>
          <w:ilvl w:val="0"/>
          <w:numId w:val="2"/>
        </w:numPr>
        <w:spacing w:after="80"/>
      </w:pPr>
      <w:r>
        <w:t xml:space="preserve">Paid tier — ₨800/month for more photos, better search placement, analytics, and priority support</w:t>
      </w:r>
    </w:p>
    <w:p>
      <w:pPr>
        <w:pStyle w:val="Heading2"/>
        <w:spacing w:after="120" w:before="300"/>
      </w:pPr>
      <w:r>
        <w:t xml:space="preserve">Pay-As-You-Go Premium Features</w:t>
      </w:r>
    </w:p>
    <w:p>
      <w:pPr>
        <w:pStyle w:val="ListParagraph"/>
        <w:numPr>
          <w:ilvl w:val="0"/>
          <w:numId w:val="2"/>
        </w:numPr>
        <w:spacing w:after="80"/>
      </w:pPr>
      <w:r>
        <w:t xml:space="preserve">Homepage featured placement — ₨2,000 for 7 days</w:t>
      </w:r>
    </w:p>
    <w:p>
      <w:pPr>
        <w:pStyle w:val="ListParagraph"/>
        <w:numPr>
          <w:ilvl w:val="0"/>
          <w:numId w:val="2"/>
        </w:numPr>
        <w:spacing w:after="80"/>
      </w:pPr>
      <w:r>
        <w:t xml:space="preserve">Category top placement — ₨1,500 for 7 days</w:t>
      </w:r>
    </w:p>
    <w:p>
      <w:pPr>
        <w:pStyle w:val="ListParagraph"/>
        <w:numPr>
          <w:ilvl w:val="0"/>
          <w:numId w:val="2"/>
        </w:numPr>
        <w:spacing w:after="80"/>
      </w:pPr>
      <w:r>
        <w:t xml:space="preserve">Monthly vendor spotlight — ₨3,000</w:t>
      </w:r>
    </w:p>
    <w:p>
      <w:pPr>
        <w:pStyle w:val="ListParagraph"/>
        <w:numPr>
          <w:ilvl w:val="0"/>
          <w:numId w:val="2"/>
        </w:numPr>
        <w:spacing w:after="80"/>
      </w:pPr>
      <w:r>
        <w:t xml:space="preserve">Weekly demand report — ₨1,500/month</w:t>
      </w:r>
    </w:p>
    <w:p>
      <w:pPr>
        <w:pStyle w:val="Heading2"/>
        <w:spacing w:after="120" w:before="300"/>
      </w:pPr>
      <w:r>
        <w:t xml:space="preserve">Verified Badge</w:t>
      </w:r>
    </w:p>
    <w:p>
      <w:pPr>
        <w:spacing w:after="160"/>
      </w:pPr>
      <w:r>
        <w:t xml:space="preserve">Earned through trust criteria, not payment: ID confirmation, a complete profile, 30 days active on the platform, a clean record, and confirmed campus presence.</w:t>
      </w:r>
    </w:p>
    <w:p>
      <w:pPr>
        <w:pStyle w:val="Heading2"/>
        <w:spacing w:after="120" w:before="300"/>
      </w:pPr>
      <w:r>
        <w:t xml:space="preserve">Delivery Commission</w:t>
      </w:r>
    </w:p>
    <w:p>
      <w:pPr>
        <w:spacing w:after="160"/>
      </w:pPr>
      <w:r>
        <w:t xml:space="preserve">15% of the delivery fee is taken from transactions processed through the future Swift delivery partnership.</w:t>
      </w:r>
    </w:p>
    <w:p>
      <w:pPr>
        <w:pStyle w:val="Heading1"/>
        <w:pBdr>
          <w:bottom w:val="single" w:color="0F3D2E" w:sz="12" w:space="4"/>
        </w:pBdr>
        <w:spacing w:after="200" w:before="400"/>
      </w:pPr>
      <w:r>
        <w:t xml:space="preserve">9. Payment Infrastructure</w:t>
      </w:r>
    </w:p>
    <w:p>
      <w:pPr>
        <w:pStyle w:val="Heading2"/>
        <w:spacing w:after="120" w:before="300"/>
      </w:pPr>
      <w:r>
        <w:t xml:space="preserve">Three Checkout Flows</w:t>
      </w:r>
    </w:p>
    <w:p>
      <w:pPr>
        <w:pStyle w:val="ListParagraph"/>
        <w:numPr>
          <w:ilvl w:val="0"/>
          <w:numId w:val="2"/>
        </w:numPr>
        <w:spacing w:after="80"/>
      </w:pPr>
      <w:r>
        <w:t xml:space="preserve">Product checkout — standard, fixed price, pay directly. For physical goods.</w:t>
      </w:r>
    </w:p>
    <w:p>
      <w:pPr>
        <w:pStyle w:val="ListParagraph"/>
        <w:numPr>
          <w:ilvl w:val="0"/>
          <w:numId w:val="2"/>
        </w:numPr>
        <w:spacing w:after="80"/>
      </w:pPr>
      <w:r>
        <w:t xml:space="preserve">Fixed service checkout — itemised menu with quantity selector and auto-calculated total. For services like laundry and barbing.</w:t>
      </w:r>
    </w:p>
    <w:p>
      <w:pPr>
        <w:pStyle w:val="ListParagraph"/>
        <w:numPr>
          <w:ilvl w:val="0"/>
          <w:numId w:val="2"/>
        </w:numPr>
        <w:spacing w:after="80"/>
      </w:pPr>
      <w:r>
        <w:t xml:space="preserve">Negotiated service checkout — in-chat negotiation between buyer and vendor; the vendor creates a custom payment request for the agreed amount. For services like photography, graphic design, and tutoring.</w:t>
      </w:r>
    </w:p>
    <w:p>
      <w:pPr>
        <w:pStyle w:val="Heading2"/>
        <w:spacing w:after="120" w:before="300"/>
      </w:pPr>
      <w:r>
        <w:t xml:space="preserve">Escrow &amp; Settlement</w:t>
      </w:r>
    </w:p>
    <w:p>
      <w:pPr>
        <w:spacing w:after="160"/>
      </w:pPr>
      <w:r>
        <w:t xml:space="preserve">Paystack split payment handles all commission deductions automatically at the point of payment. An escrow model holds funds until the buyer confirms receipt, or until 48 hours pass and the payment auto-releases. The dispute window is 48 hours.</w:t>
      </w:r>
    </w:p>
    <w:p>
      <w:pPr>
        <w:pStyle w:val="Heading2"/>
        <w:spacing w:after="120" w:before="300"/>
      </w:pPr>
      <w:r>
        <w:t xml:space="preserve">Payment Rollout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Date</w:t>
            </w:r>
          </w:p>
        </w:tc>
        <w:tc>
          <w:tcPr>
            <w:tcW w:type="dxa" w:w="6600"/>
            <w:shd w:fill="0F3D2E" w:val="clear"/>
          </w:tcPr>
          <w:p>
            <w:r>
              <w:rPr>
                <w:b/>
                <w:bCs/>
                <w:color w:val="FFFFFF"/>
              </w:rPr>
              <w:t xml:space="preserve">Milestone</w:t>
            </w:r>
          </w:p>
        </w:tc>
      </w:tr>
      <w:tr>
        <w:tc>
          <w:tcPr>
            <w:tcW w:type="dxa" w:w="3000"/>
            <w:shd w:fill="F7F5F0" w:val="clear"/>
          </w:tcPr>
          <w:p>
            <w:r>
              <w:rPr>
                <w:b/>
                <w:bCs/>
                <w:color w:val="0F3D2E"/>
              </w:rPr>
              <w:t xml:space="preserve">October 2026</w:t>
            </w:r>
          </w:p>
        </w:tc>
        <w:tc>
          <w:tcPr>
            <w:tcW w:type="dxa" w:w="6600"/>
          </w:tcPr>
          <w:p>
            <w:r>
              <w:rPr>
                <w:b w:val="false"/>
                <w:bCs w:val="false"/>
                <w:color w:val="000000"/>
              </w:rPr>
              <w:t xml:space="preserve">Free period begins — discovery and connection only, no payments</w:t>
            </w:r>
          </w:p>
        </w:tc>
      </w:tr>
      <w:tr>
        <w:tc>
          <w:tcPr>
            <w:tcW w:type="dxa" w:w="3000"/>
            <w:shd w:fill="F7F5F0" w:val="clear"/>
          </w:tcPr>
          <w:p>
            <w:r>
              <w:rPr>
                <w:b/>
                <w:bCs/>
                <w:color w:val="0F3D2E"/>
              </w:rPr>
              <w:t xml:space="preserve">December 2026</w:t>
            </w:r>
          </w:p>
        </w:tc>
        <w:tc>
          <w:tcPr>
            <w:tcW w:type="dxa" w:w="6600"/>
          </w:tcPr>
          <w:p>
            <w:r>
              <w:rPr>
                <w:b w:val="false"/>
                <w:bCs w:val="false"/>
                <w:color w:val="000000"/>
              </w:rPr>
              <w:t xml:space="preserve">CAC registration, during mid-semester break</w:t>
            </w:r>
          </w:p>
        </w:tc>
      </w:tr>
      <w:tr>
        <w:tc>
          <w:tcPr>
            <w:tcW w:type="dxa" w:w="3000"/>
            <w:shd w:fill="F7F5F0" w:val="clear"/>
          </w:tcPr>
          <w:p>
            <w:r>
              <w:rPr>
                <w:b/>
                <w:bCs/>
                <w:color w:val="0F3D2E"/>
              </w:rPr>
              <w:t xml:space="preserve">February 2027</w:t>
            </w:r>
          </w:p>
        </w:tc>
        <w:tc>
          <w:tcPr>
            <w:tcW w:type="dxa" w:w="6600"/>
          </w:tcPr>
          <w:p>
            <w:r>
              <w:rPr>
                <w:b w:val="false"/>
                <w:bCs w:val="false"/>
                <w:color w:val="000000"/>
              </w:rPr>
              <w:t xml:space="preserve">Payment integration goes live — subscriptions and commission begin simultaneously</w:t>
            </w:r>
          </w:p>
        </w:tc>
      </w:tr>
      <w:tr>
        <w:tc>
          <w:tcPr>
            <w:tcW w:type="dxa" w:w="3000"/>
            <w:shd w:fill="F7F5F0" w:val="clear"/>
          </w:tcPr>
          <w:p>
            <w:r>
              <w:rPr>
                <w:b/>
                <w:bCs/>
                <w:color w:val="0F3D2E"/>
              </w:rPr>
              <w:t xml:space="preserve">March 2027</w:t>
            </w:r>
          </w:p>
        </w:tc>
        <w:tc>
          <w:tcPr>
            <w:tcW w:type="dxa" w:w="6600"/>
          </w:tcPr>
          <w:p>
            <w:r>
              <w:rPr>
                <w:b w:val="false"/>
                <w:bCs w:val="false"/>
                <w:color w:val="000000"/>
              </w:rPr>
              <w:t xml:space="preserve">Delivery and waybill go live</w:t>
            </w:r>
          </w:p>
        </w:tc>
      </w:tr>
      <w:tr>
        <w:tc>
          <w:tcPr>
            <w:tcW w:type="dxa" w:w="3000"/>
            <w:shd w:fill="F7F5F0" w:val="clear"/>
          </w:tcPr>
          <w:p>
            <w:r>
              <w:rPr>
                <w:b/>
                <w:bCs/>
                <w:color w:val="0F3D2E"/>
              </w:rPr>
              <w:t xml:space="preserve">April/May 2027</w:t>
            </w:r>
          </w:p>
        </w:tc>
        <w:tc>
          <w:tcPr>
            <w:tcW w:type="dxa" w:w="6600"/>
          </w:tcPr>
          <w:p>
            <w:r>
              <w:rPr>
                <w:b w:val="false"/>
                <w:bCs w:val="false"/>
                <w:color w:val="000000"/>
              </w:rPr>
              <w:t xml:space="preserve">Housing section launches</w:t>
            </w:r>
          </w:p>
        </w:tc>
      </w:tr>
      <w:tr>
        <w:tc>
          <w:tcPr>
            <w:tcW w:type="dxa" w:w="3000"/>
            <w:shd w:fill="F7F5F0" w:val="clear"/>
          </w:tcPr>
          <w:p>
            <w:r>
              <w:rPr>
                <w:b/>
                <w:bCs/>
                <w:color w:val="0F3D2E"/>
              </w:rPr>
              <w:t xml:space="preserve">August 2027 onward</w:t>
            </w:r>
          </w:p>
        </w:tc>
        <w:tc>
          <w:tcPr>
            <w:tcW w:type="dxa" w:w="6600"/>
          </w:tcPr>
          <w:p>
            <w:r>
              <w:rPr>
                <w:b w:val="false"/>
                <w:bCs w:val="false"/>
                <w:color w:val="000000"/>
              </w:rPr>
              <w:t xml:space="preserve">Next campus expansion planning begins, post-graduation</w:t>
            </w:r>
          </w:p>
        </w:tc>
      </w:tr>
    </w:tbl>
    <w:p>
      <w:pPr>
        <w:pStyle w:val="Heading1"/>
        <w:pBdr>
          <w:bottom w:val="single" w:color="0F3D2E" w:sz="12" w:space="4"/>
        </w:pBdr>
        <w:spacing w:after="200" w:before="400"/>
      </w:pPr>
      <w:r>
        <w:t xml:space="preserve">10. Future Features</w:t>
      </w:r>
    </w:p>
    <w:p>
      <w:pPr>
        <w:pStyle w:val="Heading3"/>
        <w:spacing w:after="100" w:before="200"/>
      </w:pPr>
      <w:r>
        <w:t xml:space="preserve">Waybill Service</w:t>
      </w:r>
    </w:p>
    <w:p>
      <w:pPr>
        <w:spacing w:after="160"/>
      </w:pPr>
      <w:r>
        <w:t xml:space="preserve">Students request mainland items; verified runners make the trip and bring items back for a fee. This is NMU-specific, motivated by the campus's island isolation.</w:t>
      </w:r>
    </w:p>
    <w:p>
      <w:pPr>
        <w:pStyle w:val="Heading3"/>
        <w:spacing w:after="100" w:before="200"/>
      </w:pPr>
      <w:r>
        <w:t xml:space="preserve">Housing Section</w:t>
      </w:r>
    </w:p>
    <w:p>
      <w:pPr>
        <w:spacing w:after="160"/>
      </w:pPr>
      <w:r>
        <w:t xml:space="preserve">Verified landlord listings for off-campus accommodation, with 15% commission on the first month's rent. Physical property verification is required before any listing goes live. This directly addresses a documented scam problem at NMU that the school itself has had to mediate. Marked as a Stage 2 feature — physical verification is treated as non-negotiable.</w:t>
      </w:r>
    </w:p>
    <w:p>
      <w:pPr>
        <w:pStyle w:val="Heading3"/>
        <w:spacing w:after="100" w:before="200"/>
      </w:pPr>
      <w:r>
        <w:t xml:space="preserve">Event Ticketing</w:t>
      </w:r>
    </w:p>
    <w:p>
      <w:pPr>
        <w:spacing w:after="160"/>
      </w:pPr>
      <w:r>
        <w:t xml:space="preserve">Partnership with NMU pageant organizers for digital ticket sales, at 5–8% commission per ticket, with a path to expand across all campus events.</w:t>
      </w:r>
    </w:p>
    <w:p>
      <w:pPr>
        <w:pStyle w:val="Heading3"/>
        <w:spacing w:after="100" w:before="200"/>
      </w:pPr>
      <w:r>
        <w:t xml:space="preserve">Supplier Network</w:t>
      </w:r>
    </w:p>
    <w:p>
      <w:pPr>
        <w:spacing w:after="160"/>
      </w:pPr>
      <w:r>
        <w:t xml:space="preserve">Vendors find suppliers and coordinate bulk purchases through Voeq — a longer-term differentiator.</w:t>
      </w:r>
    </w:p>
    <w:p>
      <w:pPr>
        <w:pStyle w:val="Heading3"/>
        <w:spacing w:after="100" w:before="200"/>
      </w:pPr>
      <w:r>
        <w:t xml:space="preserve">Weekly Demand Report</w:t>
      </w:r>
    </w:p>
    <w:p>
      <w:pPr>
        <w:spacing w:after="160"/>
      </w:pPr>
      <w:r>
        <w:t xml:space="preserve">Top searched categories sent to vendors every Monday via the WhatsApp vendor group, later automated to email for the paid tier.</w:t>
      </w:r>
    </w:p>
    <w:p>
      <w:pPr>
        <w:pStyle w:val="Heading3"/>
        <w:spacing w:after="100" w:before="200"/>
      </w:pPr>
      <w:r>
        <w:t xml:space="preserve">Request Button</w:t>
      </w:r>
    </w:p>
    <w:p>
      <w:pPr>
        <w:spacing w:after="160"/>
      </w:pPr>
      <w:r>
        <w:t xml:space="preserve">Appears on empty search results and the homepage. A student request routes to Emmanuel first, then to a relevant vendor, or becomes a recruitment target if no vendor exists yet.</w:t>
      </w:r>
    </w:p>
    <w:p>
      <w:pPr>
        <w:pStyle w:val="Heading1"/>
        <w:pBdr>
          <w:bottom w:val="single" w:color="0F3D2E" w:sz="12" w:space="4"/>
        </w:pBdr>
        <w:spacing w:after="200" w:before="400"/>
      </w:pPr>
      <w:r>
        <w:t xml:space="preserve">11. Swift Delivery Partnership</w:t>
      </w:r>
    </w:p>
    <w:p>
      <w:pPr>
        <w:spacing w:after="160"/>
      </w:pPr>
      <w:r>
        <w:t xml:space="preserve">Swift is NMU's existing delivery and errand service, run by a founder who is Emmanuel's senior and is graduating. Swift is not a direct competitor — its model is fetching items from existing stores, while Voeq's model is direct vendor discovery. The two are considered complementary.</w:t>
      </w:r>
    </w:p>
    <w:p>
      <w:pPr>
        <w:pStyle w:val="ListParagraph"/>
        <w:numPr>
          <w:ilvl w:val="0"/>
          <w:numId w:val="2"/>
        </w:numPr>
        <w:spacing w:after="80"/>
      </w:pPr>
      <w:r>
        <w:t xml:space="preserve">Voeq takes 15% of the delivery fee processed through the platform</w:t>
      </w:r>
    </w:p>
    <w:p>
      <w:pPr>
        <w:pStyle w:val="ListParagraph"/>
        <w:numPr>
          <w:ilvl w:val="0"/>
          <w:numId w:val="2"/>
        </w:numPr>
        <w:spacing w:after="80"/>
      </w:pPr>
      <w:r>
        <w:t xml:space="preserve">An informal conversation is planned for August 2026, including asking about Swift's succession plan given the founder's graduation</w:t>
      </w:r>
    </w:p>
    <w:p>
      <w:pPr>
        <w:pStyle w:val="ListParagraph"/>
        <w:numPr>
          <w:ilvl w:val="0"/>
          <w:numId w:val="2"/>
        </w:numPr>
        <w:spacing w:after="80"/>
      </w:pPr>
      <w:r>
        <w:t xml:space="preserve">A formal partnership agreement is targeted for January 2027, once payment integration is live</w:t>
      </w:r>
    </w:p>
    <w:p>
      <w:pPr>
        <w:pStyle w:val="Heading1"/>
        <w:pBdr>
          <w:bottom w:val="single" w:color="0F3D2E" w:sz="12" w:space="4"/>
        </w:pBdr>
        <w:spacing w:after="200" w:before="400"/>
      </w:pPr>
      <w:r>
        <w:t xml:space="preserve">12. Content &amp; Social Media Strategy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Channel</w:t>
            </w:r>
          </w:p>
        </w:tc>
        <w:tc>
          <w:tcPr>
            <w:tcW w:type="dxa" w:w="6600"/>
            <w:shd w:fill="0F3D2E" w:val="clear"/>
          </w:tcPr>
          <w:p>
            <w:r>
              <w:rPr>
                <w:b/>
                <w:bCs/>
                <w:color w:val="FFFFFF"/>
              </w:rPr>
              <w:t xml:space="preserve">Status</w:t>
            </w:r>
          </w:p>
        </w:tc>
      </w:tr>
      <w:tr>
        <w:tc>
          <w:tcPr>
            <w:tcW w:type="dxa" w:w="3000"/>
            <w:shd w:fill="F7F5F0" w:val="clear"/>
          </w:tcPr>
          <w:p>
            <w:r>
              <w:rPr>
                <w:b/>
                <w:bCs/>
                <w:color w:val="0F3D2E"/>
              </w:rPr>
              <w:t xml:space="preserve">Instagram</w:t>
            </w:r>
          </w:p>
        </w:tc>
        <w:tc>
          <w:tcPr>
            <w:tcW w:type="dxa" w:w="6600"/>
          </w:tcPr>
          <w:p>
            <w:r>
              <w:rPr>
                <w:b w:val="false"/>
                <w:bCs w:val="false"/>
                <w:color w:val="000000"/>
              </w:rPr>
              <w:t xml:space="preserve">@voeq.ng — Emmanuella has posting access; Emmanuel approves before publishing</w:t>
            </w:r>
          </w:p>
        </w:tc>
      </w:tr>
      <w:tr>
        <w:tc>
          <w:tcPr>
            <w:tcW w:type="dxa" w:w="3000"/>
            <w:shd w:fill="F7F5F0" w:val="clear"/>
          </w:tcPr>
          <w:p>
            <w:r>
              <w:rPr>
                <w:b/>
                <w:bCs/>
                <w:color w:val="0F3D2E"/>
              </w:rPr>
              <w:t xml:space="preserve">TikTok</w:t>
            </w:r>
          </w:p>
        </w:tc>
        <w:tc>
          <w:tcPr>
            <w:tcW w:type="dxa" w:w="6600"/>
          </w:tcPr>
          <w:p>
            <w:r>
              <w:rPr>
                <w:b w:val="false"/>
                <w:bCs w:val="false"/>
                <w:color w:val="000000"/>
              </w:rPr>
              <w:t xml:space="preserve">Account being opened by Emmanuella; repurposes Instagram content, no separate content creation</w:t>
            </w:r>
          </w:p>
        </w:tc>
      </w:tr>
      <w:tr>
        <w:tc>
          <w:tcPr>
            <w:tcW w:type="dxa" w:w="3000"/>
            <w:shd w:fill="F7F5F0" w:val="clear"/>
          </w:tcPr>
          <w:p>
            <w:r>
              <w:rPr>
                <w:b/>
                <w:bCs/>
                <w:color w:val="0F3D2E"/>
              </w:rPr>
              <w:t xml:space="preserve">WhatsApp Business</w:t>
            </w:r>
          </w:p>
        </w:tc>
        <w:tc>
          <w:tcPr>
            <w:tcW w:type="dxa" w:w="6600"/>
          </w:tcPr>
          <w:p>
            <w:r>
              <w:rPr>
                <w:b w:val="false"/>
                <w:bCs w:val="false"/>
                <w:color w:val="000000"/>
              </w:rPr>
              <w:t xml:space="preserve">Dedicated Voeq SIM number</w:t>
            </w:r>
          </w:p>
        </w:tc>
      </w:tr>
      <w:tr>
        <w:tc>
          <w:tcPr>
            <w:tcW w:type="dxa" w:w="3000"/>
            <w:shd w:fill="F7F5F0" w:val="clear"/>
          </w:tcPr>
          <w:p>
            <w:r>
              <w:rPr>
                <w:b/>
                <w:bCs/>
                <w:color w:val="0F3D2E"/>
              </w:rPr>
              <w:t xml:space="preserve">Vendor WhatsApp group</w:t>
            </w:r>
          </w:p>
        </w:tc>
        <w:tc>
          <w:tcPr>
            <w:tcW w:type="dxa" w:w="6600"/>
          </w:tcPr>
          <w:p>
            <w:r>
              <w:rPr>
                <w:b w:val="false"/>
                <w:bCs w:val="false"/>
                <w:color w:val="000000"/>
              </w:rPr>
              <w:t xml:space="preserve">“Voeq Vendors NMU” — invite-only, used for weekly demand reports and vendor community</w:t>
            </w:r>
          </w:p>
        </w:tc>
      </w:tr>
      <w:tr>
        <w:tc>
          <w:tcPr>
            <w:tcW w:type="dxa" w:w="3000"/>
            <w:shd w:fill="F7F5F0" w:val="clear"/>
          </w:tcPr>
          <w:p>
            <w:r>
              <w:rPr>
                <w:b/>
                <w:bCs/>
                <w:color w:val="0F3D2E"/>
              </w:rPr>
              <w:t xml:space="preserve">WhatsApp Channel</w:t>
            </w:r>
          </w:p>
        </w:tc>
        <w:tc>
          <w:tcPr>
            <w:tcW w:type="dxa" w:w="6600"/>
          </w:tcPr>
          <w:p>
            <w:r>
              <w:rPr>
                <w:b w:val="false"/>
                <w:bCs w:val="false"/>
                <w:color w:val="000000"/>
              </w:rPr>
              <w:t xml:space="preserve">Deferred until Voeq operates on multiple campuses</w:t>
            </w:r>
          </w:p>
        </w:tc>
      </w:tr>
    </w:tbl>
    <w:p>
      <w:pPr>
        <w:spacing w:after="100"/>
      </w:pPr>
    </w:p>
    <w:p>
      <w:pPr>
        <w:pStyle w:val="Heading2"/>
        <w:spacing w:after="120" w:before="300"/>
      </w:pPr>
      <w:r>
        <w:t xml:space="preserve">Content Cadence</w:t>
      </w:r>
    </w:p>
    <w:p>
      <w:pPr>
        <w:spacing w:after="160"/>
      </w:pPr>
      <w:r>
        <w:t xml:space="preserve">Three posts per week (Monday, Wednesday, Friday) across three content pillars: Discover (40%), Connect (30%), and Grow (30%). The caption formula is a hook, a 2–3 sentence body, a call to action, and 5–8 hashtags. The overall tone is Etsy-inspired: warm, direct, campus-aware, and never corporate.</w:t>
      </w:r>
    </w:p>
    <w:p>
      <w:pPr>
        <w:pStyle w:val="Heading2"/>
        <w:spacing w:after="120" w:before="300"/>
      </w:pPr>
      <w:r>
        <w:t xml:space="preserve">Planned Content</w:t>
      </w:r>
    </w:p>
    <w:p>
      <w:pPr>
        <w:pStyle w:val="ListParagraph"/>
        <w:numPr>
          <w:ilvl w:val="0"/>
          <w:numId w:val="2"/>
        </w:numPr>
        <w:spacing w:after="80"/>
      </w:pPr>
      <w:r>
        <w:t xml:space="preserve">Weekly vendor spotlights (static photos) beginning August</w:t>
      </w:r>
    </w:p>
    <w:p>
      <w:pPr>
        <w:pStyle w:val="ListParagraph"/>
        <w:numPr>
          <w:ilvl w:val="0"/>
          <w:numId w:val="2"/>
        </w:numPr>
        <w:spacing w:after="80"/>
      </w:pPr>
      <w:r>
        <w:t xml:space="preserve">A post-launch, documentary-style behind-the-scenes video in November, directed and shot by Emmanuella, showing Emmanuel, the CTO, and Emmanuella building Voeq</w:t>
      </w:r>
    </w:p>
    <w:p>
      <w:pPr>
        <w:pStyle w:val="ListParagraph"/>
        <w:numPr>
          <w:ilvl w:val="0"/>
          <w:numId w:val="2"/>
        </w:numPr>
        <w:spacing w:after="80"/>
      </w:pPr>
      <w:r>
        <w:t xml:space="preserve">A “coming soon” teaser going live once the domain is purchased in August</w:t>
      </w:r>
    </w:p>
    <w:p>
      <w:pPr>
        <w:pStyle w:val="Heading1"/>
        <w:pBdr>
          <w:bottom w:val="single" w:color="0F3D2E" w:sz="12" w:space="4"/>
        </w:pBdr>
        <w:spacing w:after="200" w:before="400"/>
      </w:pPr>
      <w:r>
        <w:t xml:space="preserve">13. Fund Allocation Framework</w:t>
      </w:r>
    </w:p>
    <w:p>
      <w:pPr>
        <w:spacing w:after="160"/>
      </w:pPr>
      <w:r>
        <w:t xml:space="preserve">Applies from January 2027, once revenue begins: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Category</w:t>
            </w:r>
          </w:p>
        </w:tc>
        <w:tc>
          <w:tcPr>
            <w:tcW w:type="dxa" w:w="6600"/>
            <w:shd w:fill="0F3D2E" w:val="clear"/>
          </w:tcPr>
          <w:p>
            <w:r>
              <w:rPr>
                <w:b/>
                <w:bCs/>
                <w:color w:val="FFFFFF"/>
              </w:rPr>
              <w:t xml:space="preserve">Allocation</w:t>
            </w:r>
          </w:p>
        </w:tc>
      </w:tr>
      <w:tr>
        <w:tc>
          <w:tcPr>
            <w:tcW w:type="dxa" w:w="3000"/>
            <w:shd w:fill="F7F5F0" w:val="clear"/>
          </w:tcPr>
          <w:p>
            <w:r>
              <w:rPr>
                <w:b/>
                <w:bCs/>
                <w:color w:val="0F3D2E"/>
              </w:rPr>
              <w:t xml:space="preserve">Operations</w:t>
            </w:r>
          </w:p>
        </w:tc>
        <w:tc>
          <w:tcPr>
            <w:tcW w:type="dxa" w:w="6600"/>
          </w:tcPr>
          <w:p>
            <w:r>
              <w:rPr>
                <w:b w:val="false"/>
                <w:bCs w:val="false"/>
                <w:color w:val="000000"/>
              </w:rPr>
              <w:t xml:space="preserve">30% — running costs</w:t>
            </w:r>
          </w:p>
        </w:tc>
      </w:tr>
      <w:tr>
        <w:tc>
          <w:tcPr>
            <w:tcW w:type="dxa" w:w="3000"/>
            <w:shd w:fill="F7F5F0" w:val="clear"/>
          </w:tcPr>
          <w:p>
            <w:r>
              <w:rPr>
                <w:b/>
                <w:bCs/>
                <w:color w:val="0F3D2E"/>
              </w:rPr>
              <w:t xml:space="preserve">Growth</w:t>
            </w:r>
          </w:p>
        </w:tc>
        <w:tc>
          <w:tcPr>
            <w:tcW w:type="dxa" w:w="6600"/>
          </w:tcPr>
          <w:p>
            <w:r>
              <w:rPr>
                <w:b w:val="false"/>
                <w:bCs w:val="false"/>
                <w:color w:val="000000"/>
              </w:rPr>
              <w:t xml:space="preserve">25% — campus expansion</w:t>
            </w:r>
          </w:p>
        </w:tc>
      </w:tr>
      <w:tr>
        <w:tc>
          <w:tcPr>
            <w:tcW w:type="dxa" w:w="3000"/>
            <w:shd w:fill="F7F5F0" w:val="clear"/>
          </w:tcPr>
          <w:p>
            <w:r>
              <w:rPr>
                <w:b/>
                <w:bCs/>
                <w:color w:val="0F3D2E"/>
              </w:rPr>
              <w:t xml:space="preserve">People</w:t>
            </w:r>
          </w:p>
        </w:tc>
        <w:tc>
          <w:tcPr>
            <w:tcW w:type="dxa" w:w="6600"/>
          </w:tcPr>
          <w:p>
            <w:r>
              <w:rPr>
                <w:b w:val="false"/>
                <w:bCs w:val="false"/>
                <w:color w:val="000000"/>
              </w:rPr>
              <w:t xml:space="preserve">20% — team compensation</w:t>
            </w:r>
          </w:p>
        </w:tc>
      </w:tr>
      <w:tr>
        <w:tc>
          <w:tcPr>
            <w:tcW w:type="dxa" w:w="3000"/>
            <w:shd w:fill="F7F5F0" w:val="clear"/>
          </w:tcPr>
          <w:p>
            <w:r>
              <w:rPr>
                <w:b/>
                <w:bCs/>
                <w:color w:val="0F3D2E"/>
              </w:rPr>
              <w:t xml:space="preserve">Personal earnings</w:t>
            </w:r>
          </w:p>
        </w:tc>
        <w:tc>
          <w:tcPr>
            <w:tcW w:type="dxa" w:w="6600"/>
          </w:tcPr>
          <w:p>
            <w:r>
              <w:rPr>
                <w:b w:val="false"/>
                <w:bCs w:val="false"/>
                <w:color w:val="000000"/>
              </w:rPr>
              <w:t xml:space="preserve">15% — founder salary</w:t>
            </w:r>
          </w:p>
        </w:tc>
      </w:tr>
      <w:tr>
        <w:tc>
          <w:tcPr>
            <w:tcW w:type="dxa" w:w="3000"/>
            <w:shd w:fill="F7F5F0" w:val="clear"/>
          </w:tcPr>
          <w:p>
            <w:r>
              <w:rPr>
                <w:b/>
                <w:bCs/>
                <w:color w:val="0F3D2E"/>
              </w:rPr>
              <w:t xml:space="preserve">Reserve</w:t>
            </w:r>
          </w:p>
        </w:tc>
        <w:tc>
          <w:tcPr>
            <w:tcW w:type="dxa" w:w="6600"/>
          </w:tcPr>
          <w:p>
            <w:r>
              <w:rPr>
                <w:b w:val="false"/>
                <w:bCs w:val="false"/>
                <w:color w:val="000000"/>
              </w:rPr>
              <w:t xml:space="preserve">10% — emergency fund</w:t>
            </w:r>
          </w:p>
        </w:tc>
      </w:tr>
    </w:tbl>
    <w:p>
      <w:pPr>
        <w:pStyle w:val="Heading1"/>
        <w:pBdr>
          <w:bottom w:val="single" w:color="0F3D2E" w:sz="12" w:space="4"/>
        </w:pBdr>
        <w:spacing w:after="200" w:before="400"/>
      </w:pPr>
      <w:r>
        <w:t xml:space="preserve">14. Competitive Landscape</w:t>
      </w:r>
    </w:p>
    <w:p>
      <w:pPr>
        <w:pStyle w:val="Heading3"/>
        <w:spacing w:after="100" w:before="200"/>
      </w:pPr>
      <w:r>
        <w:t xml:space="preserve">campusmarket.ng</w:t>
      </w:r>
    </w:p>
    <w:p>
      <w:pPr>
        <w:spacing w:after="160"/>
      </w:pPr>
      <w:r>
        <w:t xml:space="preserve">Exists, but assessed as poorly executed with no distinct brand identity. Its founder also offers freelance web development services on the side. Not considered a serious threat.</w:t>
      </w:r>
    </w:p>
    <w:p>
      <w:pPr>
        <w:pStyle w:val="Heading3"/>
        <w:spacing w:after="100" w:before="200"/>
      </w:pPr>
      <w:r>
        <w:t xml:space="preserve">Swift</w:t>
      </w:r>
    </w:p>
    <w:p>
      <w:pPr>
        <w:spacing w:after="160"/>
      </w:pPr>
      <w:r>
        <w:t xml:space="preserve">NMU's delivery and errand service — addressed separately in Section 11 as a complementary partner, not a competitor.</w:t>
      </w:r>
    </w:p>
    <w:p>
      <w:pPr>
        <w:pStyle w:val="Heading2"/>
        <w:spacing w:after="120" w:before="300"/>
      </w:pPr>
      <w:r>
        <w:t xml:space="preserve">Voeq's Competitive Advantages</w:t>
      </w:r>
    </w:p>
    <w:p>
      <w:pPr>
        <w:pStyle w:val="ListParagraph"/>
        <w:numPr>
          <w:ilvl w:val="0"/>
          <w:numId w:val="2"/>
        </w:numPr>
        <w:spacing w:after="80"/>
      </w:pPr>
      <w:r>
        <w:t xml:space="preserve">The only campus platform with a proper, deliberate brand identity</w:t>
      </w:r>
    </w:p>
    <w:p>
      <w:pPr>
        <w:pStyle w:val="ListParagraph"/>
        <w:numPr>
          <w:ilvl w:val="0"/>
          <w:numId w:val="2"/>
        </w:numPr>
        <w:spacing w:after="80"/>
      </w:pPr>
      <w:r>
        <w:t xml:space="preserve">The only campus platform planning real payment integration</w:t>
      </w:r>
    </w:p>
    <w:p>
      <w:pPr>
        <w:pStyle w:val="ListParagraph"/>
        <w:numPr>
          <w:ilvl w:val="0"/>
          <w:numId w:val="2"/>
        </w:numPr>
        <w:spacing w:after="80"/>
      </w:pPr>
      <w:r>
        <w:t xml:space="preserve">Campus-specific vendor verification</w:t>
      </w:r>
    </w:p>
    <w:p>
      <w:pPr>
        <w:pStyle w:val="ListParagraph"/>
        <w:numPr>
          <w:ilvl w:val="0"/>
          <w:numId w:val="2"/>
        </w:numPr>
        <w:spacing w:after="80"/>
      </w:pPr>
      <w:r>
        <w:t xml:space="preserve">A review system building genuine social proof</w:t>
      </w:r>
    </w:p>
    <w:p>
      <w:pPr>
        <w:pStyle w:val="ListParagraph"/>
        <w:numPr>
          <w:ilvl w:val="0"/>
          <w:numId w:val="2"/>
        </w:numPr>
        <w:spacing w:after="80"/>
      </w:pPr>
      <w:r>
        <w:t xml:space="preserve">A supplier network as a long-term differentiator</w:t>
      </w:r>
    </w:p>
    <w:p>
      <w:pPr>
        <w:pStyle w:val="ListParagraph"/>
        <w:numPr>
          <w:ilvl w:val="0"/>
          <w:numId w:val="2"/>
        </w:numPr>
        <w:spacing w:after="80"/>
      </w:pPr>
      <w:r>
        <w:t xml:space="preserve">Semester-aware listing activity</w:t>
      </w:r>
    </w:p>
    <w:p>
      <w:pPr>
        <w:pStyle w:val="ListParagraph"/>
        <w:numPr>
          <w:ilvl w:val="0"/>
          <w:numId w:val="2"/>
        </w:numPr>
        <w:spacing w:after="80"/>
      </w:pPr>
      <w:r>
        <w:t xml:space="preserve">Weekly campus demand intelligence delivered to vendors</w:t>
      </w:r>
    </w:p>
    <w:p>
      <w:pPr>
        <w:pStyle w:val="ListParagraph"/>
        <w:numPr>
          <w:ilvl w:val="0"/>
          <w:numId w:val="2"/>
        </w:numPr>
        <w:spacing w:after="80"/>
      </w:pPr>
      <w:r>
        <w:t xml:space="preserve">In-chat negotiation for service transactions</w:t>
      </w:r>
    </w:p>
    <w:p>
      <w:pPr>
        <w:pStyle w:val="ListParagraph"/>
        <w:numPr>
          <w:ilvl w:val="0"/>
          <w:numId w:val="2"/>
        </w:numPr>
        <w:spacing w:after="80"/>
      </w:pPr>
      <w:r>
        <w:t xml:space="preserve">Housing verification directly solving a documented NMU scam problem</w:t>
      </w:r>
    </w:p>
    <w:p>
      <w:pPr>
        <w:pStyle w:val="Heading1"/>
        <w:pBdr>
          <w:bottom w:val="single" w:color="0F3D2E" w:sz="12" w:space="4"/>
        </w:pBdr>
        <w:spacing w:after="200" w:before="400"/>
      </w:pPr>
      <w:r>
        <w:t xml:space="preserve">15. Expansion Strategy</w:t>
      </w:r>
    </w:p>
    <w:p>
      <w:pPr>
        <w:spacing w:after="160"/>
      </w:pPr>
      <w:r>
        <w:t xml:space="preserve">The strategy is to conquer Nigeria first — there are 170+ universities in the country, which is considered a large enough market on its own — before any international expansion. Expansion is campus-by-campus, modeled on Facebook's Harvard-first playbook: each new campus gets its own dedicated launch, with ambassador recruitment, vendor onboarding, a poster campaign, and a status storm.</w:t>
      </w:r>
    </w:p>
    <w:p>
      <w:pPr>
        <w:spacing w:after="160"/>
      </w:pPr>
      <w:r>
        <w:t xml:space="preserve">Features activate per campus based on relevance — for example, Housing is only enabled where off-campus living is a real problem, and Waybill only where a campus is on an island or otherwise remote.</w:t>
      </w:r>
    </w:p>
    <w:p>
      <w:pPr>
        <w:spacing w:after="160"/>
      </w:pPr>
      <w:r>
        <w:t xml:space="preserve">Next-campus expansion planning begins after Emmanuel's graduation in August 2027. The eventual international order is Ghana first, then Kenya, then Francophone Africa, then broader — handled structurally through the Delaware C-Corp once that entity exists.</w:t>
      </w:r>
    </w:p>
    <w:p>
      <w:pPr>
        <w:pStyle w:val="Heading1"/>
        <w:pBdr>
          <w:bottom w:val="single" w:color="0F3D2E" w:sz="12" w:space="4"/>
        </w:pBdr>
        <w:spacing w:after="200" w:before="400"/>
      </w:pPr>
      <w:r>
        <w:t xml:space="preserve">16. Scaling Team Structure</w:t>
      </w:r>
    </w:p>
    <w:p>
      <w:pPr>
        <w:spacing w:after="160"/>
      </w:pPr>
      <w:r>
        <w:t xml:space="preserve">The operating principle is to hire only when a specific problem arises — never ahead of the problem.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Phase</w:t>
            </w:r>
          </w:p>
        </w:tc>
        <w:tc>
          <w:tcPr>
            <w:tcW w:type="dxa" w:w="6600"/>
            <w:shd w:fill="0F3D2E" w:val="clear"/>
          </w:tcPr>
          <w:p>
            <w:r>
              <w:rPr>
                <w:b/>
                <w:bCs/>
                <w:color w:val="FFFFFF"/>
              </w:rPr>
              <w:t xml:space="preserve">Structure</w:t>
            </w:r>
          </w:p>
        </w:tc>
      </w:tr>
      <w:tr>
        <w:tc>
          <w:tcPr>
            <w:tcW w:type="dxa" w:w="3000"/>
            <w:shd w:fill="F7F5F0" w:val="clear"/>
          </w:tcPr>
          <w:p>
            <w:r>
              <w:rPr>
                <w:b/>
                <w:bCs/>
                <w:color w:val="0F3D2E"/>
              </w:rPr>
              <w:t xml:space="preserve">Year 1</w:t>
            </w:r>
          </w:p>
        </w:tc>
        <w:tc>
          <w:tcPr>
            <w:tcW w:type="dxa" w:w="6600"/>
          </w:tcPr>
          <w:p>
            <w:r>
              <w:rPr>
                <w:b w:val="false"/>
                <w:bCs w:val="false"/>
                <w:color w:val="000000"/>
              </w:rPr>
              <w:t xml:space="preserve">Current team, plus a campus manager for each new campus</w:t>
            </w:r>
          </w:p>
        </w:tc>
      </w:tr>
      <w:tr>
        <w:tc>
          <w:tcPr>
            <w:tcW w:type="dxa" w:w="3000"/>
            <w:shd w:fill="F7F5F0" w:val="clear"/>
          </w:tcPr>
          <w:p>
            <w:r>
              <w:rPr>
                <w:b/>
                <w:bCs/>
                <w:color w:val="0F3D2E"/>
              </w:rPr>
              <w:t xml:space="preserve">Year 2</w:t>
            </w:r>
          </w:p>
        </w:tc>
        <w:tc>
          <w:tcPr>
            <w:tcW w:type="dxa" w:w="6600"/>
          </w:tcPr>
          <w:p>
            <w:r>
              <w:rPr>
                <w:b w:val="false"/>
                <w:bCs w:val="false"/>
                <w:color w:val="000000"/>
              </w:rPr>
              <w:t xml:space="preserve">Head of Operations, Head of Marketing, Head of Vendor Relations, a Finance person</w:t>
            </w:r>
          </w:p>
        </w:tc>
      </w:tr>
      <w:tr>
        <w:tc>
          <w:tcPr>
            <w:tcW w:type="dxa" w:w="3000"/>
            <w:shd w:fill="F7F5F0" w:val="clear"/>
          </w:tcPr>
          <w:p>
            <w:r>
              <w:rPr>
                <w:b/>
                <w:bCs/>
                <w:color w:val="0F3D2E"/>
              </w:rPr>
              <w:t xml:space="preserve">Year 3+</w:t>
            </w:r>
          </w:p>
        </w:tc>
        <w:tc>
          <w:tcPr>
            <w:tcW w:type="dxa" w:w="6600"/>
          </w:tcPr>
          <w:p>
            <w:r>
              <w:rPr>
                <w:b w:val="false"/>
                <w:bCs w:val="false"/>
                <w:color w:val="000000"/>
              </w:rPr>
              <w:t xml:space="preserve">COO, CMO, CFO, an engineering team, and an Abuja office</w:t>
            </w:r>
          </w:p>
        </w:tc>
      </w:tr>
    </w:tbl>
    <w:p>
      <w:pPr>
        <w:spacing w:after="160"/>
      </w:pPr>
      <w:r>
        <w:t xml:space="preserve">Employment model: performance-based contractors for ground teams, retainers for creative and operations roles, and full employment (with equity consideration) for leadership hires.</w:t>
      </w:r>
    </w:p>
    <w:p>
      <w:pPr>
        <w:pStyle w:val="Heading1"/>
        <w:pBdr>
          <w:bottom w:val="single" w:color="0F3D2E" w:sz="12" w:space="4"/>
        </w:pBdr>
        <w:spacing w:after="200" w:before="400"/>
      </w:pPr>
      <w:r>
        <w:t xml:space="preserve">17. Key Decisions Log</w:t>
      </w:r>
    </w:p>
    <w:p>
      <w:pPr>
        <w:pStyle w:val="ListParagraph"/>
        <w:numPr>
          <w:ilvl w:val="0"/>
          <w:numId w:val="2"/>
        </w:numPr>
        <w:spacing w:after="80"/>
      </w:pPr>
      <w:r>
        <w:t xml:space="preserve">No co-founder — Emmanuel is sole founder; his brother is CTO, not a co-founder</w:t>
      </w:r>
    </w:p>
    <w:p>
      <w:pPr>
        <w:pStyle w:val="ListParagraph"/>
        <w:numPr>
          <w:ilvl w:val="0"/>
          <w:numId w:val="2"/>
        </w:numPr>
        <w:spacing w:after="80"/>
      </w:pPr>
      <w:r>
        <w:t xml:space="preserve">Extended family deliberately excluded from the ground team</w:t>
      </w:r>
    </w:p>
    <w:p>
      <w:pPr>
        <w:pStyle w:val="ListParagraph"/>
        <w:numPr>
          <w:ilvl w:val="0"/>
          <w:numId w:val="2"/>
        </w:numPr>
        <w:spacing w:after="80"/>
      </w:pPr>
      <w:r>
        <w:t xml:space="preserve">Emmanuella kept as Creative Director over a technically stronger designer who declined — loyalty rewarded</w:t>
      </w:r>
    </w:p>
    <w:p>
      <w:pPr>
        <w:pStyle w:val="ListParagraph"/>
        <w:numPr>
          <w:ilvl w:val="0"/>
          <w:numId w:val="2"/>
        </w:numPr>
        <w:spacing w:after="80"/>
      </w:pPr>
      <w:r>
        <w:t xml:space="preserve">Commission structure absorbs the Paystack fee rather than passing it on to buyers</w:t>
      </w:r>
    </w:p>
    <w:p>
      <w:pPr>
        <w:pStyle w:val="ListParagraph"/>
        <w:numPr>
          <w:ilvl w:val="0"/>
          <w:numId w:val="2"/>
        </w:numPr>
        <w:spacing w:after="80"/>
      </w:pPr>
      <w:r>
        <w:t xml:space="preserve">Free basic listing forever; paid tier reserved for enhanced features only</w:t>
      </w:r>
    </w:p>
    <w:p>
      <w:pPr>
        <w:pStyle w:val="ListParagraph"/>
        <w:numPr>
          <w:ilvl w:val="0"/>
          <w:numId w:val="2"/>
        </w:numPr>
        <w:spacing w:after="80"/>
      </w:pPr>
      <w:r>
        <w:t xml:space="preserve">No subscription revenue for the first three months — all monetization activates together in January 2027</w:t>
      </w:r>
    </w:p>
    <w:p>
      <w:pPr>
        <w:pStyle w:val="ListParagraph"/>
        <w:numPr>
          <w:ilvl w:val="0"/>
          <w:numId w:val="2"/>
        </w:numPr>
        <w:spacing w:after="80"/>
      </w:pPr>
      <w:r>
        <w:t xml:space="preserve">Behind-the-scenes documentary content is post-launch, not pre-launch</w:t>
      </w:r>
    </w:p>
    <w:p>
      <w:pPr>
        <w:pStyle w:val="ListParagraph"/>
        <w:numPr>
          <w:ilvl w:val="0"/>
          <w:numId w:val="2"/>
        </w:numPr>
        <w:spacing w:after="80"/>
      </w:pPr>
      <w:r>
        <w:t xml:space="preserve">TikTok strategy is to repurpose Instagram content rather than create separately</w:t>
      </w:r>
    </w:p>
    <w:p>
      <w:pPr>
        <w:pStyle w:val="ListParagraph"/>
        <w:numPr>
          <w:ilvl w:val="0"/>
          <w:numId w:val="2"/>
        </w:numPr>
        <w:spacing w:after="80"/>
      </w:pPr>
      <w:r>
        <w:t xml:space="preserve">voeq.ng confirmed as the final domain (over voeq.com.ng) — shorter and more premium; resolves the earlier discrepancy ahead of Priority 9</w:t>
      </w:r>
    </w:p>
    <w:p>
      <w:pPr>
        <w:pStyle w:val="ListParagraph"/>
        <w:numPr>
          <w:ilvl w:val="0"/>
          <w:numId w:val="2"/>
        </w:numPr>
        <w:spacing w:after="80"/>
      </w:pPr>
      <w:r>
        <w:t xml:space="preserve">Category is a per-listing attribute, not a per-vendor attribute — vendors can list across multiple categories; no Products/Services top-level split for October launch (see Addendum A)</w:t>
      </w:r>
    </w:p>
    <w:p>
      <w:pPr>
        <w:pStyle w:val="ListParagraph"/>
        <w:numPr>
          <w:ilvl w:val="0"/>
          <w:numId w:val="2"/>
        </w:numPr>
        <w:spacing w:after="80"/>
      </w:pPr>
      <w:r>
        <w:t xml:space="preserve">WhatsApp Channel deferred until Voeq operates on multiple campuses</w:t>
      </w:r>
    </w:p>
    <w:p>
      <w:pPr>
        <w:pStyle w:val="ListParagraph"/>
        <w:numPr>
          <w:ilvl w:val="0"/>
          <w:numId w:val="2"/>
        </w:numPr>
        <w:spacing w:after="80"/>
      </w:pPr>
      <w:r>
        <w:t xml:space="preserve">Waybill and Housing are both explicitly Stage 2 features requiring careful operational planning</w:t>
      </w:r>
    </w:p>
    <w:p>
      <w:pPr>
        <w:pStyle w:val="ListParagraph"/>
        <w:numPr>
          <w:ilvl w:val="0"/>
          <w:numId w:val="2"/>
        </w:numPr>
        <w:spacing w:after="80"/>
      </w:pPr>
      <w:r>
        <w:t xml:space="preserve">The native app is a Stage 3/4 feature — the web platform is considered sufficient for now</w:t>
      </w:r>
    </w:p>
    <w:p>
      <w:pPr>
        <w:pStyle w:val="ListParagraph"/>
        <w:numPr>
          <w:ilvl w:val="0"/>
          <w:numId w:val="2"/>
        </w:numPr>
        <w:spacing w:after="80"/>
      </w:pPr>
      <w:r>
        <w:t xml:space="preserve">The Swift partnership is deferred to January 2027, when payment integration goes live</w:t>
      </w:r>
    </w:p>
    <w:p>
      <w:pPr>
        <w:pStyle w:val="Heading1"/>
        <w:pBdr>
          <w:bottom w:val="single" w:color="0F3D2E" w:sz="12" w:space="4"/>
        </w:pBdr>
        <w:spacing w:after="200" w:before="400"/>
      </w:pPr>
      <w:r>
        <w:t xml:space="preserve">18. Master Timeline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Date</w:t>
            </w:r>
          </w:p>
        </w:tc>
        <w:tc>
          <w:tcPr>
            <w:tcW w:type="dxa" w:w="6600"/>
            <w:shd w:fill="0F3D2E" w:val="clear"/>
          </w:tcPr>
          <w:p>
            <w:r>
              <w:rPr>
                <w:b/>
                <w:bCs/>
                <w:color w:val="FFFFFF"/>
              </w:rPr>
              <w:t xml:space="preserve">Milestone</w:t>
            </w:r>
          </w:p>
        </w:tc>
      </w:tr>
      <w:tr>
        <w:tc>
          <w:tcPr>
            <w:tcW w:type="dxa" w:w="3000"/>
            <w:shd w:fill="F7F5F0" w:val="clear"/>
          </w:tcPr>
          <w:p>
            <w:r>
              <w:rPr>
                <w:b/>
                <w:bCs/>
                <w:color w:val="0F3D2E"/>
              </w:rPr>
              <w:t xml:space="preserve">Early August 2026</w:t>
            </w:r>
          </w:p>
        </w:tc>
        <w:tc>
          <w:tcPr>
            <w:tcW w:type="dxa" w:w="6600"/>
          </w:tcPr>
          <w:p>
            <w:r>
              <w:rPr>
                <w:b w:val="false"/>
                <w:bCs w:val="false"/>
                <w:color w:val="000000"/>
              </w:rPr>
              <w:t xml:space="preserve">Domain purchase; developer completes the 14-item Platform Update Priorities brief; “coming soon” teaser goes live</w:t>
            </w:r>
          </w:p>
        </w:tc>
      </w:tr>
      <w:tr>
        <w:tc>
          <w:tcPr>
            <w:tcW w:type="dxa" w:w="3000"/>
            <w:shd w:fill="F7F5F0" w:val="clear"/>
          </w:tcPr>
          <w:p>
            <w:r>
              <w:rPr>
                <w:b/>
                <w:bCs/>
                <w:color w:val="0F3D2E"/>
              </w:rPr>
              <w:t xml:space="preserve">August 2026</w:t>
            </w:r>
          </w:p>
        </w:tc>
        <w:tc>
          <w:tcPr>
            <w:tcW w:type="dxa" w:w="6600"/>
          </w:tcPr>
          <w:p>
            <w:r>
              <w:rPr>
                <w:b w:val="false"/>
                <w:bCs w:val="false"/>
                <w:color w:val="000000"/>
              </w:rPr>
              <w:t xml:space="preserve">Digital vendor recruitment begins; informal Swift partnership conversation</w:t>
            </w:r>
          </w:p>
        </w:tc>
      </w:tr>
      <w:tr>
        <w:tc>
          <w:tcPr>
            <w:tcW w:type="dxa" w:w="3000"/>
            <w:shd w:fill="F7F5F0" w:val="clear"/>
          </w:tcPr>
          <w:p>
            <w:r>
              <w:rPr>
                <w:b/>
                <w:bCs/>
                <w:color w:val="0F3D2E"/>
              </w:rPr>
              <w:t xml:space="preserve">September 2026</w:t>
            </w:r>
          </w:p>
        </w:tc>
        <w:tc>
          <w:tcPr>
            <w:tcW w:type="dxa" w:w="6600"/>
          </w:tcPr>
          <w:p>
            <w:r>
              <w:rPr>
                <w:b w:val="false"/>
                <w:bCs w:val="false"/>
                <w:color w:val="000000"/>
              </w:rPr>
              <w:t xml:space="preserve">Continued digital vendor recruitment while campus is on vacation; NMU online registration opens Sept 21</w:t>
            </w:r>
          </w:p>
        </w:tc>
      </w:tr>
      <w:tr>
        <w:tc>
          <w:tcPr>
            <w:tcW w:type="dxa" w:w="3000"/>
            <w:shd w:fill="F7F5F0" w:val="clear"/>
          </w:tcPr>
          <w:p>
            <w:r>
              <w:rPr>
                <w:b/>
                <w:bCs/>
                <w:color w:val="0F3D2E"/>
              </w:rPr>
              <w:t xml:space="preserve">Sept 27–30, 2026</w:t>
            </w:r>
          </w:p>
        </w:tc>
        <w:tc>
          <w:tcPr>
            <w:tcW w:type="dxa" w:w="6600"/>
          </w:tcPr>
          <w:p>
            <w:r>
              <w:rPr>
                <w:b w:val="false"/>
                <w:bCs w:val="false"/>
                <w:color w:val="000000"/>
              </w:rPr>
              <w:t xml:space="preserve">Fresh students resume, clearance, and orientation</w:t>
            </w:r>
          </w:p>
        </w:tc>
      </w:tr>
      <w:tr>
        <w:tc>
          <w:tcPr>
            <w:tcW w:type="dxa" w:w="3000"/>
            <w:shd w:fill="F7F5F0" w:val="clear"/>
          </w:tcPr>
          <w:p>
            <w:r>
              <w:rPr>
                <w:b/>
                <w:bCs/>
                <w:color w:val="0F3D2E"/>
              </w:rPr>
              <w:t xml:space="preserve">October 4, 2026</w:t>
            </w:r>
          </w:p>
        </w:tc>
        <w:tc>
          <w:tcPr>
            <w:tcW w:type="dxa" w:w="6600"/>
          </w:tcPr>
          <w:p>
            <w:r>
              <w:rPr>
                <w:b w:val="false"/>
                <w:bCs w:val="false"/>
                <w:color w:val="000000"/>
              </w:rPr>
              <w:t xml:space="preserve">Returning students resume</w:t>
            </w:r>
          </w:p>
        </w:tc>
      </w:tr>
      <w:tr>
        <w:tc>
          <w:tcPr>
            <w:tcW w:type="dxa" w:w="3000"/>
            <w:shd w:fill="F7F5F0" w:val="clear"/>
          </w:tcPr>
          <w:p>
            <w:r>
              <w:rPr>
                <w:b/>
                <w:bCs/>
                <w:color w:val="0F3D2E"/>
              </w:rPr>
              <w:t xml:space="preserve">October 5, 2026</w:t>
            </w:r>
          </w:p>
        </w:tc>
        <w:tc>
          <w:tcPr>
            <w:tcW w:type="dxa" w:w="6600"/>
          </w:tcPr>
          <w:p>
            <w:r>
              <w:rPr>
                <w:b w:val="false"/>
                <w:bCs w:val="false"/>
                <w:color w:val="000000"/>
              </w:rPr>
              <w:t xml:space="preserve">Lectures begin</w:t>
            </w:r>
          </w:p>
        </w:tc>
      </w:tr>
      <w:tr>
        <w:tc>
          <w:tcPr>
            <w:tcW w:type="dxa" w:w="3000"/>
            <w:shd w:fill="F7F5F0" w:val="clear"/>
          </w:tcPr>
          <w:p>
            <w:r>
              <w:rPr>
                <w:b/>
                <w:bCs/>
                <w:color w:val="0F3D2E"/>
              </w:rPr>
              <w:t xml:space="preserve">October 7–10, 2026</w:t>
            </w:r>
          </w:p>
        </w:tc>
        <w:tc>
          <w:tcPr>
            <w:tcW w:type="dxa" w:w="6600"/>
          </w:tcPr>
          <w:p>
            <w:r>
              <w:rPr>
                <w:b w:val="false"/>
                <w:bCs w:val="false"/>
                <w:color w:val="000000"/>
              </w:rPr>
              <w:t xml:space="preserve">Voeq public launch — WhatsApp status storm, QR poster campaign</w:t>
            </w:r>
          </w:p>
        </w:tc>
      </w:tr>
      <w:tr>
        <w:tc>
          <w:tcPr>
            <w:tcW w:type="dxa" w:w="3000"/>
            <w:shd w:fill="F7F5F0" w:val="clear"/>
          </w:tcPr>
          <w:p>
            <w:r>
              <w:rPr>
                <w:b/>
                <w:bCs/>
                <w:color w:val="0F3D2E"/>
              </w:rPr>
              <w:t xml:space="preserve">November 28, 2026</w:t>
            </w:r>
          </w:p>
        </w:tc>
        <w:tc>
          <w:tcPr>
            <w:tcW w:type="dxa" w:w="6600"/>
          </w:tcPr>
          <w:p>
            <w:r>
              <w:rPr>
                <w:b w:val="false"/>
                <w:bCs w:val="false"/>
                <w:color w:val="000000"/>
              </w:rPr>
              <w:t xml:space="preserve">Matriculation ceremony</w:t>
            </w:r>
          </w:p>
        </w:tc>
      </w:tr>
      <w:tr>
        <w:tc>
          <w:tcPr>
            <w:tcW w:type="dxa" w:w="3000"/>
            <w:shd w:fill="F7F5F0" w:val="clear"/>
          </w:tcPr>
          <w:p>
            <w:r>
              <w:rPr>
                <w:b/>
                <w:bCs/>
                <w:color w:val="0F3D2E"/>
              </w:rPr>
              <w:t xml:space="preserve">November 2026</w:t>
            </w:r>
          </w:p>
        </w:tc>
        <w:tc>
          <w:tcPr>
            <w:tcW w:type="dxa" w:w="6600"/>
          </w:tcPr>
          <w:p>
            <w:r>
              <w:rPr>
                <w:b w:val="false"/>
                <w:bCs w:val="false"/>
                <w:color w:val="000000"/>
              </w:rPr>
              <w:t xml:space="preserve">Behind-the-scenes documentary-style video shot</w:t>
            </w:r>
          </w:p>
        </w:tc>
      </w:tr>
      <w:tr>
        <w:tc>
          <w:tcPr>
            <w:tcW w:type="dxa" w:w="3000"/>
            <w:shd w:fill="F7F5F0" w:val="clear"/>
          </w:tcPr>
          <w:p>
            <w:r>
              <w:rPr>
                <w:b/>
                <w:bCs/>
                <w:color w:val="0F3D2E"/>
              </w:rPr>
              <w:t xml:space="preserve">December 2026</w:t>
            </w:r>
          </w:p>
        </w:tc>
        <w:tc>
          <w:tcPr>
            <w:tcW w:type="dxa" w:w="6600"/>
          </w:tcPr>
          <w:p>
            <w:r>
              <w:rPr>
                <w:b w:val="false"/>
                <w:bCs w:val="false"/>
                <w:color w:val="000000"/>
              </w:rPr>
              <w:t xml:space="preserve">CAC registration during mid-semester break; first semester ends Dec 18</w:t>
            </w:r>
          </w:p>
        </w:tc>
      </w:tr>
      <w:tr>
        <w:tc>
          <w:tcPr>
            <w:tcW w:type="dxa" w:w="3000"/>
            <w:shd w:fill="F7F5F0" w:val="clear"/>
          </w:tcPr>
          <w:p>
            <w:r>
              <w:rPr>
                <w:b/>
                <w:bCs/>
                <w:color w:val="0F3D2E"/>
              </w:rPr>
              <w:t xml:space="preserve">Dec 19, 2026 – Feb 20, 2027</w:t>
            </w:r>
          </w:p>
        </w:tc>
        <w:tc>
          <w:tcPr>
            <w:tcW w:type="dxa" w:w="6600"/>
          </w:tcPr>
          <w:p>
            <w:r>
              <w:rPr>
                <w:b w:val="false"/>
                <w:bCs w:val="false"/>
                <w:color w:val="000000"/>
              </w:rPr>
              <w:t xml:space="preserve">Mid-semester break</w:t>
            </w:r>
          </w:p>
        </w:tc>
      </w:tr>
      <w:tr>
        <w:tc>
          <w:tcPr>
            <w:tcW w:type="dxa" w:w="3000"/>
            <w:shd w:fill="F7F5F0" w:val="clear"/>
          </w:tcPr>
          <w:p>
            <w:r>
              <w:rPr>
                <w:b/>
                <w:bCs/>
                <w:color w:val="0F3D2E"/>
              </w:rPr>
              <w:t xml:space="preserve">February 2027</w:t>
            </w:r>
          </w:p>
        </w:tc>
        <w:tc>
          <w:tcPr>
            <w:tcW w:type="dxa" w:w="6600"/>
          </w:tcPr>
          <w:p>
            <w:r>
              <w:rPr>
                <w:b w:val="false"/>
                <w:bCs w:val="false"/>
                <w:color w:val="000000"/>
              </w:rPr>
              <w:t xml:space="preserve">Payment integration, subscriptions, and commission go live</w:t>
            </w:r>
          </w:p>
        </w:tc>
      </w:tr>
      <w:tr>
        <w:tc>
          <w:tcPr>
            <w:tcW w:type="dxa" w:w="3000"/>
            <w:shd w:fill="F7F5F0" w:val="clear"/>
          </w:tcPr>
          <w:p>
            <w:r>
              <w:rPr>
                <w:b/>
                <w:bCs/>
                <w:color w:val="0F3D2E"/>
              </w:rPr>
              <w:t xml:space="preserve">March 2027</w:t>
            </w:r>
          </w:p>
        </w:tc>
        <w:tc>
          <w:tcPr>
            <w:tcW w:type="dxa" w:w="6600"/>
          </w:tcPr>
          <w:p>
            <w:r>
              <w:rPr>
                <w:b w:val="false"/>
                <w:bCs w:val="false"/>
                <w:color w:val="000000"/>
              </w:rPr>
              <w:t xml:space="preserve">Delivery and waybill go live</w:t>
            </w:r>
          </w:p>
        </w:tc>
      </w:tr>
      <w:tr>
        <w:tc>
          <w:tcPr>
            <w:tcW w:type="dxa" w:w="3000"/>
            <w:shd w:fill="F7F5F0" w:val="clear"/>
          </w:tcPr>
          <w:p>
            <w:r>
              <w:rPr>
                <w:b/>
                <w:bCs/>
                <w:color w:val="0F3D2E"/>
              </w:rPr>
              <w:t xml:space="preserve">April 18, 2027</w:t>
            </w:r>
          </w:p>
        </w:tc>
        <w:tc>
          <w:tcPr>
            <w:tcW w:type="dxa" w:w="6600"/>
          </w:tcPr>
          <w:p>
            <w:r>
              <w:rPr>
                <w:b w:val="false"/>
                <w:bCs w:val="false"/>
                <w:color w:val="000000"/>
              </w:rPr>
              <w:t xml:space="preserve">Second semester resumes</w:t>
            </w:r>
          </w:p>
        </w:tc>
      </w:tr>
      <w:tr>
        <w:tc>
          <w:tcPr>
            <w:tcW w:type="dxa" w:w="3000"/>
            <w:shd w:fill="F7F5F0" w:val="clear"/>
          </w:tcPr>
          <w:p>
            <w:r>
              <w:rPr>
                <w:b/>
                <w:bCs/>
                <w:color w:val="0F3D2E"/>
              </w:rPr>
              <w:t xml:space="preserve">April/May 2027</w:t>
            </w:r>
          </w:p>
        </w:tc>
        <w:tc>
          <w:tcPr>
            <w:tcW w:type="dxa" w:w="6600"/>
          </w:tcPr>
          <w:p>
            <w:r>
              <w:rPr>
                <w:b w:val="false"/>
                <w:bCs w:val="false"/>
                <w:color w:val="000000"/>
              </w:rPr>
              <w:t xml:space="preserve">Housing section launches</w:t>
            </w:r>
          </w:p>
        </w:tc>
      </w:tr>
      <w:tr>
        <w:tc>
          <w:tcPr>
            <w:tcW w:type="dxa" w:w="3000"/>
            <w:shd w:fill="F7F5F0" w:val="clear"/>
          </w:tcPr>
          <w:p>
            <w:r>
              <w:rPr>
                <w:b/>
                <w:bCs/>
                <w:color w:val="0F3D2E"/>
              </w:rPr>
              <w:t xml:space="preserve">May 8, 2027</w:t>
            </w:r>
          </w:p>
        </w:tc>
        <w:tc>
          <w:tcPr>
            <w:tcW w:type="dxa" w:w="6600"/>
          </w:tcPr>
          <w:p>
            <w:r>
              <w:rPr>
                <w:b w:val="false"/>
                <w:bCs w:val="false"/>
                <w:color w:val="000000"/>
              </w:rPr>
              <w:t xml:space="preserve">Convocation ceremony</w:t>
            </w:r>
          </w:p>
        </w:tc>
      </w:tr>
      <w:tr>
        <w:tc>
          <w:tcPr>
            <w:tcW w:type="dxa" w:w="3000"/>
            <w:shd w:fill="F7F5F0" w:val="clear"/>
          </w:tcPr>
          <w:p>
            <w:r>
              <w:rPr>
                <w:b/>
                <w:bCs/>
                <w:color w:val="0F3D2E"/>
              </w:rPr>
              <w:t xml:space="preserve">August 13, 2027</w:t>
            </w:r>
          </w:p>
        </w:tc>
        <w:tc>
          <w:tcPr>
            <w:tcW w:type="dxa" w:w="6600"/>
          </w:tcPr>
          <w:p>
            <w:r>
              <w:rPr>
                <w:b w:val="false"/>
                <w:bCs w:val="false"/>
                <w:color w:val="000000"/>
              </w:rPr>
              <w:t xml:space="preserve">Exams end — Emmanuel graduates</w:t>
            </w:r>
          </w:p>
        </w:tc>
      </w:tr>
      <w:tr>
        <w:tc>
          <w:tcPr>
            <w:tcW w:type="dxa" w:w="3000"/>
            <w:shd w:fill="F7F5F0" w:val="clear"/>
          </w:tcPr>
          <w:p>
            <w:r>
              <w:rPr>
                <w:b/>
                <w:bCs/>
                <w:color w:val="0F3D2E"/>
              </w:rPr>
              <w:t xml:space="preserve">August 2027 onward</w:t>
            </w:r>
          </w:p>
        </w:tc>
        <w:tc>
          <w:tcPr>
            <w:tcW w:type="dxa" w:w="6600"/>
          </w:tcPr>
          <w:p>
            <w:r>
              <w:rPr>
                <w:b w:val="false"/>
                <w:bCs w:val="false"/>
                <w:color w:val="000000"/>
              </w:rPr>
              <w:t xml:space="preserve">Next-campus expansion planning begins</w:t>
            </w:r>
          </w:p>
        </w:tc>
      </w:tr>
    </w:tbl>
    <w:p>
      <w:pPr>
        <w:pStyle w:val="Heading1"/>
        <w:pBdr>
          <w:bottom w:val="single" w:color="0F3D2E" w:sz="12" w:space="4"/>
        </w:pBdr>
        <w:spacing w:after="200" w:before="400"/>
      </w:pPr>
      <w:r>
        <w:t xml:space="preserve">19. Open Items &amp; Risks to Track</w:t>
      </w:r>
    </w:p>
    <w:p>
      <w:pPr>
        <w:pStyle w:val="ListParagraph"/>
        <w:numPr>
          <w:ilvl w:val="0"/>
          <w:numId w:val="2"/>
        </w:numPr>
        <w:spacing w:after="80"/>
      </w:pPr>
      <w:r>
        <w:t xml:space="preserve">Developer has committed to a one-week timeline for all 14 updates — Priorities 5, 6, and 7 (horizontal category scroll, Featured Vendors section, campus-aware registration) are the highest-effort items and the most likely to slip</w:t>
      </w:r>
    </w:p>
    <w:p>
      <w:pPr>
        <w:pStyle w:val="ListParagraph"/>
        <w:numPr>
          <w:ilvl w:val="0"/>
          <w:numId w:val="2"/>
        </w:numPr>
        <w:spacing w:after="80"/>
      </w:pPr>
      <w:r>
        <w:t xml:space="preserve">Brother/CTO's time is split with the OPay/Google National Innovation Challenge team he leads — a live claim on his bandwidth during the same August window</w:t>
      </w:r>
    </w:p>
    <w:p>
      <w:pPr>
        <w:pStyle w:val="ListParagraph"/>
        <w:numPr>
          <w:ilvl w:val="0"/>
          <w:numId w:val="2"/>
        </w:numPr>
        <w:spacing w:after="80"/>
      </w:pPr>
      <w:r>
        <w:t xml:space="preserve">Emmanuella's ₦85,000 deferred payment is due within 30 days of first revenue — track against the February 2027 monetization date</w:t>
      </w:r>
    </w:p>
    <w:p>
      <w:pPr>
        <w:pStyle w:val="ListParagraph"/>
        <w:numPr>
          <w:ilvl w:val="0"/>
          <w:numId w:val="2"/>
        </w:numPr>
        <w:spacing w:after="80"/>
      </w:pPr>
      <w:r>
        <w:t xml:space="preserve">Swift succession plan is unresolved — the founder is graduating; raise this in the August conversation</w:t>
      </w:r>
    </w:p>
    <w:p>
      <w:pPr>
        <w:pStyle w:val="Heading1"/>
        <w:pBdr>
          <w:bottom w:val="single" w:color="0F3D2E" w:sz="12" w:space="4"/>
        </w:pBdr>
        <w:spacing w:after="200" w:before="400"/>
      </w:pPr>
      <w:r>
        <w:t xml:space="preserve">Addendum A: Listing Taxonomy &amp; Category Structure</w:t>
      </w:r>
    </w:p>
    <w:p>
      <w:pPr>
        <w:spacing w:after="160"/>
      </w:pPr>
      <w:r>
        <w:t xml:space="preserve">Added August 1, 2026, following further product-structure discussion. This addendum refines how categories, listings, and vendor storefronts relate to one another, and formalizes a decision on the earlier Products vs. Services question.</w:t>
      </w:r>
    </w:p>
    <w:p>
      <w:pPr>
        <w:pStyle w:val="Heading2"/>
        <w:spacing w:after="120" w:before="300"/>
      </w:pPr>
      <w:r>
        <w:t xml:space="preserve">The Core Decision</w:t>
      </w:r>
    </w:p>
    <w:p>
      <w:pPr>
        <w:spacing w:after="160"/>
      </w:pPr>
      <w:r>
        <w:t xml:space="preserve">Category is assigned at the listing level, not the vendor level. A vendor is not locked into a single category — their storefront can contain listings across multiple categories (e.g. a phone repairer can list a repair service under Tech and a phone for sale also under Tech or a Gadgets-type category; a makeup artist can have one listing under Beauty and another under Photography). Each individual listing, however, still belongs to exactly one category — no listing is split across two.</w:t>
      </w:r>
    </w:p>
    <w:p>
      <w:pPr>
        <w:pStyle w:val="Heading2"/>
        <w:spacing w:after="120" w:before="300"/>
      </w:pPr>
      <w:r>
        <w:t xml:space="preserve">Why This Model, Not a Products/Services Split</w:t>
      </w:r>
    </w:p>
    <w:p>
      <w:pPr>
        <w:spacing w:after="160"/>
      </w:pPr>
      <w:r>
        <w:t xml:space="preserve">An earlier idea was to split the platform into top-level Products and Services sections. This was reconsidered after reviewing how Etsy organizes an open, uncontrolled inventory: Etsy enforces exactly one category per listing marketplace-wide, then lets each seller organize their own storefront into optional internal sections. That structure solves the same problem Voeq faces — vendors whose offerings straddle products and services — without forcing every vendor into one bucket or building a second, competing category hierarchy.</w:t>
      </w:r>
    </w:p>
    <w:p>
      <w:pPr>
        <w:spacing w:after="160"/>
      </w:pPr>
      <w:r>
        <w:t xml:space="preserve">Decision: no Products/Services tag or top-level split for the October 2026 launch. If real usage after launch shows buyers need to filter by product vs. service within mixed categories (Food, Tailoring, Tech, and similar), it can be added later as a simple tag/filter on individual listings — a lightweight Phase 2 addition backed by actual data, rather than a structural change guessed at before launch.</w:t>
      </w:r>
    </w:p>
    <w:p>
      <w:pPr>
        <w:pStyle w:val="Heading2"/>
        <w:spacing w:after="120" w:before="300"/>
      </w:pPr>
      <w:r>
        <w:t xml:space="preserve">How the Flow Works</w:t>
      </w:r>
    </w:p>
    <w:p>
      <w:pPr>
        <w:pStyle w:val="ListParagraph"/>
        <w:numPr>
          <w:ilvl w:val="0"/>
          <w:numId w:val="2"/>
        </w:numPr>
        <w:spacing w:after="80"/>
      </w:pPr>
      <w:r>
        <w:t xml:space="preserve">Vendor creates a listing — photo, title, one required category (from the 20 + Other), price or price range, description, and an optional storefront section to group it under</w:t>
      </w:r>
    </w:p>
    <w:p>
      <w:pPr>
        <w:pStyle w:val="ListParagraph"/>
        <w:numPr>
          <w:ilvl w:val="0"/>
          <w:numId w:val="2"/>
        </w:numPr>
        <w:spacing w:after="80"/>
      </w:pPr>
      <w:r>
        <w:t xml:space="preserve">Buyer searches or filters by category on the general marketplace — results are individual listings from any matching vendor, not vendor cards</w:t>
      </w:r>
    </w:p>
    <w:p>
      <w:pPr>
        <w:pStyle w:val="ListParagraph"/>
        <w:numPr>
          <w:ilvl w:val="0"/>
          <w:numId w:val="2"/>
        </w:numPr>
        <w:spacing w:after="80"/>
      </w:pPr>
      <w:r>
        <w:t xml:space="preserve">Buyer taps a listing — opens that listing's detail view</w:t>
      </w:r>
    </w:p>
    <w:p>
      <w:pPr>
        <w:pStyle w:val="ListParagraph"/>
        <w:numPr>
          <w:ilvl w:val="0"/>
          <w:numId w:val="2"/>
        </w:numPr>
        <w:spacing w:after="80"/>
      </w:pPr>
      <w:r>
        <w:t xml:space="preserve">From the listing, the buyer reaches the vendor's full storefront — showing the vendor's rating, reviews, WhatsApp connect button, and all of that vendor's listings across any category, grouped into the vendor's own sections</w:t>
      </w:r>
    </w:p>
    <w:p>
      <w:pPr>
        <w:spacing w:after="160"/>
      </w:pPr>
      <w:r>
        <w:t xml:space="preserve">A useful side effect of this structure: a buyer who finds a vendor through one category (e.g. Tech, for a phone repair) may discover on that vendor's storefront that they also sell something else entirely (e.g. phone accessories) — organic cross-selling that a rigid, vendor-level category lock would prevent.</w:t>
      </w:r>
    </w:p>
    <w:p>
      <w:pPr>
        <w:pStyle w:val="Heading2"/>
        <w:spacing w:after="120" w:before="300"/>
      </w:pPr>
      <w:r>
        <w:t xml:space="preserve">No New Categories Required</w:t>
      </w:r>
    </w:p>
    <w:p>
      <w:pPr>
        <w:spacing w:after="160"/>
      </w:pPr>
      <w:r>
        <w:t xml:space="preserve">This change does not require expanding the 20-category list. Vendors doing multiple things (a phone repairer who also sells phones, a laundry vendor who also sells clothes) already fit within existing categories — the fix is architectural (category lives on the listing, not the vendor profile), not a matter of adding categories. Anything that genuinely does not fit an existing category is still covered by the existing “Other” category.</w:t>
      </w:r>
    </w:p>
    <w:p>
      <w:pPr>
        <w:pStyle w:val="Heading2"/>
        <w:spacing w:after="120" w:before="300"/>
      </w:pPr>
      <w:r>
        <w:t xml:space="preserve">Developer Note</w:t>
      </w:r>
    </w:p>
    <w:p>
      <w:pPr>
        <w:spacing w:after="160"/>
      </w:pPr>
      <w:r>
        <w:t xml:space="preserve">This is not part of the original 14-item Platform Update Priorities brief. Before Priority 7 (campus-aware registration) and the vendor listing form are built, confirm with the developer that category is being stored as a per-listing field, not a per-vendor-profile field — this is the one architectural point that must be right from the start to avoid rework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2026-08-01T10:12:53.262Z</dcterms:created>
  <dcterms:modified xsi:type="dcterms:W3CDTF">2026-08-01T10:12:53.285Z</dcterms:modified>
</cp:coreProperties>
</file>

<file path=docProps/custom.xml><?xml version="1.0" encoding="utf-8"?>
<Properties xmlns="http://schemas.openxmlformats.org/officeDocument/2006/custom-properties" xmlns:vt="http://schemas.openxmlformats.org/officeDocument/2006/docPropsVTypes"/>
</file>