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35C37"/>
          <w:sz w:val="76"/>
        </w:rPr>
        <w:t>DEAD AIR</w:t>
      </w:r>
    </w:p>
    <w:p>
      <w:pPr>
        <w:jc w:val="center"/>
      </w:pPr>
      <w:r>
        <w:rPr>
          <w:b/>
          <w:color w:val="415045"/>
          <w:sz w:val="30"/>
        </w:rPr>
        <w:t>GAME DESIGN DOCUMENT</w:t>
      </w:r>
    </w:p>
    <w:p>
      <w:pPr>
        <w:spacing w:before="300"/>
        <w:jc w:val="center"/>
      </w:pPr>
      <w:r>
        <w:rPr>
          <w:i/>
        </w:rPr>
        <w:t>Version 0.1 · Consolidated concept draft · 27 October 2026</w:t>
      </w:r>
    </w:p>
    <w:p>
      <w:pPr>
        <w:spacing w:before="900"/>
        <w:jc w:val="center"/>
      </w:pPr>
      <w:r>
        <w:t>A quiet radio horror about records that contradict one another,</w:t>
        <w:br/>
        <w:t>ordinary work, and the things a system cannot account for.</w:t>
      </w:r>
    </w:p>
    <w:tbl>
      <w:tblPr>
        <w:tblW w:type="auto" w:w="0"/>
        <w:tblLayout w:type="autofit"/>
        <w:tblLook w:firstColumn="1" w:firstRow="1" w:lastColumn="0" w:lastRow="0" w:noHBand="0" w:noVBand="1" w:val="04A0"/>
      </w:tblPr>
      <w:tblGrid>
        <w:gridCol w:w="9936"/>
      </w:tblGrid>
      <w:tr>
        <w:tc>
          <w:tcPr>
            <w:tcW w:type="dxa" w:w="9936"/>
            <w:shd w:fill="EAF2EC"/>
          </w:tcPr>
          <w:p>
            <w:pPr>
              <w:spacing w:after="40"/>
            </w:pPr>
            <w:r>
              <w:rPr>
                <w:b/>
                <w:color w:val="235C37"/>
              </w:rPr>
              <w:t>DESIGN RULE: Build a terminal, not a simulator. The receiver is a convincing, coherent interface for a fictional radio world—not a real SDR and not a complex physics model.</w:t>
            </w:r>
          </w:p>
        </w:tc>
      </w:tr>
    </w:tbl>
    <w:p>
      <w:pPr>
        <w:spacing w:after="0"/>
      </w:pPr>
    </w:p>
    <w:p>
      <w:r>
        <w:br w:type="page"/>
      </w:r>
    </w:p>
    <w:p>
      <w:pPr>
        <w:pStyle w:val="Heading1"/>
      </w:pPr>
      <w:r>
        <w:t>1. Executive Summary</w:t>
      </w:r>
    </w:p>
    <w:p>
      <w:r>
        <w:t>DEAD AIR is an offline, landscape-only Android radio-conspiracy horror game. The player is a technician at a remote civilian spectrum-monitoring site. They tune a simulated receiver, listen to ordinary radio traffic, record and decode transmissions, complete routine assignments, and investigate discrepancies in official records. A recurring identifier, NR-041, eventually links ordinary monitoring work to a closed incident at a government research facility. The game never confirms what lies beyond the unexplained connection, what it wants, or whether an experimental AI caused the incident.</w:t>
      </w:r>
    </w:p>
    <w:p>
      <w:r>
        <w:t>The intended experience is slow-burn, procedural, and evidence-driven. The screen remains stable and reliable. The horror lives in transcripts, conflicting timestamps, missing records, and professional messages that close questions without answering them.</w:t>
      </w:r>
    </w:p>
    <w:p>
      <w:pPr>
        <w:pStyle w:val="ListBullet"/>
        <w:spacing w:after="40"/>
      </w:pPr>
      <w:r>
        <w:t>Platform: Android, offline, landscape-only.</w:t>
      </w:r>
    </w:p>
    <w:p>
      <w:pPr>
        <w:pStyle w:val="ListBullet"/>
        <w:spacing w:after="40"/>
      </w:pPr>
      <w:r>
        <w:t>Target package: under 25 MB, subject to engine/export overhead.</w:t>
      </w:r>
    </w:p>
    <w:p>
      <w:pPr>
        <w:pStyle w:val="ListBullet"/>
        <w:spacing w:after="40"/>
      </w:pPr>
      <w:r>
        <w:t>Commercial intent: potentially sell for USD $0.99; not yet a locked business decision.</w:t>
      </w:r>
    </w:p>
    <w:p>
      <w:pPr>
        <w:pStyle w:val="ListBullet"/>
        <w:spacing w:after="40"/>
      </w:pPr>
      <w:r>
        <w:t>Implementation direction: Godot 4.x with GDScript, pending a later prototype/size test.</w:t>
      </w:r>
    </w:p>
    <w:p>
      <w:pPr>
        <w:pStyle w:val="ListBullet"/>
        <w:spacing w:after="40"/>
      </w:pPr>
      <w:r>
        <w:t>Development rule: no coding until the concept and design document are sufficiently settled and the user explicitly asks to begin.</w:t>
      </w:r>
    </w:p>
    <w:p>
      <w:pPr>
        <w:pStyle w:val="Heading1"/>
      </w:pPr>
      <w:r>
        <w:t>2. Pillars and Non-Negotiable Rules</w:t>
      </w:r>
    </w:p>
    <w:p>
      <w:pPr>
        <w:pStyle w:val="ListBullet"/>
        <w:spacing w:after="40"/>
      </w:pPr>
      <w:r>
        <w:t>Procedural realism: everyday monitoring, routine assignments, administrative records, and plausible technical limitations.</w:t>
      </w:r>
    </w:p>
    <w:p>
      <w:pPr>
        <w:pStyle w:val="ListBullet"/>
        <w:spacing w:after="40"/>
      </w:pPr>
      <w:r>
        <w:t>Unknowability: never reveal the entity or whatever may be beyond the connection; never confirm intentions or whether the AI is responsible.</w:t>
      </w:r>
    </w:p>
    <w:p>
      <w:pPr>
        <w:pStyle w:val="ListBullet"/>
        <w:spacing w:after="40"/>
      </w:pPr>
      <w:r>
        <w:t>Evidence over spectacle: the player investigates through recordings, transcripts, archive searches, reports, and comparisons.</w:t>
      </w:r>
    </w:p>
    <w:p>
      <w:pPr>
        <w:pStyle w:val="ListBullet"/>
        <w:spacing w:after="40"/>
      </w:pPr>
      <w:r>
        <w:t>Stable interface: no fake glitches, supernatural clock behavior, arbitrary queue failures, or visual lies.</w:t>
      </w:r>
    </w:p>
    <w:p>
      <w:pPr>
        <w:pStyle w:val="ListBullet"/>
        <w:spacing w:after="40"/>
      </w:pPr>
      <w:r>
        <w:t>Player autonomy: no real-world waiting, expiring tasks, streaks, quotas, or penalties for closing the app.</w:t>
      </w:r>
    </w:p>
    <w:p>
      <w:pPr>
        <w:pStyle w:val="ListBullet"/>
        <w:spacing w:after="40"/>
      </w:pPr>
      <w:r>
        <w:t>Recoverability: essential clues cannot be permanently missed because of a short recording, a single audio moment, or an early choice.</w:t>
      </w:r>
    </w:p>
    <w:p>
      <w:pPr>
        <w:pStyle w:val="ListBullet"/>
        <w:spacing w:after="40"/>
      </w:pPr>
      <w:r>
        <w:t>Minimal production footprint: no 3D, walking sprites, large voice packs, online services, real SDR hardware, or elaborate animations.</w:t>
      </w:r>
    </w:p>
    <w:p>
      <w:pPr>
        <w:pStyle w:val="ListBullet"/>
        <w:spacing w:after="40"/>
      </w:pPr>
      <w:r>
        <w:t>Anonymous observer: radio operators have their own lives and do not recognize the player or form relationship meters.</w:t>
      </w:r>
    </w:p>
    <w:p>
      <w:pPr>
        <w:pStyle w:val="ListBullet"/>
        <w:spacing w:after="40"/>
      </w:pPr>
      <w:r>
        <w:t>Audio is atmosphere plus information, never the only route to essential clues; all meaningful content is available as text.</w:t>
      </w:r>
    </w:p>
    <w:p>
      <w:pPr>
        <w:pStyle w:val="Heading1"/>
      </w:pPr>
      <w:r>
        <w:t>3. Premise, Role, and Setting</w:t>
      </w:r>
    </w:p>
    <w:p>
      <w:pPr>
        <w:pStyle w:val="Heading2"/>
      </w:pPr>
      <w:r>
        <w:t>Player role</w:t>
      </w:r>
    </w:p>
    <w:p>
      <w:r>
        <w:t>The player is a technician employed by a fictional civilian radio regulator, provisionally the National Radio Monitoring Service (NRMS). They work alone at Remote Monitoring Site 04, checking spectrum activity, verifying identifiers, investigating interference, logging unauthorized transmissions, and forwarding reports. They are not a chosen one, secret agent, or physicist.</w:t>
      </w:r>
    </w:p>
    <w:p>
      <w:pPr>
        <w:pStyle w:val="Heading2"/>
      </w:pPr>
      <w:r>
        <w:t>Central background</w:t>
      </w:r>
    </w:p>
    <w:p>
      <w:r>
        <w:t>A government research project combined advanced AI with experimental particle-physics research in an attempt to model phenomena outside conventional understanding. A serious incident occurred; the government covered it up. Low-bandwidth radio networks and numbers-station-like transmissions served as fallback communications when conventional digital networks were considered unreliable or compromised. Monitoring Site 04 continues to capture structured transmissions associated with a project that official records say did not exist.</w:t>
      </w:r>
    </w:p>
    <w:tbl>
      <w:tblPr>
        <w:tblW w:type="auto" w:w="0"/>
        <w:tblLayout w:type="autofit"/>
        <w:tblLook w:firstColumn="1" w:firstRow="1" w:lastColumn="0" w:lastRow="0" w:noHBand="0" w:noVBand="1" w:val="04A0"/>
      </w:tblPr>
      <w:tblGrid>
        <w:gridCol w:w="9936"/>
      </w:tblGrid>
      <w:tr>
        <w:tc>
          <w:tcPr>
            <w:tcW w:type="dxa" w:w="9936"/>
            <w:shd w:fill="EAF2EC"/>
          </w:tcPr>
          <w:p>
            <w:pPr>
              <w:spacing w:after="40"/>
            </w:pPr>
            <w:r>
              <w:rPr>
                <w:b/>
                <w:color w:val="235C37"/>
              </w:rPr>
              <w:t>Mystery boundary: the player can discover what people did, what was recorded, and how the cover-up's paperwork conflicts. They cannot establish what is on the other side, what it intends, or whether the AI caused it.</w:t>
            </w:r>
          </w:p>
        </w:tc>
      </w:tr>
    </w:tbl>
    <w:p>
      <w:pPr>
        <w:spacing w:after="0"/>
      </w:pPr>
    </w:p>
    <w:p>
      <w:pPr>
        <w:pStyle w:val="Heading1"/>
      </w:pPr>
      <w:r>
        <w:t>4. Tone, Visuals, and Sound</w:t>
      </w:r>
    </w:p>
    <w:p>
      <w:pPr>
        <w:pStyle w:val="Heading2"/>
      </w:pPr>
      <w:r>
        <w:t>Visual direction</w:t>
      </w:r>
    </w:p>
    <w:p>
      <w:pPr>
        <w:pStyle w:val="ListBullet"/>
        <w:spacing w:after="40"/>
      </w:pPr>
      <w:r>
        <w:t>Dark charcoal/black background, green phosphor traces and text, restrained amber warnings, crisp grid lines.</w:t>
      </w:r>
    </w:p>
    <w:p>
      <w:pPr>
        <w:pStyle w:val="ListBullet"/>
        <w:spacing w:after="40"/>
      </w:pPr>
      <w:r>
        <w:t>Dense receiver view inspired by SDR++ waterfall/spectrum analysis: technical labels, waveform/waterfall, compact controls.</w:t>
      </w:r>
    </w:p>
    <w:p>
      <w:pPr>
        <w:pStyle w:val="ListBullet"/>
        <w:spacing w:after="40"/>
      </w:pPr>
      <w:r>
        <w:t>Landscape-only interface; touch-friendly targets; no elaborate equipment animations.</w:t>
      </w:r>
    </w:p>
    <w:p>
      <w:pPr>
        <w:pStyle w:val="ListBullet"/>
        <w:spacing w:after="40"/>
      </w:pPr>
      <w:r>
        <w:t>A true scrolling waterfall: horizontal axis is frequency, vertical axis is recent time, new rows arrive and history scrolls; brightness represents signal strength.</w:t>
      </w:r>
    </w:p>
    <w:p>
      <w:pPr>
        <w:pStyle w:val="ListBullet"/>
        <w:spacing w:after="40"/>
      </w:pPr>
      <w:r>
        <w:t>A small spectrum plot above the waterfall is optional if it remains lightweight.</w:t>
      </w:r>
    </w:p>
    <w:p>
      <w:pPr>
        <w:pStyle w:val="ListBullet"/>
        <w:spacing w:after="40"/>
      </w:pPr>
      <w:r>
        <w:t>The UI is stable and consistent at all times; horror never relies on fake interface malfunctions.</w:t>
      </w:r>
    </w:p>
    <w:p>
      <w:pPr>
        <w:pStyle w:val="Heading2"/>
      </w:pPr>
      <w:r>
        <w:t>Sound direction</w:t>
      </w:r>
    </w:p>
    <w:p>
      <w:r>
        <w:t>Use procedural synthesis and a small reusable sound engine: tone generation, simple music patterns, synthetic character voices, and radio effects such as static, fading, filtering, and narrowband distortion. Avoid large audio asset libraries.</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Audio class</w:t>
            </w:r>
          </w:p>
        </w:tc>
        <w:tc>
          <w:tcPr>
            <w:tcW w:type="dxa" w:w="4968"/>
            <w:shd w:fill="245C37"/>
          </w:tcPr>
          <w:p>
            <w:r>
              <w:rPr>
                <w:b/>
                <w:color w:val="FFFFFF"/>
              </w:rPr>
              <w:t>Design</w:t>
            </w:r>
          </w:p>
        </w:tc>
      </w:tr>
      <w:tr>
        <w:tc>
          <w:tcPr>
            <w:tcW w:type="dxa" w:w="4968"/>
          </w:tcPr>
          <w:p>
            <w:pPr>
              <w:spacing w:after="20"/>
            </w:pPr>
            <w:r>
              <w:rPr>
                <w:sz w:val="17"/>
              </w:rPr>
              <w:t>Ordinary traffic</w:t>
            </w:r>
          </w:p>
        </w:tc>
        <w:tc>
          <w:tcPr>
            <w:tcW w:type="dxa" w:w="4968"/>
          </w:tcPr>
          <w:p>
            <w:pPr>
              <w:spacing w:after="20"/>
            </w:pPr>
            <w:r>
              <w:rPr>
                <w:sz w:val="17"/>
              </w:rPr>
              <w:t>Broadcast/music, amateur voice snippets, CW exchanges, beacons, telemetry, digital bursts, noise/interference.</w:t>
            </w:r>
          </w:p>
        </w:tc>
      </w:tr>
      <w:tr>
        <w:tc>
          <w:tcPr>
            <w:tcW w:type="dxa" w:w="4968"/>
          </w:tcPr>
          <w:p>
            <w:pPr>
              <w:spacing w:after="20"/>
            </w:pPr>
            <w:r>
              <w:rPr>
                <w:sz w:val="17"/>
              </w:rPr>
              <w:t>Procedural music</w:t>
            </w:r>
          </w:p>
        </w:tc>
        <w:tc>
          <w:tcPr>
            <w:tcW w:type="dxa" w:w="4968"/>
          </w:tcPr>
          <w:p>
            <w:pPr>
              <w:spacing w:after="20"/>
            </w:pPr>
            <w:r>
              <w:rPr>
                <w:sz w:val="17"/>
              </w:rPr>
              <w:t>Six to eight styles: jazz/lounge, country/folk, classical-inspired, ambient/drone, retro electronic, lo-fi, novelty/community jingles, experimental/abstract.</w:t>
            </w:r>
          </w:p>
        </w:tc>
      </w:tr>
      <w:tr>
        <w:tc>
          <w:tcPr>
            <w:tcW w:type="dxa" w:w="4968"/>
          </w:tcPr>
          <w:p>
            <w:pPr>
              <w:spacing w:after="20"/>
            </w:pPr>
            <w:r>
              <w:rPr>
                <w:sz w:val="17"/>
              </w:rPr>
              <w:t>Synthetic voices</w:t>
            </w:r>
          </w:p>
        </w:tc>
        <w:tc>
          <w:tcPr>
            <w:tcW w:type="dxa" w:w="4968"/>
          </w:tcPr>
          <w:p>
            <w:pPr>
              <w:spacing w:after="20"/>
            </w:pPr>
            <w:r>
              <w:rPr>
                <w:sz w:val="17"/>
              </w:rPr>
              <w:t>Pitched syllable/gibberish voices synchronized with readable text; distinct profiles for operators and official messages.</w:t>
            </w:r>
          </w:p>
        </w:tc>
      </w:tr>
      <w:tr>
        <w:tc>
          <w:tcPr>
            <w:tcW w:type="dxa" w:w="4968"/>
          </w:tcPr>
          <w:p>
            <w:pPr>
              <w:spacing w:after="20"/>
            </w:pPr>
            <w:r>
              <w:rPr>
                <w:sz w:val="17"/>
              </w:rPr>
              <w:t>Time standard</w:t>
            </w:r>
          </w:p>
        </w:tc>
        <w:tc>
          <w:tcPr>
            <w:tcW w:type="dxa" w:w="4968"/>
          </w:tcPr>
          <w:p>
            <w:pPr>
              <w:spacing w:after="20"/>
            </w:pPr>
            <w:r>
              <w:rPr>
                <w:sz w:val="17"/>
              </w:rPr>
              <w:t>10.000 MHz AM; regular second tick, stronger minute tick, distinct buzz at :15/:30/:45, unique top-of-hour signal.</w:t>
            </w:r>
          </w:p>
        </w:tc>
      </w:tr>
      <w:tr>
        <w:tc>
          <w:tcPr>
            <w:tcW w:type="dxa" w:w="4968"/>
          </w:tcPr>
          <w:p>
            <w:pPr>
              <w:spacing w:after="20"/>
            </w:pPr>
            <w:r>
              <w:rPr>
                <w:sz w:val="17"/>
              </w:rPr>
              <w:t>Critical information</w:t>
            </w:r>
          </w:p>
        </w:tc>
        <w:tc>
          <w:tcPr>
            <w:tcW w:type="dxa" w:w="4968"/>
          </w:tcPr>
          <w:p>
            <w:pPr>
              <w:spacing w:after="20"/>
            </w:pPr>
            <w:r>
              <w:rPr>
                <w:sz w:val="17"/>
              </w:rPr>
              <w:t>All lyrics, voice messages, CW, and meaningful transmissions have readable transcripts or equivalent text records.</w:t>
            </w:r>
          </w:p>
        </w:tc>
      </w:tr>
    </w:tbl>
    <w:p>
      <w:pPr>
        <w:spacing w:after="0"/>
      </w:pPr>
    </w:p>
    <w:p>
      <w:pPr>
        <w:pStyle w:val="Heading1"/>
      </w:pPr>
      <w:r>
        <w:t>5. Main Interface and Navigation</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Screen / control</w:t>
            </w:r>
          </w:p>
        </w:tc>
        <w:tc>
          <w:tcPr>
            <w:tcW w:type="dxa" w:w="4968"/>
            <w:shd w:fill="245C37"/>
          </w:tcPr>
          <w:p>
            <w:r>
              <w:rPr>
                <w:b/>
                <w:color w:val="FFFFFF"/>
              </w:rPr>
              <w:t>Behavior</w:t>
            </w:r>
          </w:p>
        </w:tc>
      </w:tr>
      <w:tr>
        <w:tc>
          <w:tcPr>
            <w:tcW w:type="dxa" w:w="4968"/>
          </w:tcPr>
          <w:p>
            <w:pPr>
              <w:spacing w:after="20"/>
            </w:pPr>
            <w:r>
              <w:rPr>
                <w:sz w:val="17"/>
              </w:rPr>
              <w:t>Startup</w:t>
            </w:r>
          </w:p>
        </w:tc>
        <w:tc>
          <w:tcPr>
            <w:tcW w:type="dxa" w:w="4968"/>
          </w:tcPr>
          <w:p>
            <w:pPr>
              <w:spacing w:after="20"/>
            </w:pPr>
            <w:r>
              <w:rPr>
                <w:sz w:val="17"/>
              </w:rPr>
              <w:t>Game always opens on Receiver with RX OFF. Saved progress persists.</w:t>
            </w:r>
          </w:p>
        </w:tc>
      </w:tr>
      <w:tr>
        <w:tc>
          <w:tcPr>
            <w:tcW w:type="dxa" w:w="4968"/>
          </w:tcPr>
          <w:p>
            <w:pPr>
              <w:spacing w:after="20"/>
            </w:pPr>
            <w:r>
              <w:rPr>
                <w:sz w:val="17"/>
              </w:rPr>
              <w:t>Primary navigation</w:t>
            </w:r>
          </w:p>
        </w:tc>
        <w:tc>
          <w:tcPr>
            <w:tcW w:type="dxa" w:w="4968"/>
          </w:tcPr>
          <w:p>
            <w:pPr>
              <w:spacing w:after="20"/>
            </w:pPr>
            <w:r>
              <w:rPr>
                <w:sz w:val="17"/>
              </w:rPr>
              <w:t>Two primary buttons: RECEIVER and TERMINAL.</w:t>
            </w:r>
          </w:p>
        </w:tc>
      </w:tr>
      <w:tr>
        <w:tc>
          <w:tcPr>
            <w:tcW w:type="dxa" w:w="4968"/>
          </w:tcPr>
          <w:p>
            <w:pPr>
              <w:spacing w:after="20"/>
            </w:pPr>
            <w:r>
              <w:rPr>
                <w:sz w:val="17"/>
              </w:rPr>
              <w:t>Terminal menu</w:t>
            </w:r>
          </w:p>
        </w:tc>
        <w:tc>
          <w:tcPr>
            <w:tcW w:type="dxa" w:w="4968"/>
          </w:tcPr>
          <w:p>
            <w:pPr>
              <w:spacing w:after="20"/>
            </w:pPr>
            <w:r>
              <w:rPr>
                <w:sz w:val="17"/>
              </w:rPr>
              <w:t>ARCHIVE, NOTEBOOK, ASSIGNMENTS, MESSAGES, plus report workflows where relevant.</w:t>
            </w:r>
          </w:p>
        </w:tc>
      </w:tr>
      <w:tr>
        <w:tc>
          <w:tcPr>
            <w:tcW w:type="dxa" w:w="4968"/>
          </w:tcPr>
          <w:p>
            <w:pPr>
              <w:spacing w:after="20"/>
            </w:pPr>
            <w:r>
              <w:rPr>
                <w:sz w:val="17"/>
              </w:rPr>
              <w:t>Persistent status strip</w:t>
            </w:r>
          </w:p>
        </w:tc>
        <w:tc>
          <w:tcPr>
            <w:tcW w:type="dxa" w:w="4968"/>
          </w:tcPr>
          <w:p>
            <w:pPr>
              <w:spacing w:after="20"/>
            </w:pPr>
            <w:r>
              <w:rPr>
                <w:sz w:val="17"/>
              </w:rPr>
              <w:t>Visible on non-receiver screens: station ID, frequency/mode, receiver status, activity, recording state.</w:t>
            </w:r>
          </w:p>
        </w:tc>
      </w:tr>
      <w:tr>
        <w:tc>
          <w:tcPr>
            <w:tcW w:type="dxa" w:w="4968"/>
          </w:tcPr>
          <w:p>
            <w:pPr>
              <w:spacing w:after="20"/>
            </w:pPr>
            <w:r>
              <w:rPr>
                <w:sz w:val="17"/>
              </w:rPr>
              <w:t>Receiver startup</w:t>
            </w:r>
          </w:p>
        </w:tc>
        <w:tc>
          <w:tcPr>
            <w:tcW w:type="dxa" w:w="4968"/>
          </w:tcPr>
          <w:p>
            <w:pPr>
              <w:spacing w:after="20"/>
            </w:pPr>
            <w:r>
              <w:rPr>
                <w:sz w:val="17"/>
              </w:rPr>
              <w:t>Power-on runs a consistent hardware-style check (frequency synthesizer, audio path, signal processor), then fades in waterfall/audio.</w:t>
            </w:r>
          </w:p>
        </w:tc>
      </w:tr>
      <w:tr>
        <w:tc>
          <w:tcPr>
            <w:tcW w:type="dxa" w:w="4968"/>
          </w:tcPr>
          <w:p>
            <w:pPr>
              <w:spacing w:after="20"/>
            </w:pPr>
            <w:r>
              <w:rPr>
                <w:sz w:val="17"/>
              </w:rPr>
              <w:t>Power-on default</w:t>
            </w:r>
          </w:p>
        </w:tc>
        <w:tc>
          <w:tcPr>
            <w:tcW w:type="dxa" w:w="4968"/>
          </w:tcPr>
          <w:p>
            <w:pPr>
              <w:spacing w:after="20"/>
            </w:pPr>
            <w:r>
              <w:rPr>
                <w:sz w:val="17"/>
              </w:rPr>
              <w:t>Resets receiver to 10.000 MHz AM Regulatory Time Standard and default receiver settings. Story progress and records do not reset.</w:t>
            </w:r>
          </w:p>
        </w:tc>
      </w:tr>
      <w:tr>
        <w:tc>
          <w:tcPr>
            <w:tcW w:type="dxa" w:w="4968"/>
          </w:tcPr>
          <w:p>
            <w:pPr>
              <w:spacing w:after="20"/>
            </w:pPr>
            <w:r>
              <w:rPr>
                <w:sz w:val="17"/>
              </w:rPr>
              <w:t>Orientation</w:t>
            </w:r>
          </w:p>
        </w:tc>
        <w:tc>
          <w:tcPr>
            <w:tcW w:type="dxa" w:w="4968"/>
          </w:tcPr>
          <w:p>
            <w:pPr>
              <w:spacing w:after="20"/>
            </w:pPr>
            <w:r>
              <w:rPr>
                <w:sz w:val="17"/>
              </w:rPr>
              <w:t>Landscape only. All screens designed for landscape.</w:t>
            </w:r>
          </w:p>
        </w:tc>
      </w:tr>
      <w:tr>
        <w:tc>
          <w:tcPr>
            <w:tcW w:type="dxa" w:w="4968"/>
          </w:tcPr>
          <w:p>
            <w:pPr>
              <w:spacing w:after="20"/>
            </w:pPr>
            <w:r>
              <w:rPr>
                <w:sz w:val="17"/>
              </w:rPr>
              <w:t>Accessibility</w:t>
            </w:r>
          </w:p>
        </w:tc>
        <w:tc>
          <w:tcPr>
            <w:tcW w:type="dxa" w:w="4968"/>
          </w:tcPr>
          <w:p>
            <w:pPr>
              <w:spacing w:after="20"/>
            </w:pPr>
            <w:r>
              <w:rPr>
                <w:sz w:val="17"/>
              </w:rPr>
              <w:t>Small, Standard, Large text sizes; separate volume sliders for radio audio, music, interface/effects.</w:t>
            </w:r>
          </w:p>
        </w:tc>
      </w:tr>
      <w:tr>
        <w:tc>
          <w:tcPr>
            <w:tcW w:type="dxa" w:w="4968"/>
          </w:tcPr>
          <w:p>
            <w:pPr>
              <w:spacing w:after="20"/>
            </w:pPr>
            <w:r>
              <w:rPr>
                <w:sz w:val="17"/>
              </w:rPr>
              <w:t>Settings</w:t>
            </w:r>
          </w:p>
        </w:tc>
        <w:tc>
          <w:tcPr>
            <w:tcW w:type="dxa" w:w="4968"/>
          </w:tcPr>
          <w:p>
            <w:pPr>
              <w:spacing w:after="20"/>
            </w:pPr>
            <w:r>
              <w:rPr>
                <w:sz w:val="17"/>
              </w:rPr>
              <w:t>Local persistence for text size, volumes, and other basic preferences.</w:t>
            </w:r>
          </w:p>
        </w:tc>
      </w:tr>
    </w:tbl>
    <w:p>
      <w:pPr>
        <w:spacing w:after="0"/>
      </w:pPr>
    </w:p>
    <w:p>
      <w:pPr>
        <w:pStyle w:val="Heading2"/>
      </w:pPr>
      <w:r>
        <w:t>Receiver controls</w:t>
      </w:r>
    </w:p>
    <w:p>
      <w:pPr>
        <w:pStyle w:val="ListBullet"/>
        <w:spacing w:after="40"/>
      </w:pPr>
      <w:r>
        <w:t>Band buttons always visible: HF (3–30 MHz), VHF (30–300 MHz), UHF (300 MHz–3 GHz). Each uses a simplified subset of frequencies, not every possible frequency.</w:t>
      </w:r>
    </w:p>
    <w:p>
      <w:pPr>
        <w:pStyle w:val="ListBullet"/>
        <w:spacing w:after="40"/>
      </w:pPr>
      <w:r>
        <w:t>Six always-visible modes: AM, FM, NFM, USB, LSB, CW. Selected mode is highlighted.</w:t>
      </w:r>
    </w:p>
    <w:p>
      <w:pPr>
        <w:pStyle w:val="ListBullet"/>
        <w:spacing w:after="40"/>
      </w:pPr>
      <w:r>
        <w:t>Hybrid tuning: drag across waterfall to explore; tap a signal to tune; left/right for fine steps; SCAN/SEEK searches selected range.</w:t>
      </w:r>
    </w:p>
    <w:p>
      <w:pPr>
        <w:pStyle w:val="ListBullet"/>
        <w:spacing w:after="40"/>
      </w:pPr>
      <w:r>
        <w:t>SEEK tap scans forward and stops at a qualifying signal. Long-press scans continuously, stopping at qualifying signals. Pressing SEEK again resumes beyond the current signal. Wraps at range end.</w:t>
      </w:r>
    </w:p>
    <w:p>
      <w:pPr>
        <w:pStyle w:val="ListBullet"/>
        <w:spacing w:after="40"/>
      </w:pPr>
      <w:r>
        <w:t>Detection threshold relates to gain. No signal means no invented stop or event.</w:t>
      </w:r>
    </w:p>
    <w:p>
      <w:pPr>
        <w:pStyle w:val="ListBullet"/>
        <w:spacing w:after="40"/>
      </w:pPr>
      <w:r>
        <w:t>Bandwidth control can isolate a signal but cut detail; gain boosts weak signals while increasing noise/distortion; noise reduction can suppress static but lose details.</w:t>
      </w:r>
    </w:p>
    <w:p>
      <w:pPr>
        <w:pStyle w:val="ListBullet"/>
        <w:spacing w:after="40"/>
      </w:pPr>
      <w:r>
        <w:t>CW decoder has adjustable speed and tone; manual listening remains available.</w:t>
      </w:r>
    </w:p>
    <w:p>
      <w:pPr>
        <w:pStyle w:val="ListBullet"/>
        <w:spacing w:after="40"/>
      </w:pPr>
      <w:r>
        <w:t>Compact signal panel overlays the waterfall with frequency, strength, estimated type, confidence, and actions. Full receiver view adds audio, transcript, decoding, recording, analysis.</w:t>
      </w:r>
    </w:p>
    <w:p>
      <w:pPr>
        <w:pStyle w:val="ListBullet"/>
        <w:spacing w:after="40"/>
      </w:pPr>
      <w:r>
        <w:t>Signal ID is persistent (e.g. SIG-0042); provisional description improves with evidence without overwriting earlier classifications.</w:t>
      </w:r>
    </w:p>
    <w:p>
      <w:pPr>
        <w:pStyle w:val="ListBullet"/>
        <w:spacing w:after="40"/>
      </w:pPr>
      <w:r>
        <w:t>Presets are one shared list. Each stores frequency, mode, and player-assigned name. Selecting a preset changes band/frequency/mode. Story presets may be added automatically.</w:t>
      </w:r>
    </w:p>
    <w:p>
      <w:pPr>
        <w:pStyle w:val="Heading1"/>
      </w:pPr>
      <w:r>
        <w:t>6. Simulated Radio World</w:t>
      </w:r>
    </w:p>
    <w:p>
      <w:r>
        <w:t>The receiver and waterfall are a coherent simulation, not a real software-defined radio. Each transmission event has frequency, signal type, start time, duration, strength, content, and recurrence. Event parameters drive waterfall shape, audio, classification, and transcript quality so these elements agree.</w:t>
      </w:r>
    </w:p>
    <w:p>
      <w:pPr>
        <w:pStyle w:val="ListBullet"/>
        <w:spacing w:after="40"/>
      </w:pPr>
      <w:r>
        <w:t>Traffic varies by simulated time, band, and propagation conditions. Most traffic is ordinary; unusual transmissions are rare.</w:t>
      </w:r>
    </w:p>
    <w:p>
      <w:pPr>
        <w:pStyle w:val="ListBullet"/>
        <w:spacing w:after="40"/>
      </w:pPr>
      <w:r>
        <w:t>Scheduled programs, time signals, and beacons coexist with loose recurring habits and variable ordinary traffic.</w:t>
      </w:r>
    </w:p>
    <w:p>
      <w:pPr>
        <w:pStyle w:val="ListBullet"/>
        <w:spacing w:after="40"/>
      </w:pPr>
      <w:r>
        <w:t>Recurring operators have independent stories but do not recognize or remember the player.</w:t>
      </w:r>
    </w:p>
    <w:p>
      <w:pPr>
        <w:pStyle w:val="ListBullet"/>
        <w:spacing w:after="40"/>
      </w:pPr>
      <w:r>
        <w:t>Voice traffic includes short snippets, occasional longer conversations, and stories spread across multiple transmissions.</w:t>
      </w:r>
    </w:p>
    <w:p>
      <w:pPr>
        <w:pStyle w:val="ListBullet"/>
        <w:spacing w:after="40"/>
      </w:pPr>
      <w:r>
        <w:t>Story transmissions become available through progression and remain recoverable; no essential clue depends on hearing one exact moment.</w:t>
      </w:r>
    </w:p>
    <w:p>
      <w:pPr>
        <w:pStyle w:val="ListBullet"/>
        <w:spacing w:after="40"/>
      </w:pPr>
      <w:r>
        <w:t>Receiver-off world continues on simulated time. Background monitoring saves activity totals and unusual-event summaries, not full recordings or detailed timestamped logs.</w:t>
      </w:r>
    </w:p>
    <w:p>
      <w:pPr>
        <w:pStyle w:val="ListBullet"/>
        <w:spacing w:after="40"/>
      </w:pPr>
      <w:r>
        <w:t>Classification can occasionally be wrong due to weak/noisy signals. Errors should be technically plausible and often recoverable through tuning or alternate recordings.</w:t>
      </w:r>
    </w:p>
    <w:p>
      <w:pPr>
        <w:pStyle w:val="ListBullet"/>
        <w:spacing w:after="40"/>
      </w:pPr>
      <w:r>
        <w:t>Show numerical detection/classification/decoding confidence plus details such as estimated bandwidth, SNR, and interference. These are deterministic game rules, not real ML.</w:t>
      </w:r>
    </w:p>
    <w:p>
      <w:pPr>
        <w:pStyle w:val="ListBullet"/>
        <w:spacing w:after="40"/>
      </w:pPr>
      <w:r>
        <w:t>Player is listen-only: no transmitting, push-to-talk, or initiating radio contacts.</w:t>
      </w:r>
    </w:p>
    <w:p>
      <w:pPr>
        <w:pStyle w:val="Heading1"/>
      </w:pPr>
      <w:r>
        <w:t>7. Audio, Transcription, and Recordings</w:t>
      </w:r>
    </w:p>
    <w:p>
      <w:r>
        <w:t>The game authors the underlying text/content for each transmission. Audio generation and transcript corruption are simulated from that content; no online AI or real speech recognition is required.</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Feature</w:t>
            </w:r>
          </w:p>
        </w:tc>
        <w:tc>
          <w:tcPr>
            <w:tcW w:type="dxa" w:w="4968"/>
            <w:shd w:fill="245C37"/>
          </w:tcPr>
          <w:p>
            <w:r>
              <w:rPr>
                <w:b/>
                <w:color w:val="FFFFFF"/>
              </w:rPr>
              <w:t>Rules</w:t>
            </w:r>
          </w:p>
        </w:tc>
      </w:tr>
      <w:tr>
        <w:tc>
          <w:tcPr>
            <w:tcW w:type="dxa" w:w="4968"/>
          </w:tcPr>
          <w:p>
            <w:pPr>
              <w:spacing w:after="20"/>
            </w:pPr>
            <w:r>
              <w:rPr>
                <w:sz w:val="17"/>
              </w:rPr>
              <w:t>Transcript assistance</w:t>
            </w:r>
          </w:p>
        </w:tc>
        <w:tc>
          <w:tcPr>
            <w:tcW w:type="dxa" w:w="4968"/>
          </w:tcPr>
          <w:p>
            <w:pPr>
              <w:spacing w:after="20"/>
            </w:pPr>
            <w:r>
              <w:rPr>
                <w:sz w:val="17"/>
              </w:rPr>
              <w:t>Automatic partial transcript attempts; settings, replay, alternate recordings, or decoder selection can improve signal-level uncertainty.</w:t>
            </w:r>
          </w:p>
        </w:tc>
      </w:tr>
      <w:tr>
        <w:tc>
          <w:tcPr>
            <w:tcW w:type="dxa" w:w="4968"/>
          </w:tcPr>
          <w:p>
            <w:pPr>
              <w:spacing w:after="20"/>
            </w:pPr>
            <w:r>
              <w:rPr>
                <w:sz w:val="17"/>
              </w:rPr>
              <w:t>Two uncertainty types</w:t>
            </w:r>
          </w:p>
        </w:tc>
        <w:tc>
          <w:tcPr>
            <w:tcW w:type="dxa" w:w="4968"/>
          </w:tcPr>
          <w:p>
            <w:pPr>
              <w:spacing w:after="20"/>
            </w:pPr>
            <w:r>
              <w:rPr>
                <w:sz w:val="17"/>
              </w:rPr>
              <w:t>Signal uncertainty (missing/garbled words) may improve with reception. Contextual uncertainty (clear but ambiguous/contradictory meaning) requires evidence and reasoning.</w:t>
            </w:r>
          </w:p>
        </w:tc>
      </w:tr>
      <w:tr>
        <w:tc>
          <w:tcPr>
            <w:tcW w:type="dxa" w:w="4968"/>
          </w:tcPr>
          <w:p>
            <w:pPr>
              <w:spacing w:after="20"/>
            </w:pPr>
            <w:r>
              <w:rPr>
                <w:sz w:val="17"/>
              </w:rPr>
              <w:t>Music</w:t>
            </w:r>
          </w:p>
        </w:tc>
        <w:tc>
          <w:tcPr>
            <w:tcW w:type="dxa" w:w="4968"/>
          </w:tcPr>
          <w:p>
            <w:pPr>
              <w:spacing w:after="20"/>
            </w:pPr>
            <w:r>
              <w:rPr>
                <w:sz w:val="17"/>
              </w:rPr>
              <w:t>Lyrics have transcripts; instrumental tracks show station/program information when available.</w:t>
            </w:r>
          </w:p>
        </w:tc>
      </w:tr>
      <w:tr>
        <w:tc>
          <w:tcPr>
            <w:tcW w:type="dxa" w:w="4968"/>
          </w:tcPr>
          <w:p>
            <w:pPr>
              <w:spacing w:after="20"/>
            </w:pPr>
            <w:r>
              <w:rPr>
                <w:sz w:val="17"/>
              </w:rPr>
              <w:t>Playback</w:t>
            </w:r>
          </w:p>
        </w:tc>
        <w:tc>
          <w:tcPr>
            <w:tcW w:type="dxa" w:w="4968"/>
          </w:tcPr>
          <w:p>
            <w:pPr>
              <w:spacing w:after="20"/>
            </w:pPr>
            <w:r>
              <w:rPr>
                <w:sz w:val="17"/>
              </w:rPr>
              <w:t>Play, pause, restart, and transcript. No scrubbing, speed changes, or A/B comparison in the minimal initial scope.</w:t>
            </w:r>
          </w:p>
        </w:tc>
      </w:tr>
      <w:tr>
        <w:tc>
          <w:tcPr>
            <w:tcW w:type="dxa" w:w="4968"/>
          </w:tcPr>
          <w:p>
            <w:pPr>
              <w:spacing w:after="20"/>
            </w:pPr>
            <w:r>
              <w:rPr>
                <w:sz w:val="17"/>
              </w:rPr>
              <w:t>Transcript history</w:t>
            </w:r>
          </w:p>
        </w:tc>
        <w:tc>
          <w:tcPr>
            <w:tcW w:type="dxa" w:w="4968"/>
          </w:tcPr>
          <w:p>
            <w:pPr>
              <w:spacing w:after="20"/>
            </w:pPr>
            <w:r>
              <w:rPr>
                <w:sz w:val="17"/>
              </w:rPr>
              <w:t>Improved transcripts preserve earlier versions and link to the original recording.</w:t>
            </w:r>
          </w:p>
        </w:tc>
      </w:tr>
      <w:tr>
        <w:tc>
          <w:tcPr>
            <w:tcW w:type="dxa" w:w="4968"/>
          </w:tcPr>
          <w:p>
            <w:pPr>
              <w:spacing w:after="20"/>
            </w:pPr>
            <w:r>
              <w:rPr>
                <w:sz w:val="17"/>
              </w:rPr>
              <w:t>Manual extraction</w:t>
            </w:r>
          </w:p>
        </w:tc>
        <w:tc>
          <w:tcPr>
            <w:tcW w:type="dxa" w:w="4968"/>
          </w:tcPr>
          <w:p>
            <w:pPr>
              <w:spacing w:after="20"/>
            </w:pPr>
            <w:r>
              <w:rPr>
                <w:sz w:val="17"/>
              </w:rPr>
              <w:t>Player can copy selected transcript text into a private notebook entry or link it to evidence.</w:t>
            </w:r>
          </w:p>
        </w:tc>
      </w:tr>
      <w:tr>
        <w:tc>
          <w:tcPr>
            <w:tcW w:type="dxa" w:w="4968"/>
          </w:tcPr>
          <w:p>
            <w:pPr>
              <w:spacing w:after="20"/>
            </w:pPr>
            <w:r>
              <w:rPr>
                <w:sz w:val="17"/>
              </w:rPr>
              <w:t>Capture methods</w:t>
            </w:r>
          </w:p>
        </w:tc>
        <w:tc>
          <w:tcPr>
            <w:tcW w:type="dxa" w:w="4968"/>
          </w:tcPr>
          <w:p>
            <w:pPr>
              <w:spacing w:after="20"/>
            </w:pPr>
            <w:r>
              <w:rPr>
                <w:sz w:val="17"/>
              </w:rPr>
              <w:t>Short rolling buffer to save recent activity plus manual longer recording. Exact capture policy remains to be finalized.</w:t>
            </w:r>
          </w:p>
        </w:tc>
      </w:tr>
      <w:tr>
        <w:tc>
          <w:tcPr>
            <w:tcW w:type="dxa" w:w="4968"/>
          </w:tcPr>
          <w:p>
            <w:pPr>
              <w:spacing w:after="20"/>
            </w:pPr>
            <w:r>
              <w:rPr>
                <w:sz w:val="17"/>
              </w:rPr>
              <w:t>Storage</w:t>
            </w:r>
          </w:p>
        </w:tc>
        <w:tc>
          <w:tcPr>
            <w:tcW w:type="dxa" w:w="4968"/>
          </w:tcPr>
          <w:p>
            <w:pPr>
              <w:spacing w:after="20"/>
            </w:pPr>
            <w:r>
              <w:rPr>
                <w:sz w:val="17"/>
              </w:rPr>
              <w:t>Compact, deterministic event data and synthesized replay rather than large raw audio files wherever feasible. Recordings store the event/content, not just a screenshot.</w:t>
            </w:r>
          </w:p>
        </w:tc>
      </w:tr>
    </w:tbl>
    <w:p>
      <w:pPr>
        <w:spacing w:after="0"/>
      </w:pPr>
    </w:p>
    <w:tbl>
      <w:tblPr>
        <w:tblW w:type="auto" w:w="0"/>
        <w:tblLayout w:type="autofit"/>
        <w:tblLook w:firstColumn="1" w:firstRow="1" w:lastColumn="0" w:lastRow="0" w:noHBand="0" w:noVBand="1" w:val="04A0"/>
      </w:tblPr>
      <w:tblGrid>
        <w:gridCol w:w="9936"/>
      </w:tblGrid>
      <w:tr>
        <w:tc>
          <w:tcPr>
            <w:tcW w:type="dxa" w:w="9936"/>
            <w:shd w:fill="EAF2EC"/>
          </w:tcPr>
          <w:p>
            <w:pPr>
              <w:spacing w:after="40"/>
            </w:pPr>
            <w:r>
              <w:rPr>
                <w:b/>
                <w:color w:val="235C37"/>
              </w:rPr>
              <w:t>Open decision: final capture/auto-archive policy is not yet settled. Do not silently assume that all signals are automatically recorded.</w:t>
            </w:r>
          </w:p>
        </w:tc>
      </w:tr>
    </w:tbl>
    <w:p>
      <w:pPr>
        <w:spacing w:after="0"/>
      </w:pPr>
    </w:p>
    <w:p>
      <w:pPr>
        <w:pStyle w:val="Heading1"/>
      </w:pPr>
      <w:r>
        <w:t>8. Time, Shifts, and Requests</w:t>
      </w:r>
    </w:p>
    <w:p>
      <w:pPr>
        <w:pStyle w:val="ListBullet"/>
        <w:spacing w:after="40"/>
      </w:pPr>
      <w:r>
        <w:t>Hybrid simulated clock: time advances during active work, queued requests, and brief receiver monitoring; it does not advance while the player is idle or the app is closed.</w:t>
      </w:r>
    </w:p>
    <w:p>
      <w:pPr>
        <w:pStyle w:val="ListBullet"/>
        <w:spacing w:after="40"/>
      </w:pPr>
      <w:r>
        <w:t>Standard shift is eight in-game hours. At eight hours, notify the player; flexible overtime is allowed and recorded without penalty.</w:t>
      </w:r>
    </w:p>
    <w:p>
      <w:pPr>
        <w:pStyle w:val="ListBullet"/>
        <w:spacing w:after="40"/>
      </w:pPr>
      <w:r>
        <w:t>Shift flow: opening handover and assignments; active monitoring/investigation; shift report; handover of outstanding work.</w:t>
      </w:r>
    </w:p>
    <w:p>
      <w:pPr>
        <w:pStyle w:val="ListBullet"/>
        <w:spacing w:after="40"/>
      </w:pPr>
      <w:r>
        <w:t>Player may end early, continue overtime, or close the app mid-shift. Progress is saved.</w:t>
      </w:r>
    </w:p>
    <w:p>
      <w:pPr>
        <w:pStyle w:val="ListBullet"/>
        <w:spacing w:after="40"/>
      </w:pPr>
      <w:r>
        <w:t>Routine request delays are procedural: automated archive 1–5 in-game minutes, supervisor review 10–30 minutes, cross-station comparison 30–90 minutes, restricted file 1–3 hours as illustrative ranges.</w:t>
      </w:r>
    </w:p>
    <w:p>
      <w:pPr>
        <w:pStyle w:val="ListBullet"/>
        <w:spacing w:after="40"/>
      </w:pPr>
      <w:r>
        <w:t>Queues continue through simulated active work; no real-world waiting and no essential progress locked behind idle time.</w:t>
      </w:r>
    </w:p>
    <w:p>
      <w:pPr>
        <w:pStyle w:val="ListBullet"/>
        <w:spacing w:after="40"/>
      </w:pPr>
      <w:r>
        <w:t>During breaks, optional flavor interactions include coffee, notices, weather, and private notes. No hunger/fatigue system.</w:t>
      </w:r>
    </w:p>
    <w:p>
      <w:pPr>
        <w:pStyle w:val="ListBullet"/>
        <w:spacing w:after="40"/>
      </w:pPr>
      <w:r>
        <w:t>Multiple assignments can be active at once; no quotas, expiration, or deadlines. Statuses include OPEN, IN PROGRESS, AWAITING REVIEW, CLOSED.</w:t>
      </w:r>
    </w:p>
    <w:p>
      <w:pPr>
        <w:pStyle w:val="Heading1"/>
      </w:pPr>
      <w:r>
        <w:t>9. Evidence, Archive, Reports, and Choices</w:t>
      </w:r>
    </w:p>
    <w:p>
      <w:pPr>
        <w:pStyle w:val="Heading2"/>
      </w:pPr>
      <w:r>
        <w:t>Official archive</w:t>
      </w:r>
    </w:p>
    <w:p>
      <w:pPr>
        <w:pStyle w:val="ListBullet"/>
        <w:spacing w:after="40"/>
      </w:pPr>
      <w:r>
        <w:t>Automatically saves recordings, available transcripts, classifications/readings, supervisor messages, reports, access denials, and correction notices.</w:t>
      </w:r>
    </w:p>
    <w:p>
      <w:pPr>
        <w:pStyle w:val="ListBullet"/>
        <w:spacing w:after="40"/>
      </w:pPr>
      <w:r>
        <w:t>Archive search supports text plus filters: frequency, mode, date, station ID, classification, record status.</w:t>
      </w:r>
    </w:p>
    <w:p>
      <w:pPr>
        <w:pStyle w:val="ListBullet"/>
        <w:spacing w:after="40"/>
      </w:pPr>
      <w:r>
        <w:t>Sort by newest/oldest, frequency, station ID, classification. Group by in-game date, station ID, or classification.</w:t>
      </w:r>
    </w:p>
    <w:p>
      <w:pPr>
        <w:pStyle w:val="ListBullet"/>
        <w:spacing w:after="40"/>
      </w:pPr>
      <w:r>
        <w:t>Record displays current version plus accessible earlier versions and linked correction notices. Official history is never silently rewritten.</w:t>
      </w:r>
    </w:p>
    <w:p>
      <w:pPr>
        <w:pStyle w:val="Heading2"/>
      </w:pPr>
      <w:r>
        <w:t>Private notebook and private archive</w:t>
      </w:r>
    </w:p>
    <w:p>
      <w:pPr>
        <w:pStyle w:val="ListBullet"/>
        <w:spacing w:after="40"/>
      </w:pPr>
      <w:r>
        <w:t>Notebook supports notes, theories, labels, bookmarks, links between records, and open questions.</w:t>
      </w:r>
    </w:p>
    <w:p>
      <w:pPr>
        <w:pStyle w:val="ListBullet"/>
        <w:spacing w:after="40"/>
      </w:pPr>
      <w:r>
        <w:t>Separate basic local folder for manually retained recordings, transcripts, reports, and documents. No capacity puzzle, encryption puzzle, or complex evidence board.</w:t>
      </w:r>
    </w:p>
    <w:p>
      <w:pPr>
        <w:pStyle w:val="ListBullet"/>
        <w:spacing w:after="40"/>
      </w:pPr>
      <w:r>
        <w:t>Private copies survive official deletion/closure. No export outside the game.</w:t>
      </w:r>
    </w:p>
    <w:p>
      <w:pPr>
        <w:pStyle w:val="Heading2"/>
      </w:pPr>
      <w:r>
        <w:t>Official reports</w:t>
      </w:r>
    </w:p>
    <w:p>
      <w:r>
        <w:t>Structured fields: frequency, mode, signal type/classification, observations, recommended action, Additional Technical Notes, and General Report Notes. Frequency, mode, time, signal ID, and linked recording auto-populate where possible. Submitted reports are permanent; corrections create new entries.</w:t>
      </w:r>
    </w:p>
    <w:p>
      <w:pPr>
        <w:pStyle w:val="Heading2"/>
      </w:pPr>
      <w:r>
        <w:t>Supervisor response choices</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Choice</w:t>
            </w:r>
          </w:p>
        </w:tc>
        <w:tc>
          <w:tcPr>
            <w:tcW w:type="dxa" w:w="4968"/>
            <w:shd w:fill="245C37"/>
          </w:tcPr>
          <w:p>
            <w:r>
              <w:rPr>
                <w:b/>
                <w:color w:val="FFFFFF"/>
              </w:rPr>
              <w:t>Design purpose</w:t>
            </w:r>
          </w:p>
        </w:tc>
      </w:tr>
      <w:tr>
        <w:tc>
          <w:tcPr>
            <w:tcW w:type="dxa" w:w="4968"/>
          </w:tcPr>
          <w:p>
            <w:pPr>
              <w:spacing w:after="20"/>
            </w:pPr>
            <w:r>
              <w:rPr>
                <w:sz w:val="17"/>
              </w:rPr>
              <w:t>Comply</w:t>
            </w:r>
          </w:p>
        </w:tc>
        <w:tc>
          <w:tcPr>
            <w:tcW w:type="dxa" w:w="4968"/>
          </w:tcPr>
          <w:p>
            <w:pPr>
              <w:spacing w:after="20"/>
            </w:pPr>
            <w:r>
              <w:rPr>
                <w:sz w:val="17"/>
              </w:rPr>
              <w:t>Follow the instruction and preserve the official workflow.</w:t>
            </w:r>
          </w:p>
        </w:tc>
      </w:tr>
      <w:tr>
        <w:tc>
          <w:tcPr>
            <w:tcW w:type="dxa" w:w="4968"/>
          </w:tcPr>
          <w:p>
            <w:pPr>
              <w:spacing w:after="20"/>
            </w:pPr>
            <w:r>
              <w:rPr>
                <w:sz w:val="17"/>
              </w:rPr>
              <w:t>Challenge with evidence</w:t>
            </w:r>
          </w:p>
        </w:tc>
        <w:tc>
          <w:tcPr>
            <w:tcW w:type="dxa" w:w="4968"/>
          </w:tcPr>
          <w:p>
            <w:pPr>
              <w:spacing w:after="20"/>
            </w:pPr>
            <w:r>
              <w:rPr>
                <w:sz w:val="17"/>
              </w:rPr>
              <w:t>Reference records and request review; can affect trust and access.</w:t>
            </w:r>
          </w:p>
        </w:tc>
      </w:tr>
      <w:tr>
        <w:tc>
          <w:tcPr>
            <w:tcW w:type="dxa" w:w="4968"/>
          </w:tcPr>
          <w:p>
            <w:pPr>
              <w:spacing w:after="20"/>
            </w:pPr>
            <w:r>
              <w:rPr>
                <w:sz w:val="17"/>
              </w:rPr>
              <w:t>Quietly retain a private copy</w:t>
            </w:r>
          </w:p>
        </w:tc>
        <w:tc>
          <w:tcPr>
            <w:tcW w:type="dxa" w:w="4968"/>
          </w:tcPr>
          <w:p>
            <w:pPr>
              <w:spacing w:after="20"/>
            </w:pPr>
            <w:r>
              <w:rPr>
                <w:sz w:val="17"/>
              </w:rPr>
              <w:t>Preserve evidence independently while avoiding an immediate confrontation.</w:t>
            </w:r>
          </w:p>
        </w:tc>
      </w:tr>
    </w:tbl>
    <w:p>
      <w:pPr>
        <w:spacing w:after="0"/>
      </w:pPr>
    </w:p>
    <w:p>
      <w:r>
        <w:t>Choices affect a small number of hidden variables (institutional trust, evidence integrity, disclosure). Consequences should be understandable in retrospect. No single early choice permanently blocks critical evidence; there is no visible morality score.</w:t>
      </w:r>
    </w:p>
    <w:p>
      <w:pPr>
        <w:pStyle w:val="Heading1"/>
      </w:pPr>
      <w:r>
        <w:t>10. Story Structure and Opening</w:t>
      </w:r>
    </w:p>
    <w:p>
      <w:pPr>
        <w:pStyle w:val="Heading2"/>
      </w:pPr>
      <w:r>
        <w:t>Opening experience</w:t>
      </w:r>
    </w:p>
    <w:p>
      <w:pPr>
        <w:pStyle w:val="ListNumber"/>
        <w:spacing w:after="40"/>
      </w:pPr>
      <w:r>
        <w:t>Brief professional welcome from Mara Venn, Regional Operations.</w:t>
      </w:r>
    </w:p>
    <w:p>
      <w:pPr>
        <w:pStyle w:val="ListNumber"/>
        <w:spacing w:after="40"/>
      </w:pPr>
      <w:r>
        <w:t>Player arrives at Receiver with RX OFF and powers it on.</w:t>
      </w:r>
    </w:p>
    <w:p>
      <w:pPr>
        <w:pStyle w:val="ListNumber"/>
        <w:spacing w:after="40"/>
      </w:pPr>
      <w:r>
        <w:t>Consistent startup check; receiver tunes to the regulatory time standard.</w:t>
      </w:r>
    </w:p>
    <w:p>
      <w:pPr>
        <w:pStyle w:val="ListNumber"/>
        <w:spacing w:after="40"/>
      </w:pPr>
      <w:r>
        <w:t>Contextual onboarding teaches waterfall, modes, ordinary traffic, recording, and transcript through play rather than a separate checklist.</w:t>
      </w:r>
    </w:p>
    <w:p>
      <w:pPr>
        <w:pStyle w:val="ListNumber"/>
        <w:spacing w:after="40"/>
      </w:pPr>
      <w:r>
        <w:t>Routine interference/identifier work introduces the archive and report form.</w:t>
      </w:r>
    </w:p>
    <w:p>
      <w:pPr>
        <w:pStyle w:val="ListNumber"/>
        <w:spacing w:after="40"/>
      </w:pPr>
      <w:r>
        <w:t>First anomaly: identifier NR-041 decodes reliably, but the registry says no such station has ever existed.</w:t>
      </w:r>
    </w:p>
    <w:p>
      <w:pPr>
        <w:pStyle w:val="ListNumber"/>
        <w:spacing w:after="40"/>
      </w:pPr>
      <w:r>
        <w:t>Player records and reports the signal. Mara treats it as a registry discrepancy and closes the issue administratively.</w:t>
      </w:r>
    </w:p>
    <w:p>
      <w:pPr>
        <w:pStyle w:val="Heading2"/>
      </w:pPr>
      <w:r>
        <w:t>Main story progression</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Milestone</w:t>
            </w:r>
          </w:p>
        </w:tc>
        <w:tc>
          <w:tcPr>
            <w:tcW w:type="dxa" w:w="4968"/>
            <w:shd w:fill="245C37"/>
          </w:tcPr>
          <w:p>
            <w:r>
              <w:rPr>
                <w:b/>
                <w:color w:val="FFFFFF"/>
              </w:rPr>
              <w:t>Player learns</w:t>
            </w:r>
          </w:p>
        </w:tc>
      </w:tr>
      <w:tr>
        <w:tc>
          <w:tcPr>
            <w:tcW w:type="dxa" w:w="4968"/>
          </w:tcPr>
          <w:p>
            <w:pPr>
              <w:spacing w:after="20"/>
            </w:pPr>
            <w:r>
              <w:rPr>
                <w:sz w:val="17"/>
              </w:rPr>
              <w:t>1. Unregistered signal</w:t>
            </w:r>
          </w:p>
        </w:tc>
        <w:tc>
          <w:tcPr>
            <w:tcW w:type="dxa" w:w="4968"/>
          </w:tcPr>
          <w:p>
            <w:pPr>
              <w:spacing w:after="20"/>
            </w:pPr>
            <w:r>
              <w:rPr>
                <w:sz w:val="17"/>
              </w:rPr>
              <w:t>NR-041 is decoded; registry has no entry.</w:t>
            </w:r>
          </w:p>
        </w:tc>
      </w:tr>
      <w:tr>
        <w:tc>
          <w:tcPr>
            <w:tcW w:type="dxa" w:w="4968"/>
          </w:tcPr>
          <w:p>
            <w:pPr>
              <w:spacing w:after="20"/>
            </w:pPr>
            <w:r>
              <w:rPr>
                <w:sz w:val="17"/>
              </w:rPr>
              <w:t>2. Administrative closure</w:t>
            </w:r>
          </w:p>
        </w:tc>
        <w:tc>
          <w:tcPr>
            <w:tcW w:type="dxa" w:w="4968"/>
          </w:tcPr>
          <w:p>
            <w:pPr>
              <w:spacing w:after="20"/>
            </w:pPr>
            <w:r>
              <w:rPr>
                <w:sz w:val="17"/>
              </w:rPr>
              <w:t>Supervisor directs routine classification and resumption of work.</w:t>
            </w:r>
          </w:p>
        </w:tc>
      </w:tr>
      <w:tr>
        <w:tc>
          <w:tcPr>
            <w:tcW w:type="dxa" w:w="4968"/>
          </w:tcPr>
          <w:p>
            <w:pPr>
              <w:spacing w:after="20"/>
            </w:pPr>
            <w:r>
              <w:rPr>
                <w:sz w:val="17"/>
              </w:rPr>
              <w:t>3. Recurrence</w:t>
            </w:r>
          </w:p>
        </w:tc>
        <w:tc>
          <w:tcPr>
            <w:tcW w:type="dxa" w:w="4968"/>
          </w:tcPr>
          <w:p>
            <w:pPr>
              <w:spacing w:after="20"/>
            </w:pPr>
            <w:r>
              <w:rPr>
                <w:sz w:val="17"/>
              </w:rPr>
              <w:t>NR-041 returns under different signal conditions and with a different transmission pattern.</w:t>
            </w:r>
          </w:p>
        </w:tc>
      </w:tr>
      <w:tr>
        <w:tc>
          <w:tcPr>
            <w:tcW w:type="dxa" w:w="4968"/>
          </w:tcPr>
          <w:p>
            <w:pPr>
              <w:spacing w:after="20"/>
            </w:pPr>
            <w:r>
              <w:rPr>
                <w:sz w:val="17"/>
              </w:rPr>
              <w:t>4. Coded sequence</w:t>
            </w:r>
          </w:p>
        </w:tc>
        <w:tc>
          <w:tcPr>
            <w:tcW w:type="dxa" w:w="4968"/>
          </w:tcPr>
          <w:p>
            <w:pPr>
              <w:spacing w:after="20"/>
            </w:pPr>
            <w:r>
              <w:rPr>
                <w:sz w:val="17"/>
              </w:rPr>
              <w:t>A routine coded message becomes meaningful only when compared with later records.</w:t>
            </w:r>
          </w:p>
        </w:tc>
      </w:tr>
      <w:tr>
        <w:tc>
          <w:tcPr>
            <w:tcW w:type="dxa" w:w="4968"/>
          </w:tcPr>
          <w:p>
            <w:pPr>
              <w:spacing w:after="20"/>
            </w:pPr>
            <w:r>
              <w:rPr>
                <w:sz w:val="17"/>
              </w:rPr>
              <w:t>5. Closed incident file</w:t>
            </w:r>
          </w:p>
        </w:tc>
        <w:tc>
          <w:tcPr>
            <w:tcW w:type="dxa" w:w="4968"/>
          </w:tcPr>
          <w:p>
            <w:pPr>
              <w:spacing w:after="20"/>
            </w:pPr>
            <w:r>
              <w:rPr>
                <w:sz w:val="17"/>
              </w:rPr>
              <w:t>A closed incident file for a government research facility contains the same sequence.</w:t>
            </w:r>
          </w:p>
        </w:tc>
      </w:tr>
      <w:tr>
        <w:tc>
          <w:tcPr>
            <w:tcW w:type="dxa" w:w="4968"/>
          </w:tcPr>
          <w:p>
            <w:pPr>
              <w:spacing w:after="20"/>
            </w:pPr>
            <w:r>
              <w:rPr>
                <w:sz w:val="17"/>
              </w:rPr>
              <w:t>6. Shutdown contradiction</w:t>
            </w:r>
          </w:p>
        </w:tc>
        <w:tc>
          <w:tcPr>
            <w:tcW w:type="dxa" w:w="4968"/>
          </w:tcPr>
          <w:p>
            <w:pPr>
              <w:spacing w:after="20"/>
            </w:pPr>
            <w:r>
              <w:rPr>
                <w:sz w:val="17"/>
              </w:rPr>
              <w:t>Official summary says the facility was shut down; an appendix records communications after the stated shutdown.</w:t>
            </w:r>
          </w:p>
        </w:tc>
      </w:tr>
      <w:tr>
        <w:tc>
          <w:tcPr>
            <w:tcW w:type="dxa" w:w="4968"/>
          </w:tcPr>
          <w:p>
            <w:pPr>
              <w:spacing w:after="20"/>
            </w:pPr>
            <w:r>
              <w:rPr>
                <w:sz w:val="17"/>
              </w:rPr>
              <w:t>7. Communications Record 04-C</w:t>
            </w:r>
          </w:p>
        </w:tc>
        <w:tc>
          <w:tcPr>
            <w:tcW w:type="dxa" w:w="4968"/>
          </w:tcPr>
          <w:p>
            <w:pPr>
              <w:spacing w:after="20"/>
            </w:pPr>
            <w:r>
              <w:rPr>
                <w:sz w:val="17"/>
              </w:rPr>
              <w:t>A separate interstation log contains the same sequence, internal routing, and a post-shutdown timestamp; origin remains unresolved.</w:t>
            </w:r>
          </w:p>
        </w:tc>
      </w:tr>
      <w:tr>
        <w:tc>
          <w:tcPr>
            <w:tcW w:type="dxa" w:w="4968"/>
          </w:tcPr>
          <w:p>
            <w:pPr>
              <w:spacing w:after="20"/>
            </w:pPr>
            <w:r>
              <w:rPr>
                <w:sz w:val="17"/>
              </w:rPr>
              <w:t>8. Administrative closure</w:t>
            </w:r>
          </w:p>
        </w:tc>
        <w:tc>
          <w:tcPr>
            <w:tcW w:type="dxa" w:w="4968"/>
          </w:tcPr>
          <w:p>
            <w:pPr>
              <w:spacing w:after="20"/>
            </w:pPr>
            <w:r>
              <w:rPr>
                <w:sz w:val="17"/>
              </w:rPr>
              <w:t>Mara closes the follow-up because the records do not verify a connection to a registered station.</w:t>
            </w:r>
          </w:p>
        </w:tc>
      </w:tr>
      <w:tr>
        <w:tc>
          <w:tcPr>
            <w:tcW w:type="dxa" w:w="4968"/>
          </w:tcPr>
          <w:p>
            <w:pPr>
              <w:spacing w:after="20"/>
            </w:pPr>
            <w:r>
              <w:rPr>
                <w:sz w:val="17"/>
              </w:rPr>
              <w:t>9. Broader pattern</w:t>
            </w:r>
          </w:p>
        </w:tc>
        <w:tc>
          <w:tcPr>
            <w:tcW w:type="dxa" w:w="4968"/>
          </w:tcPr>
          <w:p>
            <w:pPr>
              <w:spacing w:after="20"/>
            </w:pPr>
            <w:r>
              <w:rPr>
                <w:sz w:val="17"/>
              </w:rPr>
              <w:t>Further archive/personnel/independent records expose chronology conflicts and cover-up behavior without proving the ultimate cause.</w:t>
            </w:r>
          </w:p>
        </w:tc>
      </w:tr>
      <w:tr>
        <w:tc>
          <w:tcPr>
            <w:tcW w:type="dxa" w:w="4968"/>
          </w:tcPr>
          <w:p>
            <w:pPr>
              <w:spacing w:after="20"/>
            </w:pPr>
            <w:r>
              <w:rPr>
                <w:sz w:val="17"/>
              </w:rPr>
              <w:t>10. Endings</w:t>
            </w:r>
          </w:p>
        </w:tc>
        <w:tc>
          <w:tcPr>
            <w:tcW w:type="dxa" w:w="4968"/>
          </w:tcPr>
          <w:p>
            <w:pPr>
              <w:spacing w:after="20"/>
            </w:pPr>
            <w:r>
              <w:rPr>
                <w:sz w:val="17"/>
              </w:rPr>
              <w:t>Player decisions shape compliance, preservation, disclosure, and institutional response; the phenomenon remains unknowable.</w:t>
            </w:r>
          </w:p>
        </w:tc>
      </w:tr>
    </w:tbl>
    <w:p>
      <w:pPr>
        <w:spacing w:after="0"/>
      </w:pPr>
    </w:p>
    <w:p>
      <w:r>
        <w:t>Placeholder details such as NR-041, sample frequencies, record numbers, call signs, and numeric sequences should be standardized in a later story-bible pass. They are illustrative unless explicitly marked as locked.</w:t>
      </w:r>
    </w:p>
    <w:p>
      <w:pPr>
        <w:pStyle w:val="Heading1"/>
      </w:pPr>
      <w:r>
        <w:t>11. Side Investigations and Ambient Stories</w:t>
      </w:r>
    </w:p>
    <w:p>
      <w:pPr>
        <w:pStyle w:val="Heading2"/>
      </w:pPr>
      <w:r>
        <w:t>Silent Site — established branch</w:t>
      </w:r>
    </w:p>
    <w:p>
      <w:r>
        <w:t>An optional investigation begins when a decommissioned remote station's final monitoring logs are missing from its archive transfer. The closure notice says the transfer completed, equipment inventory was received, operational logs were partial, final monitoring logs were not listed, and no exception report was attached.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45C37"/>
          </w:tcPr>
          <w:p>
            <w:r>
              <w:rPr>
                <w:b/>
                <w:color w:val="FFFFFF"/>
              </w:rPr>
              <w:t>Evidence</w:t>
            </w:r>
          </w:p>
        </w:tc>
        <w:tc>
          <w:tcPr>
            <w:tcW w:type="dxa" w:w="3312"/>
            <w:shd w:fill="245C37"/>
          </w:tcPr>
          <w:p>
            <w:r>
              <w:rPr>
                <w:b/>
                <w:color w:val="FFFFFF"/>
              </w:rPr>
              <w:t>Finding</w:t>
            </w:r>
          </w:p>
        </w:tc>
        <w:tc>
          <w:tcPr>
            <w:tcW w:type="dxa" w:w="3312"/>
            <w:shd w:fill="245C37"/>
          </w:tcPr>
          <w:p>
            <w:r>
              <w:rPr>
                <w:b/>
                <w:color w:val="FFFFFF"/>
              </w:rPr>
              <w:t>Limit</w:t>
            </w:r>
          </w:p>
        </w:tc>
      </w:tr>
      <w:tr>
        <w:tc>
          <w:tcPr>
            <w:tcW w:type="dxa" w:w="3312"/>
          </w:tcPr>
          <w:p>
            <w:pPr>
              <w:spacing w:after="20"/>
            </w:pPr>
            <w:r>
              <w:rPr>
                <w:sz w:val="17"/>
              </w:rPr>
              <w:t>Neighboring station recording</w:t>
            </w:r>
          </w:p>
        </w:tc>
        <w:tc>
          <w:tcPr>
            <w:tcW w:type="dxa" w:w="3312"/>
          </w:tcPr>
          <w:p>
            <w:pPr>
              <w:spacing w:after="20"/>
            </w:pPr>
            <w:r>
              <w:rPr>
                <w:sz w:val="17"/>
              </w:rPr>
              <w:t>An incomplete ordinary conversation refers to the Silent Site; one speaker says something went back there.</w:t>
            </w:r>
          </w:p>
        </w:tc>
        <w:tc>
          <w:tcPr>
            <w:tcW w:type="dxa" w:w="3312"/>
          </w:tcPr>
          <w:p>
            <w:pPr>
              <w:spacing w:after="20"/>
            </w:pPr>
            <w:r>
              <w:rPr>
                <w:sz w:val="17"/>
              </w:rPr>
              <w:t>Does not establish what was sent or when.</w:t>
            </w:r>
          </w:p>
        </w:tc>
      </w:tr>
      <w:tr>
        <w:tc>
          <w:tcPr>
            <w:tcW w:type="dxa" w:w="3312"/>
          </w:tcPr>
          <w:p>
            <w:pPr>
              <w:spacing w:after="20"/>
            </w:pPr>
            <w:r>
              <w:rPr>
                <w:sz w:val="17"/>
              </w:rPr>
              <w:t>Transfer receipt</w:t>
            </w:r>
          </w:p>
        </w:tc>
        <w:tc>
          <w:tcPr>
            <w:tcW w:type="dxa" w:w="3312"/>
          </w:tcPr>
          <w:p>
            <w:pPr>
              <w:spacing w:after="20"/>
            </w:pPr>
            <w:r>
              <w:rPr>
                <w:sz w:val="17"/>
              </w:rPr>
              <w:t>A closure package was dispatched to Regional Operations.</w:t>
            </w:r>
          </w:p>
        </w:tc>
        <w:tc>
          <w:tcPr>
            <w:tcW w:type="dxa" w:w="3312"/>
          </w:tcPr>
          <w:p>
            <w:pPr>
              <w:spacing w:after="20"/>
            </w:pPr>
            <w:r>
              <w:rPr>
                <w:sz w:val="17"/>
              </w:rPr>
              <w:t>No contents inventory or confirmed chain of custody.</w:t>
            </w:r>
          </w:p>
        </w:tc>
      </w:tr>
      <w:tr>
        <w:tc>
          <w:tcPr>
            <w:tcW w:type="dxa" w:w="3312"/>
          </w:tcPr>
          <w:p>
            <w:pPr>
              <w:spacing w:after="20"/>
            </w:pPr>
            <w:r>
              <w:rPr>
                <w:sz w:val="17"/>
              </w:rPr>
              <w:t>Regional index</w:t>
            </w:r>
          </w:p>
        </w:tc>
        <w:tc>
          <w:tcPr>
            <w:tcW w:type="dxa" w:w="3312"/>
          </w:tcPr>
          <w:p>
            <w:pPr>
              <w:spacing w:after="20"/>
            </w:pPr>
            <w:r>
              <w:rPr>
                <w:sz w:val="17"/>
              </w:rPr>
              <w:t>Receipt is confirmed; contents unverified; initials illegible.</w:t>
            </w:r>
          </w:p>
        </w:tc>
        <w:tc>
          <w:tcPr>
            <w:tcW w:type="dxa" w:w="3312"/>
          </w:tcPr>
          <w:p>
            <w:pPr>
              <w:spacing w:after="20"/>
            </w:pPr>
            <w:r>
              <w:rPr>
                <w:sz w:val="17"/>
              </w:rPr>
              <w:t>No identifiable receiving clerk.</w:t>
            </w:r>
          </w:p>
        </w:tc>
      </w:tr>
      <w:tr>
        <w:tc>
          <w:tcPr>
            <w:tcW w:type="dxa" w:w="3312"/>
          </w:tcPr>
          <w:p>
            <w:pPr>
              <w:spacing w:after="20"/>
            </w:pPr>
            <w:r>
              <w:rPr>
                <w:sz w:val="17"/>
              </w:rPr>
              <w:t>Obsolete unit stamp</w:t>
            </w:r>
          </w:p>
        </w:tc>
        <w:tc>
          <w:tcPr>
            <w:tcW w:type="dxa" w:w="3312"/>
          </w:tcPr>
          <w:p>
            <w:pPr>
              <w:spacing w:after="20"/>
            </w:pPr>
            <w:r>
              <w:rPr>
                <w:sz w:val="17"/>
              </w:rPr>
              <w:t>Stamp belongs to a records continuity unit reorganized before transfer.</w:t>
            </w:r>
          </w:p>
        </w:tc>
        <w:tc>
          <w:tcPr>
            <w:tcW w:type="dxa" w:w="3312"/>
          </w:tcPr>
          <w:p>
            <w:pPr>
              <w:spacing w:after="20"/>
            </w:pPr>
            <w:r>
              <w:rPr>
                <w:sz w:val="17"/>
              </w:rPr>
              <w:t>Reorganization itself is ordinary.</w:t>
            </w:r>
          </w:p>
        </w:tc>
      </w:tr>
      <w:tr>
        <w:tc>
          <w:tcPr>
            <w:tcW w:type="dxa" w:w="3312"/>
          </w:tcPr>
          <w:p>
            <w:pPr>
              <w:spacing w:after="20"/>
            </w:pPr>
            <w:r>
              <w:rPr>
                <w:sz w:val="17"/>
              </w:rPr>
              <w:t>Package inventory</w:t>
            </w:r>
          </w:p>
        </w:tc>
        <w:tc>
          <w:tcPr>
            <w:tcW w:type="dxa" w:w="3312"/>
          </w:tcPr>
          <w:p>
            <w:pPr>
              <w:spacing w:after="20"/>
            </w:pPr>
            <w:r>
              <w:rPr>
                <w:sz w:val="17"/>
              </w:rPr>
              <w:t>Administrative correspondence and equipment disposition forms are listed; operational logs are not.</w:t>
            </w:r>
          </w:p>
        </w:tc>
        <w:tc>
          <w:tcPr>
            <w:tcW w:type="dxa" w:w="3312"/>
          </w:tcPr>
          <w:p>
            <w:pPr>
              <w:spacing w:after="20"/>
            </w:pPr>
            <w:r>
              <w:rPr>
                <w:sz w:val="17"/>
              </w:rPr>
              <w:t>Media field blank; sheet unsigned.</w:t>
            </w:r>
          </w:p>
        </w:tc>
      </w:tr>
      <w:tr>
        <w:tc>
          <w:tcPr>
            <w:tcW w:type="dxa" w:w="3312"/>
          </w:tcPr>
          <w:p>
            <w:pPr>
              <w:spacing w:after="20"/>
            </w:pPr>
            <w:r>
              <w:rPr>
                <w:sz w:val="17"/>
              </w:rPr>
              <w:t>Final disposition index</w:t>
            </w:r>
          </w:p>
        </w:tc>
        <w:tc>
          <w:tcPr>
            <w:tcW w:type="dxa" w:w="3312"/>
          </w:tcPr>
          <w:p>
            <w:pPr>
              <w:spacing w:after="20"/>
            </w:pPr>
            <w:r>
              <w:rPr>
                <w:sz w:val="17"/>
              </w:rPr>
              <w:t>Closure package processed under standard retention policy; package no longer available.</w:t>
            </w:r>
          </w:p>
        </w:tc>
        <w:tc>
          <w:tcPr>
            <w:tcW w:type="dxa" w:w="3312"/>
          </w:tcPr>
          <w:p>
            <w:pPr>
              <w:spacing w:after="20"/>
            </w:pPr>
            <w:r>
              <w:rPr>
                <w:sz w:val="17"/>
              </w:rPr>
              <w:t>No itemized disposal record and no reference to missing logs.</w:t>
            </w:r>
          </w:p>
        </w:tc>
      </w:tr>
    </w:tbl>
    <w:p>
      <w:pPr>
        <w:spacing w:after="0"/>
      </w:pPr>
    </w:p>
    <w:p>
      <w:r>
        <w:t>Outcome: report accepted as a records discrepancy with unresolved media disposition. The administrative package trail is resolved enough to explain what the paperwork supports; the missing logs' fate remains unknown. The branch is not required to connect to the main incident.</w:t>
      </w:r>
    </w:p>
    <w:p>
      <w:pPr>
        <w:pStyle w:val="Heading2"/>
      </w:pPr>
      <w:r>
        <w:t>Other optional leads</w:t>
      </w:r>
    </w:p>
    <w:p>
      <w:pPr>
        <w:pStyle w:val="ListBullet"/>
        <w:spacing w:after="40"/>
      </w:pPr>
      <w:r>
        <w:t>Old call sign: an ordinary amateur CW exchange mentions a call sign not heard in years; the call sign appears in a decommissioned station's historical monitoring log.</w:t>
      </w:r>
    </w:p>
    <w:p>
      <w:pPr>
        <w:pStyle w:val="ListBullet"/>
        <w:spacing w:after="40"/>
      </w:pPr>
      <w:r>
        <w:t>Night Watchman: a recurring operator with a routine, personal story independent of the player.</w:t>
      </w:r>
    </w:p>
    <w:p>
      <w:pPr>
        <w:pStyle w:val="ListBullet"/>
        <w:spacing w:after="40"/>
      </w:pPr>
      <w:r>
        <w:t>Last Request: community radio program with requests, local stories, and occasional repeated names or events.</w:t>
      </w:r>
    </w:p>
    <w:p>
      <w:pPr>
        <w:pStyle w:val="ListBullet"/>
        <w:spacing w:after="40"/>
      </w:pPr>
      <w:r>
        <w:t>CW exchanges: operators exchange mundane information; patterns become interesting through repeat listening and archive comparison.</w:t>
      </w:r>
    </w:p>
    <w:p>
      <w:pPr>
        <w:pStyle w:val="ListBullet"/>
        <w:spacing w:after="40"/>
      </w:pPr>
      <w:r>
        <w:t>Weather observer: a local observer's records disagree with another station's report without a definitive explanation.</w:t>
      </w:r>
    </w:p>
    <w:p>
      <w:pPr>
        <w:pStyle w:val="Heading1"/>
      </w:pPr>
      <w:r>
        <w:t>12. Ending Principles</w:t>
      </w:r>
    </w:p>
    <w:p>
      <w:r>
        <w:t>Possible ending directions include compliance/case closure, public disclosure, preserving and completing a sequence, a security response or disappearance, and a final dead-air state. These are candidate directions, not yet locked. They may vary in what the player chooses to do and what the institution does, but none should explain the other side of the connection or confirm AI responsibility.</w:t>
      </w:r>
    </w:p>
    <w:p>
      <w:pPr>
        <w:pStyle w:val="ListBullet"/>
        <w:spacing w:after="40"/>
      </w:pPr>
      <w:r>
        <w:t>Surface investigation offers a valid ending; deeper investigation reveals more of the human and administrative pattern.</w:t>
      </w:r>
    </w:p>
    <w:p>
      <w:pPr>
        <w:pStyle w:val="ListBullet"/>
        <w:spacing w:after="40"/>
      </w:pPr>
      <w:r>
        <w:t>Extensive investigation produces a fuller but still contradictory record, not a definitive cosmological answer.</w:t>
      </w:r>
    </w:p>
    <w:p>
      <w:pPr>
        <w:pStyle w:val="ListBullet"/>
        <w:spacing w:after="40"/>
      </w:pPr>
      <w:r>
        <w:t>Early endings are not failures; extensive investigation does not solve the ultimate mystery.</w:t>
      </w:r>
    </w:p>
    <w:p>
      <w:pPr>
        <w:pStyle w:val="Heading1"/>
      </w:pPr>
      <w:r>
        <w:t>13. Technical Scope and Production Constraints</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Area</w:t>
            </w:r>
          </w:p>
        </w:tc>
        <w:tc>
          <w:tcPr>
            <w:tcW w:type="dxa" w:w="4968"/>
            <w:shd w:fill="245C37"/>
          </w:tcPr>
          <w:p>
            <w:r>
              <w:rPr>
                <w:b/>
                <w:color w:val="FFFFFF"/>
              </w:rPr>
              <w:t>Minimal implementation plan</w:t>
            </w:r>
          </w:p>
        </w:tc>
      </w:tr>
      <w:tr>
        <w:tc>
          <w:tcPr>
            <w:tcW w:type="dxa" w:w="4968"/>
          </w:tcPr>
          <w:p>
            <w:pPr>
              <w:spacing w:after="20"/>
            </w:pPr>
            <w:r>
              <w:rPr>
                <w:sz w:val="17"/>
              </w:rPr>
              <w:t>Engine</w:t>
            </w:r>
          </w:p>
        </w:tc>
        <w:tc>
          <w:tcPr>
            <w:tcW w:type="dxa" w:w="4968"/>
          </w:tcPr>
          <w:p>
            <w:pPr>
              <w:spacing w:after="20"/>
            </w:pPr>
            <w:r>
              <w:rPr>
                <w:sz w:val="17"/>
              </w:rPr>
              <w:t>Godot 4.x + GDScript as a provisional choice; verify exported Android size before commitment.</w:t>
            </w:r>
          </w:p>
        </w:tc>
      </w:tr>
      <w:tr>
        <w:tc>
          <w:tcPr>
            <w:tcW w:type="dxa" w:w="4968"/>
          </w:tcPr>
          <w:p>
            <w:pPr>
              <w:spacing w:after="20"/>
            </w:pPr>
            <w:r>
              <w:rPr>
                <w:sz w:val="17"/>
              </w:rPr>
              <w:t>Waterfall</w:t>
            </w:r>
          </w:p>
        </w:tc>
        <w:tc>
          <w:tcPr>
            <w:tcW w:type="dxa" w:w="4968"/>
          </w:tcPr>
          <w:p>
            <w:pPr>
              <w:spacing w:after="20"/>
            </w:pPr>
            <w:r>
              <w:rPr>
                <w:sz w:val="17"/>
              </w:rPr>
              <w:t>Small pixel/cell buffer; append new rows and scroll history; no heavy shader requirement.</w:t>
            </w:r>
          </w:p>
        </w:tc>
      </w:tr>
      <w:tr>
        <w:tc>
          <w:tcPr>
            <w:tcW w:type="dxa" w:w="4968"/>
          </w:tcPr>
          <w:p>
            <w:pPr>
              <w:spacing w:after="20"/>
            </w:pPr>
            <w:r>
              <w:rPr>
                <w:sz w:val="17"/>
              </w:rPr>
              <w:t>Radio simulation</w:t>
            </w:r>
          </w:p>
        </w:tc>
        <w:tc>
          <w:tcPr>
            <w:tcW w:type="dxa" w:w="4968"/>
          </w:tcPr>
          <w:p>
            <w:pPr>
              <w:spacing w:after="20"/>
            </w:pPr>
            <w:r>
              <w:rPr>
                <w:sz w:val="17"/>
              </w:rPr>
              <w:t>Deterministic event scheduler; shared event data drives display, audio, classification, and transcript.</w:t>
            </w:r>
          </w:p>
        </w:tc>
      </w:tr>
      <w:tr>
        <w:tc>
          <w:tcPr>
            <w:tcW w:type="dxa" w:w="4968"/>
          </w:tcPr>
          <w:p>
            <w:pPr>
              <w:spacing w:after="20"/>
            </w:pPr>
            <w:r>
              <w:rPr>
                <w:sz w:val="17"/>
              </w:rPr>
              <w:t>Audio</w:t>
            </w:r>
          </w:p>
        </w:tc>
        <w:tc>
          <w:tcPr>
            <w:tcW w:type="dxa" w:w="4968"/>
          </w:tcPr>
          <w:p>
            <w:pPr>
              <w:spacing w:after="20"/>
            </w:pPr>
            <w:r>
              <w:rPr>
                <w:sz w:val="17"/>
              </w:rPr>
              <w:t>Procedural tones, small music pattern system, synthetic syllable voices, lightweight effects; no voice actor packs.</w:t>
            </w:r>
          </w:p>
        </w:tc>
      </w:tr>
      <w:tr>
        <w:tc>
          <w:tcPr>
            <w:tcW w:type="dxa" w:w="4968"/>
          </w:tcPr>
          <w:p>
            <w:pPr>
              <w:spacing w:after="20"/>
            </w:pPr>
            <w:r>
              <w:rPr>
                <w:sz w:val="17"/>
              </w:rPr>
              <w:t>Data</w:t>
            </w:r>
          </w:p>
        </w:tc>
        <w:tc>
          <w:tcPr>
            <w:tcW w:type="dxa" w:w="4968"/>
          </w:tcPr>
          <w:p>
            <w:pPr>
              <w:spacing w:after="20"/>
            </w:pPr>
            <w:r>
              <w:rPr>
                <w:sz w:val="17"/>
              </w:rPr>
              <w:t>Local structured records for signals, transmissions, recordings, transcripts, documents, reports, choices, and queue state.</w:t>
            </w:r>
          </w:p>
        </w:tc>
      </w:tr>
      <w:tr>
        <w:tc>
          <w:tcPr>
            <w:tcW w:type="dxa" w:w="4968"/>
          </w:tcPr>
          <w:p>
            <w:pPr>
              <w:spacing w:after="20"/>
            </w:pPr>
            <w:r>
              <w:rPr>
                <w:sz w:val="17"/>
              </w:rPr>
              <w:t>Persistence</w:t>
            </w:r>
          </w:p>
        </w:tc>
        <w:tc>
          <w:tcPr>
            <w:tcW w:type="dxa" w:w="4968"/>
          </w:tcPr>
          <w:p>
            <w:pPr>
              <w:spacing w:after="20"/>
            </w:pPr>
            <w:r>
              <w:rPr>
                <w:sz w:val="17"/>
              </w:rPr>
              <w:t>Save investigation state, in-game time, queue states, notebook, archive, settings, current assignment; boot into Receiver RX OFF.</w:t>
            </w:r>
          </w:p>
        </w:tc>
      </w:tr>
      <w:tr>
        <w:tc>
          <w:tcPr>
            <w:tcW w:type="dxa" w:w="4968"/>
          </w:tcPr>
          <w:p>
            <w:pPr>
              <w:spacing w:after="20"/>
            </w:pPr>
            <w:r>
              <w:rPr>
                <w:sz w:val="17"/>
              </w:rPr>
              <w:t>Network/privacy</w:t>
            </w:r>
          </w:p>
        </w:tc>
        <w:tc>
          <w:tcPr>
            <w:tcW w:type="dxa" w:w="4968"/>
          </w:tcPr>
          <w:p>
            <w:pPr>
              <w:spacing w:after="20"/>
            </w:pPr>
            <w:r>
              <w:rPr>
                <w:sz w:val="17"/>
              </w:rPr>
              <w:t>Offline; no accounts, online services, microphone, or real SDR input.</w:t>
            </w:r>
          </w:p>
        </w:tc>
      </w:tr>
      <w:tr>
        <w:tc>
          <w:tcPr>
            <w:tcW w:type="dxa" w:w="4968"/>
          </w:tcPr>
          <w:p>
            <w:pPr>
              <w:spacing w:after="20"/>
            </w:pPr>
            <w:r>
              <w:rPr>
                <w:sz w:val="17"/>
              </w:rPr>
              <w:t>Scope exclusions</w:t>
            </w:r>
          </w:p>
        </w:tc>
        <w:tc>
          <w:tcPr>
            <w:tcW w:type="dxa" w:w="4968"/>
          </w:tcPr>
          <w:p>
            <w:pPr>
              <w:spacing w:after="20"/>
            </w:pPr>
            <w:r>
              <w:rPr>
                <w:sz w:val="17"/>
              </w:rPr>
              <w:t>No 3D, walkable world, character animation, real RF DSP, actual speech recognition, online AI, export-to-file, or complex evidence-board UI.</w:t>
            </w:r>
          </w:p>
        </w:tc>
      </w:tr>
    </w:tbl>
    <w:p>
      <w:pPr>
        <w:spacing w:after="0"/>
      </w:pPr>
    </w:p>
    <w:p>
      <w:r>
        <w:t>The under-25-MB target is a constraint to test, not a guarantee. Engine runtime, Android templates, audio libraries, and build settings affect actual package size. The first technical prototype should measure a minimal Android export before substantial implementation.</w:t>
      </w:r>
    </w:p>
    <w:p>
      <w:pPr>
        <w:pStyle w:val="Heading1"/>
      </w:pPr>
      <w:r>
        <w:t>14. Current Open Decisions</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Decision</w:t>
            </w:r>
          </w:p>
        </w:tc>
        <w:tc>
          <w:tcPr>
            <w:tcW w:type="dxa" w:w="4968"/>
            <w:shd w:fill="245C37"/>
          </w:tcPr>
          <w:p>
            <w:r>
              <w:rPr>
                <w:b/>
                <w:color w:val="FFFFFF"/>
              </w:rPr>
              <w:t>Status</w:t>
            </w:r>
          </w:p>
        </w:tc>
      </w:tr>
      <w:tr>
        <w:tc>
          <w:tcPr>
            <w:tcW w:type="dxa" w:w="4968"/>
          </w:tcPr>
          <w:p>
            <w:pPr>
              <w:spacing w:after="20"/>
            </w:pPr>
            <w:r>
              <w:rPr>
                <w:sz w:val="17"/>
              </w:rPr>
              <w:t>Final recording/capture policy</w:t>
            </w:r>
          </w:p>
        </w:tc>
        <w:tc>
          <w:tcPr>
            <w:tcW w:type="dxa" w:w="4968"/>
          </w:tcPr>
          <w:p>
            <w:pPr>
              <w:spacing w:after="20"/>
            </w:pPr>
            <w:r>
              <w:rPr>
                <w:sz w:val="17"/>
              </w:rPr>
              <w:t>Open: rolling buffer and manual recording are established; auto-archive behavior needs final definition.</w:t>
            </w:r>
          </w:p>
        </w:tc>
      </w:tr>
      <w:tr>
        <w:tc>
          <w:tcPr>
            <w:tcW w:type="dxa" w:w="4968"/>
          </w:tcPr>
          <w:p>
            <w:pPr>
              <w:spacing w:after="20"/>
            </w:pPr>
            <w:r>
              <w:rPr>
                <w:sz w:val="17"/>
              </w:rPr>
              <w:t>Final official name for regulator</w:t>
            </w:r>
          </w:p>
        </w:tc>
        <w:tc>
          <w:tcPr>
            <w:tcW w:type="dxa" w:w="4968"/>
          </w:tcPr>
          <w:p>
            <w:pPr>
              <w:spacing w:after="20"/>
            </w:pPr>
            <w:r>
              <w:rPr>
                <w:sz w:val="17"/>
              </w:rPr>
              <w:t>Provisional: National Radio Monitoring Service (NRMS).</w:t>
            </w:r>
          </w:p>
        </w:tc>
      </w:tr>
      <w:tr>
        <w:tc>
          <w:tcPr>
            <w:tcW w:type="dxa" w:w="4968"/>
          </w:tcPr>
          <w:p>
            <w:pPr>
              <w:spacing w:after="20"/>
            </w:pPr>
            <w:r>
              <w:rPr>
                <w:sz w:val="17"/>
              </w:rPr>
              <w:t>Final station name/number</w:t>
            </w:r>
          </w:p>
        </w:tc>
        <w:tc>
          <w:tcPr>
            <w:tcW w:type="dxa" w:w="4968"/>
          </w:tcPr>
          <w:p>
            <w:pPr>
              <w:spacing w:after="20"/>
            </w:pPr>
            <w:r>
              <w:rPr>
                <w:sz w:val="17"/>
              </w:rPr>
              <w:t>Provisional: Remote Monitoring Site 04.</w:t>
            </w:r>
          </w:p>
        </w:tc>
      </w:tr>
      <w:tr>
        <w:tc>
          <w:tcPr>
            <w:tcW w:type="dxa" w:w="4968"/>
          </w:tcPr>
          <w:p>
            <w:pPr>
              <w:spacing w:after="20"/>
            </w:pPr>
            <w:r>
              <w:rPr>
                <w:sz w:val="17"/>
              </w:rPr>
              <w:t>Exact signal frequencies, codes, IDs, dates</w:t>
            </w:r>
          </w:p>
        </w:tc>
        <w:tc>
          <w:tcPr>
            <w:tcW w:type="dxa" w:w="4968"/>
          </w:tcPr>
          <w:p>
            <w:pPr>
              <w:spacing w:after="20"/>
            </w:pPr>
            <w:r>
              <w:rPr>
                <w:sz w:val="17"/>
              </w:rPr>
              <w:t>Draft placeholders; standardize in story bible.</w:t>
            </w:r>
          </w:p>
        </w:tc>
      </w:tr>
      <w:tr>
        <w:tc>
          <w:tcPr>
            <w:tcW w:type="dxa" w:w="4968"/>
          </w:tcPr>
          <w:p>
            <w:pPr>
              <w:spacing w:after="20"/>
            </w:pPr>
            <w:r>
              <w:rPr>
                <w:sz w:val="17"/>
              </w:rPr>
              <w:t>Final ending branches and conditions</w:t>
            </w:r>
          </w:p>
        </w:tc>
        <w:tc>
          <w:tcPr>
            <w:tcW w:type="dxa" w:w="4968"/>
          </w:tcPr>
          <w:p>
            <w:pPr>
              <w:spacing w:after="20"/>
            </w:pPr>
            <w:r>
              <w:rPr>
                <w:sz w:val="17"/>
              </w:rPr>
              <w:t>Candidate directions only; not locked.</w:t>
            </w:r>
          </w:p>
        </w:tc>
      </w:tr>
      <w:tr>
        <w:tc>
          <w:tcPr>
            <w:tcW w:type="dxa" w:w="4968"/>
          </w:tcPr>
          <w:p>
            <w:pPr>
              <w:spacing w:after="20"/>
            </w:pPr>
            <w:r>
              <w:rPr>
                <w:sz w:val="17"/>
              </w:rPr>
              <w:t>Full main-story chronology and document packet</w:t>
            </w:r>
          </w:p>
        </w:tc>
        <w:tc>
          <w:tcPr>
            <w:tcW w:type="dxa" w:w="4968"/>
          </w:tcPr>
          <w:p>
            <w:pPr>
              <w:spacing w:after="20"/>
            </w:pPr>
            <w:r>
              <w:rPr>
                <w:sz w:val="17"/>
              </w:rPr>
              <w:t>Needs consolidation into a dated evidence ledger with intentional contradictions.</w:t>
            </w:r>
          </w:p>
        </w:tc>
      </w:tr>
      <w:tr>
        <w:tc>
          <w:tcPr>
            <w:tcW w:type="dxa" w:w="4968"/>
          </w:tcPr>
          <w:p>
            <w:pPr>
              <w:spacing w:after="20"/>
            </w:pPr>
            <w:r>
              <w:rPr>
                <w:sz w:val="17"/>
              </w:rPr>
              <w:t>Exact Android package-size feasibility</w:t>
            </w:r>
          </w:p>
        </w:tc>
        <w:tc>
          <w:tcPr>
            <w:tcW w:type="dxa" w:w="4968"/>
          </w:tcPr>
          <w:p>
            <w:pPr>
              <w:spacing w:after="20"/>
            </w:pPr>
            <w:r>
              <w:rPr>
                <w:sz w:val="17"/>
              </w:rPr>
              <w:t>Requires prototype/export measurement.</w:t>
            </w:r>
          </w:p>
        </w:tc>
      </w:tr>
      <w:tr>
        <w:tc>
          <w:tcPr>
            <w:tcW w:type="dxa" w:w="4968"/>
          </w:tcPr>
          <w:p>
            <w:pPr>
              <w:spacing w:after="20"/>
            </w:pPr>
            <w:r>
              <w:rPr>
                <w:sz w:val="17"/>
              </w:rPr>
              <w:t>Final engine choice</w:t>
            </w:r>
          </w:p>
        </w:tc>
        <w:tc>
          <w:tcPr>
            <w:tcW w:type="dxa" w:w="4968"/>
          </w:tcPr>
          <w:p>
            <w:pPr>
              <w:spacing w:after="20"/>
            </w:pPr>
            <w:r>
              <w:rPr>
                <w:sz w:val="17"/>
              </w:rPr>
              <w:t>Godot 4.x proposed, not yet tested against size target.</w:t>
            </w:r>
          </w:p>
        </w:tc>
      </w:tr>
      <w:tr>
        <w:tc>
          <w:tcPr>
            <w:tcW w:type="dxa" w:w="4968"/>
          </w:tcPr>
          <w:p>
            <w:pPr>
              <w:spacing w:after="20"/>
            </w:pPr>
            <w:r>
              <w:rPr>
                <w:sz w:val="17"/>
              </w:rPr>
              <w:t>Price and release plan</w:t>
            </w:r>
          </w:p>
        </w:tc>
        <w:tc>
          <w:tcPr>
            <w:tcW w:type="dxa" w:w="4968"/>
          </w:tcPr>
          <w:p>
            <w:pPr>
              <w:spacing w:after="20"/>
            </w:pPr>
            <w:r>
              <w:rPr>
                <w:sz w:val="17"/>
              </w:rPr>
              <w:t>Potential $0.99 sale; not locked.</w:t>
            </w:r>
          </w:p>
        </w:tc>
      </w:tr>
    </w:tbl>
    <w:p>
      <w:pPr>
        <w:spacing w:after="0"/>
      </w:pPr>
    </w:p>
    <w:p>
      <w:pPr>
        <w:pStyle w:val="Heading1"/>
      </w:pPr>
      <w:r>
        <w:t>15. Recommended Next Design Passes</w:t>
      </w:r>
    </w:p>
    <w:p>
      <w:pPr>
        <w:pStyle w:val="ListNumber"/>
        <w:spacing w:after="40"/>
      </w:pPr>
      <w:r>
        <w:t>Create a master chronology and evidence ledger: every record's date, author/source, official claim, contradiction, and player-access route.</w:t>
      </w:r>
    </w:p>
    <w:p>
      <w:pPr>
        <w:pStyle w:val="ListNumber"/>
        <w:spacing w:after="40"/>
      </w:pPr>
      <w:r>
        <w:t>Finalize recording capture behavior, including rolling buffer length, manual recording, and which ordinary/story events can be recovered later.</w:t>
      </w:r>
    </w:p>
    <w:p>
      <w:pPr>
        <w:pStyle w:val="ListNumber"/>
        <w:spacing w:after="40"/>
      </w:pPr>
      <w:r>
        <w:t>Write the full opening shift and first three assignments as playable beats, including exact dialogue, transcript, report, and archive UI.</w:t>
      </w:r>
    </w:p>
    <w:p>
      <w:pPr>
        <w:pStyle w:val="ListNumber"/>
        <w:spacing w:after="40"/>
      </w:pPr>
      <w:r>
        <w:t>Define signal/transmission data schema and save-state behavior without writing the actual game code.</w:t>
      </w:r>
    </w:p>
    <w:p>
      <w:pPr>
        <w:pStyle w:val="ListNumber"/>
        <w:spacing w:after="40"/>
      </w:pPr>
      <w:r>
        <w:t>Define ending branches and hidden variables with a small decision matrix.</w:t>
      </w:r>
    </w:p>
    <w:p>
      <w:pPr>
        <w:pStyle w:val="ListNumber"/>
        <w:spacing w:after="40"/>
      </w:pPr>
      <w:r>
        <w:t>Run a package-size feasibility test only when the user explicitly authorizes technical prototyping/coding.</w:t>
      </w:r>
    </w:p>
    <w:p>
      <w:pPr>
        <w:pStyle w:val="Heading1"/>
      </w:pPr>
      <w:r>
        <w:t>Appendix A — Glossary</w:t>
      </w:r>
    </w:p>
    <w:tbl>
      <w:tblPr>
        <w:tblStyle w:val="LightShading-Accent1"/>
        <w:tblW w:type="auto" w:w="0"/>
        <w:tblLook w:firstColumn="1" w:firstRow="1" w:lastColumn="0" w:lastRow="0" w:noHBand="0" w:noVBand="1" w:val="04A0"/>
      </w:tblPr>
      <w:tblGrid>
        <w:gridCol w:w="4968"/>
        <w:gridCol w:w="4968"/>
      </w:tblGrid>
      <w:tr>
        <w:tc>
          <w:tcPr>
            <w:tcW w:type="dxa" w:w="4968"/>
            <w:shd w:fill="245C37"/>
          </w:tcPr>
          <w:p>
            <w:r>
              <w:rPr>
                <w:b/>
                <w:color w:val="FFFFFF"/>
              </w:rPr>
              <w:t>Term</w:t>
            </w:r>
          </w:p>
        </w:tc>
        <w:tc>
          <w:tcPr>
            <w:tcW w:type="dxa" w:w="4968"/>
            <w:shd w:fill="245C37"/>
          </w:tcPr>
          <w:p>
            <w:r>
              <w:rPr>
                <w:b/>
                <w:color w:val="FFFFFF"/>
              </w:rPr>
              <w:t>Meaning</w:t>
            </w:r>
          </w:p>
        </w:tc>
      </w:tr>
      <w:tr>
        <w:tc>
          <w:tcPr>
            <w:tcW w:type="dxa" w:w="4968"/>
          </w:tcPr>
          <w:p>
            <w:pPr>
              <w:spacing w:after="20"/>
            </w:pPr>
            <w:r>
              <w:rPr>
                <w:sz w:val="17"/>
              </w:rPr>
              <w:t>NRMS</w:t>
            </w:r>
          </w:p>
        </w:tc>
        <w:tc>
          <w:tcPr>
            <w:tcW w:type="dxa" w:w="4968"/>
          </w:tcPr>
          <w:p>
            <w:pPr>
              <w:spacing w:after="20"/>
            </w:pPr>
            <w:r>
              <w:rPr>
                <w:sz w:val="17"/>
              </w:rPr>
              <w:t>Provisional National Radio Monitoring Service, the fictional civilian regulator.</w:t>
            </w:r>
          </w:p>
        </w:tc>
      </w:tr>
      <w:tr>
        <w:tc>
          <w:tcPr>
            <w:tcW w:type="dxa" w:w="4968"/>
          </w:tcPr>
          <w:p>
            <w:pPr>
              <w:spacing w:after="20"/>
            </w:pPr>
            <w:r>
              <w:rPr>
                <w:sz w:val="17"/>
              </w:rPr>
              <w:t>Site 04</w:t>
            </w:r>
          </w:p>
        </w:tc>
        <w:tc>
          <w:tcPr>
            <w:tcW w:type="dxa" w:w="4968"/>
          </w:tcPr>
          <w:p>
            <w:pPr>
              <w:spacing w:after="20"/>
            </w:pPr>
            <w:r>
              <w:rPr>
                <w:sz w:val="17"/>
              </w:rPr>
              <w:t>Player's remote unmanned monitoring site.</w:t>
            </w:r>
          </w:p>
        </w:tc>
      </w:tr>
      <w:tr>
        <w:tc>
          <w:tcPr>
            <w:tcW w:type="dxa" w:w="4968"/>
          </w:tcPr>
          <w:p>
            <w:pPr>
              <w:spacing w:after="20"/>
            </w:pPr>
            <w:r>
              <w:rPr>
                <w:sz w:val="17"/>
              </w:rPr>
              <w:t>NR-041</w:t>
            </w:r>
          </w:p>
        </w:tc>
        <w:tc>
          <w:tcPr>
            <w:tcW w:type="dxa" w:w="4968"/>
          </w:tcPr>
          <w:p>
            <w:pPr>
              <w:spacing w:after="20"/>
            </w:pPr>
            <w:r>
              <w:rPr>
                <w:sz w:val="17"/>
              </w:rPr>
              <w:t>Unregistered identifier central to the early anomaly.</w:t>
            </w:r>
          </w:p>
        </w:tc>
      </w:tr>
      <w:tr>
        <w:tc>
          <w:tcPr>
            <w:tcW w:type="dxa" w:w="4968"/>
          </w:tcPr>
          <w:p>
            <w:pPr>
              <w:spacing w:after="20"/>
            </w:pPr>
            <w:r>
              <w:rPr>
                <w:sz w:val="17"/>
              </w:rPr>
              <w:t>Waterfall</w:t>
            </w:r>
          </w:p>
        </w:tc>
        <w:tc>
          <w:tcPr>
            <w:tcW w:type="dxa" w:w="4968"/>
          </w:tcPr>
          <w:p>
            <w:pPr>
              <w:spacing w:after="20"/>
            </w:pPr>
            <w:r>
              <w:rPr>
                <w:sz w:val="17"/>
              </w:rPr>
              <w:t>Scrolling display of signal activity across frequency over time.</w:t>
            </w:r>
          </w:p>
        </w:tc>
      </w:tr>
      <w:tr>
        <w:tc>
          <w:tcPr>
            <w:tcW w:type="dxa" w:w="4968"/>
          </w:tcPr>
          <w:p>
            <w:pPr>
              <w:spacing w:after="20"/>
            </w:pPr>
            <w:r>
              <w:rPr>
                <w:sz w:val="17"/>
              </w:rPr>
              <w:t>Signal ID</w:t>
            </w:r>
          </w:p>
        </w:tc>
        <w:tc>
          <w:tcPr>
            <w:tcW w:type="dxa" w:w="4968"/>
          </w:tcPr>
          <w:p>
            <w:pPr>
              <w:spacing w:after="20"/>
            </w:pPr>
            <w:r>
              <w:rPr>
                <w:sz w:val="17"/>
              </w:rPr>
              <w:t>Persistent internal ID for a detected event or signal; distinct from its provisional description.</w:t>
            </w:r>
          </w:p>
        </w:tc>
      </w:tr>
      <w:tr>
        <w:tc>
          <w:tcPr>
            <w:tcW w:type="dxa" w:w="4968"/>
          </w:tcPr>
          <w:p>
            <w:pPr>
              <w:spacing w:after="20"/>
            </w:pPr>
            <w:r>
              <w:rPr>
                <w:sz w:val="17"/>
              </w:rPr>
              <w:t>Official archive</w:t>
            </w:r>
          </w:p>
        </w:tc>
        <w:tc>
          <w:tcPr>
            <w:tcW w:type="dxa" w:w="4968"/>
          </w:tcPr>
          <w:p>
            <w:pPr>
              <w:spacing w:after="20"/>
            </w:pPr>
            <w:r>
              <w:rPr>
                <w:sz w:val="17"/>
              </w:rPr>
              <w:t>Agency-controlled records and version history.</w:t>
            </w:r>
          </w:p>
        </w:tc>
      </w:tr>
      <w:tr>
        <w:tc>
          <w:tcPr>
            <w:tcW w:type="dxa" w:w="4968"/>
          </w:tcPr>
          <w:p>
            <w:pPr>
              <w:spacing w:after="20"/>
            </w:pPr>
            <w:r>
              <w:rPr>
                <w:sz w:val="17"/>
              </w:rPr>
              <w:t>Private archive</w:t>
            </w:r>
          </w:p>
        </w:tc>
        <w:tc>
          <w:tcPr>
            <w:tcW w:type="dxa" w:w="4968"/>
          </w:tcPr>
          <w:p>
            <w:pPr>
              <w:spacing w:after="20"/>
            </w:pPr>
            <w:r>
              <w:rPr>
                <w:sz w:val="17"/>
              </w:rPr>
              <w:t>Player-selected local copies kept separately from official records.</w:t>
            </w:r>
          </w:p>
        </w:tc>
      </w:tr>
      <w:tr>
        <w:tc>
          <w:tcPr>
            <w:tcW w:type="dxa" w:w="4968"/>
          </w:tcPr>
          <w:p>
            <w:pPr>
              <w:spacing w:after="20"/>
            </w:pPr>
            <w:r>
              <w:rPr>
                <w:sz w:val="17"/>
              </w:rPr>
              <w:t>Contextual uncertainty</w:t>
            </w:r>
          </w:p>
        </w:tc>
        <w:tc>
          <w:tcPr>
            <w:tcW w:type="dxa" w:w="4968"/>
          </w:tcPr>
          <w:p>
            <w:pPr>
              <w:spacing w:after="20"/>
            </w:pPr>
            <w:r>
              <w:rPr>
                <w:sz w:val="17"/>
              </w:rPr>
              <w:t>Meaning remains ambiguous even when the transcript is clear.</w:t>
            </w:r>
          </w:p>
        </w:tc>
      </w:tr>
      <w:tr>
        <w:tc>
          <w:tcPr>
            <w:tcW w:type="dxa" w:w="4968"/>
          </w:tcPr>
          <w:p>
            <w:pPr>
              <w:spacing w:after="20"/>
            </w:pPr>
            <w:r>
              <w:rPr>
                <w:sz w:val="17"/>
              </w:rPr>
              <w:t>Signal uncertainty</w:t>
            </w:r>
          </w:p>
        </w:tc>
        <w:tc>
          <w:tcPr>
            <w:tcW w:type="dxa" w:w="4968"/>
          </w:tcPr>
          <w:p>
            <w:pPr>
              <w:spacing w:after="20"/>
            </w:pPr>
            <w:r>
              <w:rPr>
                <w:sz w:val="17"/>
              </w:rPr>
              <w:t>Words or signal details are missing due to simulated reception quality.</w:t>
            </w:r>
          </w:p>
        </w:tc>
      </w:tr>
    </w:tbl>
    <w:p>
      <w:pPr>
        <w:spacing w:after="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6"/>
        <w:sz w:val="16"/>
      </w:rPr>
      <w:t>DEAD AIR · Game Design Document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C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C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C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5C3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