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32"/>
          <w:szCs w:val="32"/>
        </w:rPr>
        <w:t xml:space="preserve">SYSTEMS ANALYSIS AND DESIGN</w:t>
      </w:r>
    </w:p>
    <w:p>
      <w:pPr>
        <w:spacing w:after="80"/>
        <w:jc w:val="center"/>
      </w:pPr>
      <w:r>
        <w:rPr>
          <w:rFonts w:ascii="Arial" w:cs="Arial" w:eastAsia="Arial" w:hAnsi="Arial"/>
          <w:sz w:val="24"/>
          <w:szCs w:val="24"/>
        </w:rPr>
        <w:t xml:space="preserve">Comprehensive Laboratory Examination – Section B</w:t>
      </w:r>
    </w:p>
    <w:p>
      <w:pPr>
        <w:spacing w:after="200"/>
        <w:jc w:val="center"/>
      </w:pPr>
      <w:r>
        <w:rPr>
          <w:rFonts w:ascii="Arial" w:cs="Arial" w:eastAsia="Arial" w:hAnsi="Arial"/>
          <w:b/>
          <w:bCs/>
          <w:color w:val="2E5A8F"/>
          <w:sz w:val="26"/>
          <w:szCs w:val="26"/>
        </w:rPr>
        <w:t xml:space="preserve">Student Scholarship Monitoring and Academic Compliance System</w:t>
      </w:r>
    </w:p>
    <w:p>
      <w:pPr>
        <w:spacing w:after="40"/>
        <w:jc w:val="center"/>
      </w:pPr>
      <w:r>
        <w:rPr>
          <w:rFonts w:ascii="Arial" w:cs="Arial" w:eastAsia="Arial" w:hAnsi="Arial"/>
          <w:i/>
          <w:iCs/>
          <w:sz w:val="22"/>
          <w:szCs w:val="22"/>
        </w:rPr>
        <w:t xml:space="preserve">Analysis and Design Document (Part I)</w:t>
      </w:r>
    </w:p>
    <w:p>
      <w:pPr>
        <w:spacing w:after="300"/>
        <w:jc w:val="center"/>
      </w:pPr>
      <w:r>
        <w:rPr>
          <w:rFonts w:ascii="Arial" w:cs="Arial" w:eastAsia="Arial" w:hAnsi="Arial"/>
          <w:color w:val="555555"/>
          <w:sz w:val="18"/>
          <w:szCs w:val="18"/>
        </w:rPr>
        <w:t xml:space="preserve">Repository: scholartrack-sad-exam  |  Design: Liquid Glass UI</w:t>
      </w:r>
    </w:p>
    <w:p>
      <w:pPr>
        <w:pStyle w:val="Heading1"/>
      </w:pPr>
      <w:r>
        <w:t xml:space="preserve">A1  Investigation and Planning</w:t>
      </w:r>
    </w:p>
    <w:p>
      <w:pPr>
        <w:pStyle w:val="Heading2"/>
      </w:pPr>
      <w:r>
        <w:t xml:space="preserve">Problem Statement</w:t>
      </w:r>
    </w:p>
    <w:p>
      <w:pPr>
        <w:spacing w:after="200"/>
      </w:pPr>
      <w:r>
        <w:rPr>
          <w:rFonts w:ascii="Arial" w:cs="Arial" w:eastAsia="Arial" w:hAnsi="Arial"/>
          <w:sz w:val="22"/>
          <w:szCs w:val="22"/>
        </w:rPr>
        <w:t xml:space="preserve">The Scholarship Office currently manages Excellence Scholar and Access Scholar grants using a combination of spreadsheets, email attachments, and paper grade records. This fragmented approach produces duplicate semester entries, unverified grade evidence, missed submission deadlines, and inconsistent renewal decisions. Scholars cannot reliably track whether their academic summary was received, verified, or returned for correction. The absence of a single authoritative system delays renewals and reduces transparency for both staff and scholars.</w:t>
      </w:r>
    </w:p>
    <w:p>
      <w:pPr>
        <w:pStyle w:val="Heading2"/>
      </w:pPr>
      <w:r>
        <w:t xml:space="preserve">Problem – Cause – Effect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Problem</w:t>
            </w:r>
          </w:p>
        </w:tc>
        <w:tc>
          <w:tcPr>
            <w:tcW w:type="dxa" w:w="378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Cause</w:t>
            </w:r>
          </w:p>
        </w:tc>
        <w:tc>
          <w:tcPr>
            <w:tcW w:type="dxa" w:w="378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Effect</w:t>
            </w:r>
          </w:p>
        </w:tc>
      </w:tr>
      <w:tr>
        <w:tc>
          <w:tcPr>
            <w:tcW w:type="dxa" w:w="252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Duplicate semester entries</w:t>
            </w:r>
          </w:p>
        </w:tc>
        <w:tc>
          <w:tcPr>
            <w:tcW w:type="dxa" w:w="378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No unique constraint on scholar + academic year + semester</w:t>
            </w:r>
          </w:p>
        </w:tc>
        <w:tc>
          <w:tcPr>
            <w:tcW w:type="dxa" w:w="378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Conflicting records; staff cannot determine which submission is valid</w:t>
            </w:r>
          </w:p>
        </w:tc>
      </w:tr>
      <w:tr>
        <w:tc>
          <w:tcPr>
            <w:tcW w:type="dxa" w:w="252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Unverified grades</w:t>
            </w:r>
          </w:p>
        </w:tc>
        <w:tc>
          <w:tcPr>
            <w:tcW w:type="dxa" w:w="378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Evidence is accepted without a formal verification step</w:t>
            </w:r>
          </w:p>
        </w:tc>
        <w:tc>
          <w:tcPr>
            <w:tcW w:type="dxa" w:w="378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Renewal decisions based on incomplete or incorrect data</w:t>
            </w:r>
          </w:p>
        </w:tc>
      </w:tr>
      <w:tr>
        <w:tc>
          <w:tcPr>
            <w:tcW w:type="dxa" w:w="252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Missed deadlines</w:t>
            </w:r>
          </w:p>
        </w:tc>
        <w:tc>
          <w:tcPr>
            <w:tcW w:type="dxa" w:w="378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No system-enforced deadline check; manual calendar tracking only</w:t>
            </w:r>
          </w:p>
        </w:tc>
        <w:tc>
          <w:tcPr>
            <w:tcW w:type="dxa" w:w="378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Late submissions processed inconsistently; policy compliance unclear</w:t>
            </w:r>
          </w:p>
        </w:tc>
      </w:tr>
      <w:tr>
        <w:tc>
          <w:tcPr>
            <w:tcW w:type="dxa" w:w="252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Inconsistent scholarship decisions</w:t>
            </w:r>
          </w:p>
        </w:tc>
        <w:tc>
          <w:tcPr>
            <w:tcW w:type="dxa" w:w="378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Policy thresholds stored in staff memory or separate documents</w:t>
            </w:r>
          </w:p>
        </w:tc>
        <w:tc>
          <w:tcPr>
            <w:tcW w:type="dxa" w:w="378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Different staff apply different rules; scholars receive unequal treatment</w:t>
            </w:r>
          </w:p>
        </w:tc>
      </w:tr>
    </w:tbl>
    <w:p>
      <w:pPr>
        <w:pStyle w:val="Heading2"/>
      </w:pPr>
      <w:r>
        <w:t xml:space="preserve">Scope</w:t>
      </w:r>
    </w:p>
    <w:p>
      <w:pPr>
        <w:spacing w:after="80"/>
      </w:pPr>
      <w:r>
        <w:rPr>
          <w:b/>
          <w:bCs/>
          <w:sz w:val="22"/>
          <w:szCs w:val="22"/>
        </w:rPr>
        <w:t xml:space="preserve">In scope:</w:t>
      </w:r>
    </w:p>
    <w:p>
      <w:pPr>
        <w:spacing w:after="60"/>
      </w:pPr>
      <w:r>
        <w:rPr>
          <w:sz w:val="22"/>
          <w:szCs w:val="22"/>
        </w:rPr>
        <w:t xml:space="preserve">• Browser-based MVP with Scholar and Scholarship Staff roles</w:t>
      </w:r>
    </w:p>
    <w:p>
      <w:pPr>
        <w:spacing w:after="60"/>
      </w:pPr>
      <w:r>
        <w:rPr>
          <w:sz w:val="22"/>
          <w:szCs w:val="22"/>
        </w:rPr>
        <w:t xml:space="preserve">• Scholar registration and assignment to one of two persisted scholarship programs</w:t>
      </w:r>
    </w:p>
    <w:p>
      <w:pPr>
        <w:spacing w:after="60"/>
      </w:pPr>
      <w:r>
        <w:rPr>
          <w:sz w:val="22"/>
          <w:szCs w:val="22"/>
        </w:rPr>
        <w:t xml:space="preserve">• Semester academic-summary submission with grade-document reference</w:t>
      </w:r>
    </w:p>
    <w:p>
      <w:pPr>
        <w:spacing w:after="60"/>
      </w:pPr>
      <w:r>
        <w:rPr>
          <w:sz w:val="22"/>
          <w:szCs w:val="22"/>
        </w:rPr>
        <w:t xml:space="preserve">• Evidence verification (Verified / Returned) with reason and resubmission</w:t>
      </w:r>
    </w:p>
    <w:p>
      <w:pPr>
        <w:spacing w:after="60"/>
      </w:pPr>
      <w:r>
        <w:rPr>
          <w:sz w:val="22"/>
          <w:szCs w:val="22"/>
        </w:rPr>
        <w:t xml:space="preserve">• Program-based compliance evaluation and explicit renewal decision (Approved / Held)</w:t>
      </w:r>
    </w:p>
    <w:p>
      <w:pPr>
        <w:spacing w:after="60"/>
      </w:pPr>
      <w:r>
        <w:rPr>
          <w:sz w:val="22"/>
          <w:szCs w:val="22"/>
        </w:rPr>
        <w:t xml:space="preserve">• Dashboard counts, search by student ID/name, filter by program or compliance</w:t>
      </w:r>
    </w:p>
    <w:p>
      <w:pPr>
        <w:spacing w:after="200"/>
      </w:pPr>
      <w:r>
        <w:rPr>
          <w:sz w:val="22"/>
          <w:szCs w:val="22"/>
        </w:rPr>
        <w:t xml:space="preserve">• Audit history of verification, evaluation, and renewal actions</w:t>
      </w:r>
    </w:p>
    <w:p>
      <w:pPr>
        <w:spacing w:after="80"/>
      </w:pPr>
      <w:r>
        <w:rPr>
          <w:b/>
          <w:bCs/>
          <w:sz w:val="22"/>
          <w:szCs w:val="22"/>
        </w:rPr>
        <w:t xml:space="preserve">Exclusions:</w:t>
      </w:r>
    </w:p>
    <w:p>
      <w:pPr>
        <w:spacing w:after="60"/>
      </w:pPr>
      <w:r>
        <w:rPr>
          <w:sz w:val="22"/>
          <w:szCs w:val="22"/>
        </w:rPr>
        <w:t xml:space="preserve">• Live Registrar API integration or official grade alteration</w:t>
      </w:r>
    </w:p>
    <w:p>
      <w:pPr>
        <w:spacing w:after="60"/>
      </w:pPr>
      <w:r>
        <w:rPr>
          <w:sz w:val="22"/>
          <w:szCs w:val="22"/>
        </w:rPr>
        <w:t xml:space="preserve">• Scholarship payment release or financial modules</w:t>
      </w:r>
    </w:p>
    <w:p>
      <w:pPr>
        <w:spacing w:after="60"/>
      </w:pPr>
      <w:r>
        <w:rPr>
          <w:sz w:val="22"/>
          <w:szCs w:val="22"/>
        </w:rPr>
        <w:t xml:space="preserve">• Full appeal / exception workflow</w:t>
      </w:r>
    </w:p>
    <w:p>
      <w:pPr>
        <w:spacing w:after="60"/>
      </w:pPr>
      <w:r>
        <w:rPr>
          <w:sz w:val="22"/>
          <w:szCs w:val="22"/>
        </w:rPr>
        <w:t xml:space="preserve">• SMS gateway, email notifications, or machine-learning models</w:t>
      </w:r>
    </w:p>
    <w:p>
      <w:pPr>
        <w:spacing w:after="200"/>
      </w:pPr>
      <w:r>
        <w:rPr>
          <w:sz w:val="22"/>
          <w:szCs w:val="22"/>
        </w:rPr>
        <w:t xml:space="preserve">• Mobile-native applications</w:t>
      </w:r>
    </w:p>
    <w:p>
      <w:pPr>
        <w:pStyle w:val="Heading2"/>
      </w:pPr>
      <w:r>
        <w:t xml:space="preserve">Development Tasks</w:t>
      </w:r>
    </w:p>
    <w:p>
      <w:pPr>
        <w:pStyle w:val="ListParagraph"/>
        <w:numPr>
          <w:ilvl w:val="0"/>
          <w:numId w:val="2"/>
        </w:numPr>
      </w:pPr>
      <w:r>
        <w:rPr>
          <w:sz w:val="22"/>
          <w:szCs w:val="22"/>
        </w:rPr>
        <w:t xml:space="preserve">Create database schema, RLS policies, seed programs, and test accounts</w:t>
      </w:r>
    </w:p>
    <w:p>
      <w:pPr>
        <w:pStyle w:val="ListParagraph"/>
        <w:numPr>
          <w:ilvl w:val="0"/>
          <w:numId w:val="2"/>
        </w:numPr>
      </w:pPr>
      <w:r>
        <w:rPr>
          <w:sz w:val="22"/>
          <w:szCs w:val="22"/>
        </w:rPr>
        <w:t xml:space="preserve">Implement scholar registration, program assignment, and grade-submission form with validation</w:t>
      </w:r>
    </w:p>
    <w:p>
      <w:pPr>
        <w:pStyle w:val="ListParagraph"/>
        <w:numPr>
          <w:ilvl w:val="0"/>
          <w:numId w:val="2"/>
        </w:numPr>
      </w:pPr>
      <w:r>
        <w:rPr>
          <w:sz w:val="22"/>
          <w:szCs w:val="22"/>
        </w:rPr>
        <w:t xml:space="preserve">Build verification / correction workflow and compliance + renewal decision screens</w:t>
      </w:r>
    </w:p>
    <w:p>
      <w:pPr>
        <w:pStyle w:val="ListParagraph"/>
        <w:numPr>
          <w:ilvl w:val="0"/>
          <w:numId w:val="2"/>
        </w:numPr>
        <w:spacing w:after="200"/>
      </w:pPr>
      <w:r>
        <w:rPr>
          <w:sz w:val="22"/>
          <w:szCs w:val="22"/>
        </w:rPr>
        <w:t xml:space="preserve">Implement dashboard, search/filter, audit history, seed test records, and execute TC01–TC10</w:t>
      </w:r>
    </w:p>
    <w:p>
      <w:pPr>
        <w:pStyle w:val="Heading2"/>
      </w:pPr>
      <w:r>
        <w:t xml:space="preserve">Risks and Responses</w:t>
      </w:r>
    </w:p>
    <w:p>
      <w:pPr>
        <w:pStyle w:val="ListParagraph"/>
        <w:numPr>
          <w:ilvl w:val="0"/>
          <w:numId w:val="3"/>
        </w:numPr>
      </w:pPr>
      <w:r>
        <w:rPr>
          <w:sz w:val="22"/>
          <w:szCs w:val="22"/>
        </w:rPr>
        <w:t xml:space="preserve">Risk: Network or Supabase outage during exam.  Response: Provide a fully local runnable copy with demo-mode fallback and clear run instructions.</w:t>
      </w:r>
    </w:p>
    <w:p>
      <w:pPr>
        <w:pStyle w:val="ListParagraph"/>
        <w:numPr>
          <w:ilvl w:val="0"/>
          <w:numId w:val="3"/>
        </w:numPr>
        <w:spacing w:after="200"/>
      </w:pPr>
      <w:r>
        <w:rPr>
          <w:sz w:val="22"/>
          <w:szCs w:val="22"/>
        </w:rPr>
        <w:t xml:space="preserve">Risk: Time pressure causing incomplete critical path.  Response: Follow the 150-minute development schedule strictly; complete mandatory path (schema → submission → verification → compliance → renewal) before UI polish.</w:t>
      </w:r>
    </w:p>
    <w:p>
      <w:pPr>
        <w:pStyle w:val="Heading1"/>
      </w:pPr>
      <w:r>
        <w:t xml:space="preserve">A2  Stakeholders and Elicitation</w:t>
      </w:r>
    </w:p>
    <w:p>
      <w:pPr>
        <w:pStyle w:val="Heading2"/>
      </w:pPr>
      <w:r>
        <w:t xml:space="preserve">Stakeholders and 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Stakeholder</w:t>
            </w:r>
          </w:p>
        </w:tc>
        <w:tc>
          <w:tcPr>
            <w:tcW w:type="dxa" w:w="252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Actor?</w:t>
            </w:r>
          </w:p>
        </w:tc>
        <w:tc>
          <w:tcPr>
            <w:tcW w:type="dxa" w:w="504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Interest / Role</w:t>
            </w:r>
          </w:p>
        </w:tc>
      </w:tr>
      <w:tr>
        <w:tc>
          <w:tcPr>
            <w:tcW w:type="dxa" w:w="252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Scholarship Staff</w:t>
            </w:r>
          </w:p>
        </w:tc>
        <w:tc>
          <w:tcPr>
            <w:tcW w:type="dxa" w:w="252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Yes (primary)</w:t>
            </w:r>
          </w:p>
        </w:tc>
        <w:tc>
          <w:tcPr>
            <w:tcW w:type="dxa" w:w="504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Verify evidence, evaluate compliance, record renewal decisions</w:t>
            </w:r>
          </w:p>
        </w:tc>
      </w:tr>
      <w:tr>
        <w:tc>
          <w:tcPr>
            <w:tcW w:type="dxa" w:w="252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Scholar (student)</w:t>
            </w:r>
          </w:p>
        </w:tc>
        <w:tc>
          <w:tcPr>
            <w:tcW w:type="dxa" w:w="252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Yes (primary)</w:t>
            </w:r>
          </w:p>
        </w:tc>
        <w:tc>
          <w:tcPr>
            <w:tcW w:type="dxa" w:w="504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Submit academic summary and evidence; view own status</w:t>
            </w:r>
          </w:p>
        </w:tc>
      </w:tr>
      <w:tr>
        <w:tc>
          <w:tcPr>
            <w:tcW w:type="dxa" w:w="252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Scholarship Office Manager</w:t>
            </w:r>
          </w:p>
        </w:tc>
        <w:tc>
          <w:tcPr>
            <w:tcW w:type="dxa" w:w="252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No (indirect)</w:t>
            </w:r>
          </w:p>
        </w:tc>
        <w:tc>
          <w:tcPr>
            <w:tcW w:type="dxa" w:w="504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8"/>
                <w:szCs w:val="18"/>
              </w:rPr>
              <w:t xml:space="preserve">Needs consistent policy application and audit trail for oversight</w:t>
            </w:r>
          </w:p>
        </w:tc>
      </w:tr>
      <w:tr>
        <w:tc>
          <w:tcPr>
            <w:tcW w:type="dxa" w:w="252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Registrar’s Office</w:t>
            </w:r>
          </w:p>
        </w:tc>
        <w:tc>
          <w:tcPr>
            <w:tcW w:type="dxa" w:w="252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No (external)</w:t>
            </w:r>
          </w:p>
        </w:tc>
        <w:tc>
          <w:tcPr>
            <w:tcW w:type="dxa" w:w="504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8"/>
                <w:szCs w:val="18"/>
              </w:rPr>
              <w:t xml:space="preserve">Source of official grades; system does not alter official records</w:t>
            </w:r>
          </w:p>
        </w:tc>
      </w:tr>
    </w:tbl>
    <w:p>
      <w:pPr>
        <w:pStyle w:val="Heading2"/>
      </w:pPr>
      <w:r>
        <w:t xml:space="preserve">Open-ended Elicitation Questions</w:t>
      </w:r>
    </w:p>
    <w:p>
      <w:pPr>
        <w:pStyle w:val="ListParagraph"/>
        <w:numPr>
          <w:ilvl w:val="0"/>
          <w:numId w:val="4"/>
        </w:numPr>
      </w:pPr>
      <w:r>
        <w:rPr>
          <w:sz w:val="22"/>
          <w:szCs w:val="22"/>
        </w:rPr>
        <w:t xml:space="preserve">What evidence is considered sufficient for a grade-document reference, and who decides when it is incomplete?</w:t>
      </w:r>
    </w:p>
    <w:p>
      <w:pPr>
        <w:pStyle w:val="ListParagraph"/>
        <w:numPr>
          <w:ilvl w:val="0"/>
          <w:numId w:val="4"/>
        </w:numPr>
      </w:pPr>
      <w:r>
        <w:rPr>
          <w:sz w:val="22"/>
          <w:szCs w:val="22"/>
        </w:rPr>
        <w:t xml:space="preserve">How should the system treat a submission that arrives exactly at the deadline versus one minute after?</w:t>
      </w:r>
    </w:p>
    <w:p>
      <w:pPr>
        <w:pStyle w:val="ListParagraph"/>
        <w:numPr>
          <w:ilvl w:val="0"/>
          <w:numId w:val="4"/>
        </w:numPr>
      </w:pPr>
      <w:r>
        <w:rPr>
          <w:sz w:val="22"/>
          <w:szCs w:val="22"/>
        </w:rPr>
        <w:t xml:space="preserve">Under what conditions may staff grant a policy exception, and is that capability required in the MVP?</w:t>
      </w:r>
    </w:p>
    <w:p>
      <w:pPr>
        <w:pStyle w:val="ListParagraph"/>
        <w:numPr>
          <w:ilvl w:val="0"/>
          <w:numId w:val="4"/>
        </w:numPr>
      </w:pPr>
      <w:r>
        <w:rPr>
          <w:sz w:val="22"/>
          <w:szCs w:val="22"/>
        </w:rPr>
        <w:t xml:space="preserve">Which roles may view another scholar’s submission, and how is that access enforced?</w:t>
      </w:r>
    </w:p>
    <w:p>
      <w:pPr>
        <w:pStyle w:val="ListParagraph"/>
        <w:numPr>
          <w:ilvl w:val="0"/>
          <w:numId w:val="4"/>
        </w:numPr>
      </w:pPr>
      <w:r>
        <w:rPr>
          <w:sz w:val="22"/>
          <w:szCs w:val="22"/>
        </w:rPr>
        <w:t xml:space="preserve">What reports or dashboard counts do staff need most frequently when deciding renewals?</w:t>
      </w:r>
    </w:p>
    <w:p>
      <w:pPr>
        <w:pStyle w:val="ListParagraph"/>
        <w:numPr>
          <w:ilvl w:val="0"/>
          <w:numId w:val="4"/>
        </w:numPr>
        <w:spacing w:after="200"/>
      </w:pPr>
      <w:r>
        <w:rPr>
          <w:sz w:val="22"/>
          <w:szCs w:val="22"/>
        </w:rPr>
        <w:t xml:space="preserve">If a verified submission later fails an academic check, should the system automatically change the award status or only flag the deficiency?</w:t>
      </w:r>
    </w:p>
    <w:p>
      <w:pPr>
        <w:pStyle w:val="Heading1"/>
      </w:pPr>
      <w:r>
        <w:t xml:space="preserve">A3  Requirements and Business Rules</w:t>
      </w:r>
    </w:p>
    <w:p>
      <w:pPr>
        <w:pStyle w:val="Heading2"/>
      </w:pPr>
      <w:r>
        <w:t xml:space="preserve">Functional Requirements</w:t>
      </w:r>
    </w:p>
    <w:p>
      <w:pPr>
        <w:pStyle w:val="ListParagraph"/>
        <w:numPr>
          <w:ilvl w:val="0"/>
          <w:numId w:val="5"/>
        </w:numPr>
      </w:pPr>
      <w:r>
        <w:rPr>
          <w:sz w:val="22"/>
          <w:szCs w:val="22"/>
        </w:rPr>
        <w:t xml:space="preserve">FR01  The system shall authenticate users and assign them either the Scholar or Scholarship Staff role.</w:t>
      </w:r>
    </w:p>
    <w:p>
      <w:pPr>
        <w:pStyle w:val="ListParagraph"/>
        <w:numPr>
          <w:ilvl w:val="0"/>
          <w:numId w:val="5"/>
        </w:numPr>
      </w:pPr>
      <w:r>
        <w:rPr>
          <w:sz w:val="22"/>
          <w:szCs w:val="22"/>
        </w:rPr>
        <w:t xml:space="preserve">FR02  A Scholar shall view and manage only his or her own submissions; Staff shall view all submissions.</w:t>
      </w:r>
    </w:p>
    <w:p>
      <w:pPr>
        <w:pStyle w:val="ListParagraph"/>
        <w:numPr>
          <w:ilvl w:val="0"/>
          <w:numId w:val="5"/>
        </w:numPr>
      </w:pPr>
      <w:r>
        <w:rPr>
          <w:sz w:val="22"/>
          <w:szCs w:val="22"/>
        </w:rPr>
        <w:t xml:space="preserve">FR03  Staff shall register a scholar and assign exactly one persisted scholarship program (Excellence or Access).</w:t>
      </w:r>
    </w:p>
    <w:p>
      <w:pPr>
        <w:pStyle w:val="ListParagraph"/>
        <w:numPr>
          <w:ilvl w:val="0"/>
          <w:numId w:val="5"/>
        </w:numPr>
      </w:pPr>
      <w:r>
        <w:rPr>
          <w:sz w:val="22"/>
          <w:szCs w:val="22"/>
        </w:rPr>
        <w:t xml:space="preserve">FR04  A Scholar shall submit a semester academic summary (GWA, units, failed, incomplete, dropped) together with a grade-document reference.</w:t>
      </w:r>
    </w:p>
    <w:p>
      <w:pPr>
        <w:pStyle w:val="ListParagraph"/>
        <w:numPr>
          <w:ilvl w:val="0"/>
          <w:numId w:val="5"/>
        </w:numPr>
      </w:pPr>
      <w:r>
        <w:rPr>
          <w:sz w:val="22"/>
          <w:szCs w:val="22"/>
        </w:rPr>
        <w:t xml:space="preserve">FR05  The system shall reject a duplicate submission for the same scholar + academic year + semester combination.</w:t>
      </w:r>
    </w:p>
    <w:p>
      <w:pPr>
        <w:pStyle w:val="ListParagraph"/>
        <w:numPr>
          <w:ilvl w:val="0"/>
          <w:numId w:val="5"/>
        </w:numPr>
      </w:pPr>
      <w:r>
        <w:rPr>
          <w:sz w:val="22"/>
          <w:szCs w:val="22"/>
        </w:rPr>
        <w:t xml:space="preserve">FR06  Staff shall mark evidence as Verified or Returned (with a mandatory reason); a Returned submission may be corrected and resubmitted, returning to Pending.</w:t>
      </w:r>
    </w:p>
    <w:p>
      <w:pPr>
        <w:pStyle w:val="ListParagraph"/>
        <w:numPr>
          <w:ilvl w:val="0"/>
          <w:numId w:val="5"/>
        </w:numPr>
      </w:pPr>
      <w:r>
        <w:rPr>
          <w:sz w:val="22"/>
          <w:szCs w:val="22"/>
        </w:rPr>
        <w:t xml:space="preserve">FR07  Staff shall evaluate only Verified submissions against the thresholds of the assigned program and record Compliant or With Deficiency together with specific reasons.</w:t>
      </w:r>
    </w:p>
    <w:p>
      <w:pPr>
        <w:pStyle w:val="ListParagraph"/>
        <w:numPr>
          <w:ilvl w:val="0"/>
          <w:numId w:val="5"/>
        </w:numPr>
      </w:pPr>
      <w:r>
        <w:rPr>
          <w:sz w:val="22"/>
          <w:szCs w:val="22"/>
        </w:rPr>
        <w:t xml:space="preserve">FR08  Staff shall record an explicit renewal decision (Approved or Held); Approval is permitted only when the evaluation result is Compliant.</w:t>
      </w:r>
    </w:p>
    <w:p>
      <w:pPr>
        <w:pStyle w:val="ListParagraph"/>
        <w:numPr>
          <w:ilvl w:val="0"/>
          <w:numId w:val="5"/>
        </w:numPr>
      </w:pPr>
      <w:r>
        <w:rPr>
          <w:sz w:val="22"/>
          <w:szCs w:val="22"/>
        </w:rPr>
        <w:t xml:space="preserve">FR09  The dashboard shall display counts of assigned scholars, pending verification, compliant, and with-deficiency records for a selected semester.</w:t>
      </w:r>
    </w:p>
    <w:p>
      <w:pPr>
        <w:pStyle w:val="ListParagraph"/>
        <w:numPr>
          <w:ilvl w:val="0"/>
          <w:numId w:val="5"/>
        </w:numPr>
        <w:spacing w:after="200"/>
      </w:pPr>
      <w:r>
        <w:rPr>
          <w:sz w:val="22"/>
          <w:szCs w:val="22"/>
        </w:rPr>
        <w:t xml:space="preserve">FR10  Staff shall search by student ID or name and filter by program or compliance status; all verification, evaluation, and renewal actions shall be logged with actor and timestamp.</w:t>
      </w:r>
    </w:p>
    <w:p>
      <w:pPr>
        <w:pStyle w:val="Heading2"/>
      </w:pPr>
      <w:r>
        <w:t xml:space="preserve">Non-Functional Requirements</w:t>
      </w:r>
    </w:p>
    <w:p>
      <w:pPr>
        <w:pStyle w:val="ListParagraph"/>
        <w:numPr>
          <w:ilvl w:val="0"/>
          <w:numId w:val="6"/>
        </w:numPr>
      </w:pPr>
      <w:r>
        <w:rPr>
          <w:sz w:val="22"/>
          <w:szCs w:val="22"/>
        </w:rPr>
        <w:t xml:space="preserve">NFR01  Role-based access shall be enforced in the database (RLS / security-definer functions), not solely by hiding UI controls.</w:t>
      </w:r>
    </w:p>
    <w:p>
      <w:pPr>
        <w:pStyle w:val="ListParagraph"/>
        <w:numPr>
          <w:ilvl w:val="0"/>
          <w:numId w:val="6"/>
        </w:numPr>
      </w:pPr>
      <w:r>
        <w:rPr>
          <w:sz w:val="22"/>
          <w:szCs w:val="22"/>
        </w:rPr>
        <w:t xml:space="preserve">NFR02  Page load and primary transactions shall complete in under 3 seconds on a standard campus network.</w:t>
      </w:r>
    </w:p>
    <w:p>
      <w:pPr>
        <w:pStyle w:val="ListParagraph"/>
        <w:numPr>
          <w:ilvl w:val="0"/>
          <w:numId w:val="6"/>
        </w:numPr>
      </w:pPr>
      <w:r>
        <w:rPr>
          <w:sz w:val="22"/>
          <w:szCs w:val="22"/>
        </w:rPr>
        <w:t xml:space="preserve">NFR03  The interface shall remain usable on desktop viewports ≥ 1280 px and shall follow a consistent liquid-glass visual language.</w:t>
      </w:r>
    </w:p>
    <w:p>
      <w:pPr>
        <w:pStyle w:val="ListParagraph"/>
        <w:numPr>
          <w:ilvl w:val="0"/>
          <w:numId w:val="6"/>
        </w:numPr>
        <w:spacing w:after="200"/>
      </w:pPr>
      <w:r>
        <w:rPr>
          <w:sz w:val="22"/>
          <w:szCs w:val="22"/>
        </w:rPr>
        <w:t xml:space="preserve">NFR04  All persisted data shall survive a browser refresh; audit history shall be immutable once written.</w:t>
      </w:r>
    </w:p>
    <w:p>
      <w:pPr>
        <w:pStyle w:val="Heading2"/>
      </w:pPr>
      <w:r>
        <w:t xml:space="preserve">Business Rules</w:t>
      </w:r>
    </w:p>
    <w:p>
      <w:pPr>
        <w:pStyle w:val="ListParagraph"/>
        <w:numPr>
          <w:ilvl w:val="0"/>
          <w:numId w:val="7"/>
        </w:numPr>
      </w:pPr>
      <w:r>
        <w:rPr>
          <w:sz w:val="22"/>
          <w:szCs w:val="22"/>
        </w:rPr>
        <w:t xml:space="preserve">BR01  Excellence Scholar: max GWA 2.00, min units 18, failed 0, incomplete 0, dropped 0.</w:t>
      </w:r>
    </w:p>
    <w:p>
      <w:pPr>
        <w:pStyle w:val="ListParagraph"/>
        <w:numPr>
          <w:ilvl w:val="0"/>
          <w:numId w:val="7"/>
        </w:numPr>
      </w:pPr>
      <w:r>
        <w:rPr>
          <w:sz w:val="22"/>
          <w:szCs w:val="22"/>
        </w:rPr>
        <w:t xml:space="preserve">BR02  Access Scholar: max GWA 2.50, min units 15, failed 0, incomplete 0, dropped ≤ 1.</w:t>
      </w:r>
    </w:p>
    <w:p>
      <w:pPr>
        <w:pStyle w:val="ListParagraph"/>
        <w:numPr>
          <w:ilvl w:val="0"/>
          <w:numId w:val="7"/>
        </w:numPr>
      </w:pPr>
      <w:r>
        <w:rPr>
          <w:sz w:val="22"/>
          <w:szCs w:val="22"/>
        </w:rPr>
        <w:t xml:space="preserve">BR03  Submission deadline is 2026-11-06 17:00 Asia/Manila; a submission at the exact deadline is on time.</w:t>
      </w:r>
    </w:p>
    <w:p>
      <w:pPr>
        <w:pStyle w:val="ListParagraph"/>
        <w:numPr>
          <w:ilvl w:val="0"/>
          <w:numId w:val="7"/>
        </w:numPr>
      </w:pPr>
      <w:r>
        <w:rPr>
          <w:sz w:val="22"/>
          <w:szCs w:val="22"/>
        </w:rPr>
        <w:t xml:space="preserve">BR04  Missing or unverified evidence prevents final compliance evaluation.</w:t>
      </w:r>
    </w:p>
    <w:p>
      <w:pPr>
        <w:pStyle w:val="ListParagraph"/>
        <w:numPr>
          <w:ilvl w:val="0"/>
          <w:numId w:val="7"/>
        </w:numPr>
      </w:pPr>
      <w:r>
        <w:rPr>
          <w:sz w:val="22"/>
          <w:szCs w:val="22"/>
        </w:rPr>
        <w:t xml:space="preserve">BR05  A failed academic condition or late submission produces “With Deficiency” with specific reasons; all checks passing produces “Compliant”.</w:t>
      </w:r>
    </w:p>
    <w:p>
      <w:pPr>
        <w:pStyle w:val="ListParagraph"/>
        <w:numPr>
          <w:ilvl w:val="0"/>
          <w:numId w:val="7"/>
        </w:numPr>
        <w:spacing w:after="200"/>
      </w:pPr>
      <w:r>
        <w:rPr>
          <w:sz w:val="22"/>
          <w:szCs w:val="22"/>
        </w:rPr>
        <w:t xml:space="preserve">BR06  Staff may hold renewal of any evaluated record but may not approve a record whose evaluation is “With Deficiency”.</w:t>
      </w:r>
    </w:p>
    <w:p>
      <w:pPr>
        <w:pStyle w:val="Heading1"/>
      </w:pPr>
      <w:r>
        <w:t xml:space="preserve">A4  UML Use Case Modeling</w:t>
      </w:r>
    </w:p>
    <w:p>
      <w:pPr>
        <w:pStyle w:val="Heading2"/>
      </w:pPr>
      <w:r>
        <w:t xml:space="preserve">Use Case Diagram Description</w:t>
      </w:r>
    </w:p>
    <w:p>
      <w:pPr>
        <w:spacing w:after="120"/>
      </w:pPr>
      <w:r>
        <w:rPr>
          <w:sz w:val="22"/>
          <w:szCs w:val="22"/>
        </w:rPr>
        <w:t xml:space="preserve">System boundary: ScholarTrack (Student Scholarship Monitoring and Academic Compliance System).</w:t>
      </w:r>
    </w:p>
    <w:p>
      <w:pPr>
        <w:spacing w:after="80"/>
      </w:pPr>
      <w:r>
        <w:rPr>
          <w:sz w:val="22"/>
          <w:szCs w:val="22"/>
        </w:rPr>
        <w:t xml:space="preserve">Actors: Scholar, Scholarship Staff.</w:t>
      </w:r>
    </w:p>
    <w:p>
      <w:pPr>
        <w:spacing w:after="80"/>
      </w:pPr>
      <w:r>
        <w:rPr>
          <w:sz w:val="22"/>
          <w:szCs w:val="22"/>
        </w:rPr>
        <w:t xml:space="preserve">Use cases (minimum 8 meaningful goals):</w:t>
      </w:r>
    </w:p>
    <w:p>
      <w:pPr>
        <w:spacing w:after="40"/>
      </w:pPr>
      <w:r>
        <w:rPr>
          <w:sz w:val="22"/>
          <w:szCs w:val="22"/>
        </w:rPr>
        <w:t xml:space="preserve">UC01  Authenticate  (precondition for most other use cases)</w:t>
      </w:r>
    </w:p>
    <w:p>
      <w:pPr>
        <w:spacing w:after="40"/>
      </w:pPr>
      <w:r>
        <w:rPr>
          <w:sz w:val="22"/>
          <w:szCs w:val="22"/>
        </w:rPr>
        <w:t xml:space="preserve">UC02  Register Scholar and Assign Program</w:t>
      </w:r>
    </w:p>
    <w:p>
      <w:pPr>
        <w:spacing w:after="40"/>
      </w:pPr>
      <w:r>
        <w:rPr>
          <w:sz w:val="22"/>
          <w:szCs w:val="22"/>
        </w:rPr>
        <w:t xml:space="preserve">UC03  Submit Semester Grades</w:t>
      </w:r>
    </w:p>
    <w:p>
      <w:pPr>
        <w:spacing w:after="40"/>
      </w:pPr>
      <w:r>
        <w:rPr>
          <w:sz w:val="22"/>
          <w:szCs w:val="22"/>
        </w:rPr>
        <w:t xml:space="preserve">UC04  Verify Evidence</w:t>
      </w:r>
    </w:p>
    <w:p>
      <w:pPr>
        <w:spacing w:after="40"/>
      </w:pPr>
      <w:r>
        <w:rPr>
          <w:sz w:val="22"/>
          <w:szCs w:val="22"/>
        </w:rPr>
        <w:t xml:space="preserve">UC05  Correct and Resubmit Grades</w:t>
      </w:r>
    </w:p>
    <w:p>
      <w:pPr>
        <w:spacing w:after="40"/>
      </w:pPr>
      <w:r>
        <w:rPr>
          <w:sz w:val="22"/>
          <w:szCs w:val="22"/>
        </w:rPr>
        <w:t xml:space="preserve">UC06  Evaluate Compliance</w:t>
      </w:r>
    </w:p>
    <w:p>
      <w:pPr>
        <w:spacing w:after="40"/>
      </w:pPr>
      <w:r>
        <w:rPr>
          <w:sz w:val="22"/>
          <w:szCs w:val="22"/>
        </w:rPr>
        <w:t xml:space="preserve">UC07  Record Renewal Decision</w:t>
      </w:r>
    </w:p>
    <w:p>
      <w:pPr>
        <w:spacing w:after="40"/>
      </w:pPr>
      <w:r>
        <w:rPr>
          <w:sz w:val="22"/>
          <w:szCs w:val="22"/>
        </w:rPr>
        <w:t xml:space="preserve">UC08  View Dashboard and Search</w:t>
      </w:r>
    </w:p>
    <w:p>
      <w:pPr>
        <w:spacing w:after="40"/>
      </w:pPr>
      <w:r>
        <w:rPr>
          <w:sz w:val="22"/>
          <w:szCs w:val="22"/>
        </w:rPr>
        <w:t xml:space="preserve">UC09  View Own Submission Status (Scholar)</w:t>
      </w:r>
    </w:p>
    <w:p>
      <w:pPr>
        <w:spacing w:after="200"/>
      </w:pPr>
      <w:r>
        <w:rPr>
          <w:sz w:val="22"/>
          <w:szCs w:val="22"/>
        </w:rPr>
        <w:t xml:space="preserve">UC10  View Audit History</w:t>
      </w:r>
    </w:p>
    <w:p>
      <w:pPr>
        <w:pStyle w:val="Heading2"/>
      </w:pPr>
      <w:r>
        <w:t xml:space="preserve">Include and Extend Relationships</w:t>
      </w:r>
    </w:p>
    <w:p>
      <w:pPr>
        <w:spacing w:after="80"/>
      </w:pPr>
      <w:r>
        <w:rPr>
          <w:b/>
          <w:bCs/>
          <w:sz w:val="22"/>
          <w:szCs w:val="22"/>
        </w:rPr>
        <w:t xml:space="preserve">Include (mandatory reused behavior):</w:t>
      </w:r>
    </w:p>
    <w:p>
      <w:pPr>
        <w:spacing w:after="60"/>
      </w:pPr>
      <w:r>
        <w:rPr>
          <w:sz w:val="22"/>
          <w:szCs w:val="22"/>
        </w:rPr>
        <w:t xml:space="preserve">• UC06 Evaluate Compliance  «include»  UC04 Verify Evidence  – evaluation is only meaningful after evidence has been verified.</w:t>
      </w:r>
    </w:p>
    <w:p>
      <w:pPr>
        <w:spacing w:after="120"/>
      </w:pPr>
      <w:r>
        <w:rPr>
          <w:sz w:val="22"/>
          <w:szCs w:val="22"/>
        </w:rPr>
        <w:t xml:space="preserve">• UC07 Record Renewal Decision  «include»  UC06 Evaluate Compliance  – a renewal decision requires a completed compliance evaluation.</w:t>
      </w:r>
    </w:p>
    <w:p>
      <w:pPr>
        <w:spacing w:after="80"/>
      </w:pPr>
      <w:r>
        <w:rPr>
          <w:b/>
          <w:bCs/>
          <w:sz w:val="22"/>
          <w:szCs w:val="22"/>
        </w:rPr>
        <w:t xml:space="preserve">Extend (conditional added behavior):</w:t>
      </w:r>
    </w:p>
    <w:p>
      <w:pPr>
        <w:spacing w:after="200"/>
      </w:pPr>
      <w:r>
        <w:rPr>
          <w:sz w:val="22"/>
          <w:szCs w:val="22"/>
        </w:rPr>
        <w:t xml:space="preserve">• UC05 Correct and Resubmit Grades  «extend»  UC03 Submit Semester Grades  – the extension point is “submission returned by staff”; the scholar may optionally correct and resubmit.</w:t>
      </w:r>
    </w:p>
    <w:p>
      <w:pPr>
        <w:spacing w:after="200"/>
      </w:pPr>
      <w:r>
        <w:rPr>
          <w:i/>
          <w:iCs/>
          <w:color w:val="555555"/>
          <w:sz w:val="20"/>
          <w:szCs w:val="20"/>
        </w:rPr>
        <w:t xml:space="preserve">Note: Authentication (UC01) is treated as a precondition rather than an include on every use case, following the examination modeling reminder.</w:t>
      </w:r>
    </w:p>
    <w:p>
      <w:pPr>
        <w:pStyle w:val="Heading1"/>
      </w:pPr>
      <w:r>
        <w:t xml:space="preserve">A5  Detailed Use Cases and Data Design</w:t>
      </w:r>
    </w:p>
    <w:p>
      <w:pPr>
        <w:pStyle w:val="Heading2"/>
      </w:pPr>
      <w:r>
        <w:t xml:space="preserve">UC03  Submit Grades</w:t>
      </w:r>
    </w:p>
    <w:p>
      <w:pPr>
        <w:spacing w:after="40"/>
      </w:pPr>
      <w:r>
        <w:rPr>
          <w:sz w:val="22"/>
          <w:szCs w:val="22"/>
        </w:rPr>
        <w:t xml:space="preserve">Actor: Scholar</w:t>
      </w:r>
    </w:p>
    <w:p>
      <w:pPr>
        <w:spacing w:after="40"/>
      </w:pPr>
      <w:r>
        <w:rPr>
          <w:sz w:val="22"/>
          <w:szCs w:val="22"/>
        </w:rPr>
        <w:t xml:space="preserve">Trigger: Scholar selects “Submit Grades” after authenticating.</w:t>
      </w:r>
    </w:p>
    <w:p>
      <w:pPr>
        <w:spacing w:after="40"/>
      </w:pPr>
      <w:r>
        <w:rPr>
          <w:sz w:val="22"/>
          <w:szCs w:val="22"/>
        </w:rPr>
        <w:t xml:space="preserve">Preconditions: Scholar is authenticated; scholar is assigned to a scholarship program; no existing submission exists for the chosen academic year + semester.</w:t>
      </w:r>
    </w:p>
    <w:p>
      <w:pPr>
        <w:spacing w:after="80"/>
      </w:pPr>
      <w:r>
        <w:rPr>
          <w:b/>
          <w:bCs/>
          <w:sz w:val="22"/>
          <w:szCs w:val="22"/>
        </w:rPr>
        <w:t xml:space="preserve">Main success scenario:</w:t>
      </w:r>
    </w:p>
    <w:p>
      <w:pPr>
        <w:pStyle w:val="ListParagraph"/>
        <w:numPr>
          <w:ilvl w:val="0"/>
          <w:numId w:val="8"/>
        </w:numPr>
      </w:pPr>
      <w:r>
        <w:rPr>
          <w:sz w:val="22"/>
          <w:szCs w:val="22"/>
        </w:rPr>
        <w:t xml:space="preserve">Scholar opens the grade-submission form.</w:t>
      </w:r>
    </w:p>
    <w:p>
      <w:pPr>
        <w:pStyle w:val="ListParagraph"/>
        <w:numPr>
          <w:ilvl w:val="0"/>
          <w:numId w:val="8"/>
        </w:numPr>
      </w:pPr>
      <w:r>
        <w:rPr>
          <w:sz w:val="22"/>
          <w:szCs w:val="22"/>
        </w:rPr>
        <w:t xml:space="preserve">System displays academic year / semester selectors and input fields for GWA, enrolled units, failed count, incomplete count, dropped count, and grade-document reference.</w:t>
      </w:r>
    </w:p>
    <w:p>
      <w:pPr>
        <w:pStyle w:val="ListParagraph"/>
        <w:numPr>
          <w:ilvl w:val="0"/>
          <w:numId w:val="8"/>
        </w:numPr>
      </w:pPr>
      <w:r>
        <w:rPr>
          <w:sz w:val="22"/>
          <w:szCs w:val="22"/>
        </w:rPr>
        <w:t xml:space="preserve">Scholar enters values and submits.</w:t>
      </w:r>
    </w:p>
    <w:p>
      <w:pPr>
        <w:pStyle w:val="ListParagraph"/>
        <w:numPr>
          <w:ilvl w:val="0"/>
          <w:numId w:val="8"/>
        </w:numPr>
      </w:pPr>
      <w:r>
        <w:rPr>
          <w:sz w:val="22"/>
          <w:szCs w:val="22"/>
        </w:rPr>
        <w:t xml:space="preserve">System validates ranges (GWA 1.00–5.00, non-negative integer counts) and uniqueness.</w:t>
      </w:r>
    </w:p>
    <w:p>
      <w:pPr>
        <w:pStyle w:val="ListParagraph"/>
        <w:numPr>
          <w:ilvl w:val="0"/>
          <w:numId w:val="8"/>
        </w:numPr>
      </w:pPr>
      <w:r>
        <w:rPr>
          <w:sz w:val="22"/>
          <w:szCs w:val="22"/>
        </w:rPr>
        <w:t xml:space="preserve">System records the submission with timestamp and status Pending verification.</w:t>
      </w:r>
    </w:p>
    <w:p>
      <w:pPr>
        <w:pStyle w:val="ListParagraph"/>
        <w:numPr>
          <w:ilvl w:val="0"/>
          <w:numId w:val="8"/>
        </w:numPr>
        <w:spacing w:after="80"/>
      </w:pPr>
      <w:r>
        <w:rPr>
          <w:sz w:val="22"/>
          <w:szCs w:val="22"/>
        </w:rPr>
        <w:t xml:space="preserve">System confirms success and returns the scholar to the status view.</w:t>
      </w:r>
    </w:p>
    <w:p>
      <w:pPr>
        <w:spacing w:after="40"/>
      </w:pPr>
      <w:r>
        <w:rPr>
          <w:b/>
          <w:bCs/>
          <w:sz w:val="22"/>
          <w:szCs w:val="22"/>
        </w:rPr>
        <w:t xml:space="preserve">Alternative flows:</w:t>
      </w:r>
    </w:p>
    <w:p>
      <w:pPr>
        <w:pStyle w:val="ListParagraph"/>
        <w:numPr>
          <w:ilvl w:val="0"/>
          <w:numId w:val="9"/>
        </w:numPr>
      </w:pPr>
      <w:r>
        <w:rPr>
          <w:sz w:val="22"/>
          <w:szCs w:val="22"/>
        </w:rPr>
        <w:t xml:space="preserve">Scholar cancels the form → system discards input and returns to previous screen.</w:t>
      </w:r>
    </w:p>
    <w:p>
      <w:pPr>
        <w:spacing w:after="40"/>
      </w:pPr>
      <w:r>
        <w:rPr>
          <w:b/>
          <w:bCs/>
          <w:sz w:val="22"/>
          <w:szCs w:val="22"/>
        </w:rPr>
        <w:t xml:space="preserve">Exception flows:</w:t>
      </w:r>
    </w:p>
    <w:p>
      <w:pPr>
        <w:pStyle w:val="ListParagraph"/>
        <w:numPr>
          <w:ilvl w:val="0"/>
          <w:numId w:val="10"/>
        </w:numPr>
      </w:pPr>
      <w:r>
        <w:rPr>
          <w:sz w:val="22"/>
          <w:szCs w:val="22"/>
        </w:rPr>
        <w:t xml:space="preserve">Duplicate semester detected → system rejects with clear message (linked FR05).</w:t>
      </w:r>
    </w:p>
    <w:p>
      <w:pPr>
        <w:pStyle w:val="ListParagraph"/>
        <w:numPr>
          <w:ilvl w:val="0"/>
          <w:numId w:val="10"/>
        </w:numPr>
      </w:pPr>
      <w:r>
        <w:rPr>
          <w:sz w:val="22"/>
          <w:szCs w:val="22"/>
        </w:rPr>
        <w:t xml:space="preserve">Invalid GWA or negative count → system rejects with field-level message (linked FR04).</w:t>
      </w:r>
    </w:p>
    <w:p>
      <w:pPr>
        <w:spacing w:after="40"/>
      </w:pPr>
      <w:r>
        <w:rPr>
          <w:sz w:val="22"/>
          <w:szCs w:val="22"/>
        </w:rPr>
        <w:t xml:space="preserve">Postcondition: A new submission record exists with status Pending; audit log entry written.</w:t>
      </w:r>
    </w:p>
    <w:p>
      <w:pPr>
        <w:spacing w:after="200"/>
      </w:pPr>
      <w:r>
        <w:rPr>
          <w:i/>
          <w:iCs/>
          <w:sz w:val="20"/>
          <w:szCs w:val="20"/>
        </w:rPr>
        <w:t xml:space="preserve">Linked: FR04, FR05, BR03, BR04</w:t>
      </w:r>
    </w:p>
    <w:p>
      <w:pPr>
        <w:pStyle w:val="Heading2"/>
      </w:pPr>
      <w:r>
        <w:t xml:space="preserve">UC06  Evaluate Compliance</w:t>
      </w:r>
    </w:p>
    <w:p>
      <w:pPr>
        <w:spacing w:after="40"/>
      </w:pPr>
      <w:r>
        <w:rPr>
          <w:sz w:val="22"/>
          <w:szCs w:val="22"/>
        </w:rPr>
        <w:t xml:space="preserve">Actor: Scholarship Staff</w:t>
      </w:r>
    </w:p>
    <w:p>
      <w:pPr>
        <w:spacing w:after="40"/>
      </w:pPr>
      <w:r>
        <w:rPr>
          <w:sz w:val="22"/>
          <w:szCs w:val="22"/>
        </w:rPr>
        <w:t xml:space="preserve">Trigger: Staff selects a Verified submission and chooses “Evaluate”.</w:t>
      </w:r>
    </w:p>
    <w:p>
      <w:pPr>
        <w:spacing w:after="40"/>
      </w:pPr>
      <w:r>
        <w:rPr>
          <w:sz w:val="22"/>
          <w:szCs w:val="22"/>
        </w:rPr>
        <w:t xml:space="preserve">Preconditions: Staff is authenticated; target submission has verification_status = Verified; scholar has an assigned program.</w:t>
      </w:r>
    </w:p>
    <w:p>
      <w:pPr>
        <w:spacing w:after="80"/>
      </w:pPr>
      <w:r>
        <w:rPr>
          <w:b/>
          <w:bCs/>
          <w:sz w:val="22"/>
          <w:szCs w:val="22"/>
        </w:rPr>
        <w:t xml:space="preserve">Main success scenario:</w:t>
      </w:r>
    </w:p>
    <w:p>
      <w:pPr>
        <w:pStyle w:val="ListParagraph"/>
        <w:numPr>
          <w:ilvl w:val="0"/>
          <w:numId w:val="11"/>
        </w:numPr>
      </w:pPr>
      <w:r>
        <w:rPr>
          <w:sz w:val="22"/>
          <w:szCs w:val="22"/>
        </w:rPr>
        <w:t xml:space="preserve">Staff opens the evaluation screen for a verified submission.</w:t>
      </w:r>
    </w:p>
    <w:p>
      <w:pPr>
        <w:pStyle w:val="ListParagraph"/>
        <w:numPr>
          <w:ilvl w:val="0"/>
          <w:numId w:val="11"/>
        </w:numPr>
      </w:pPr>
      <w:r>
        <w:rPr>
          <w:sz w:val="22"/>
          <w:szCs w:val="22"/>
        </w:rPr>
        <w:t xml:space="preserve">System loads the assigned program thresholds and the submission academic summary.</w:t>
      </w:r>
    </w:p>
    <w:p>
      <w:pPr>
        <w:pStyle w:val="ListParagraph"/>
        <w:numPr>
          <w:ilvl w:val="0"/>
          <w:numId w:val="11"/>
        </w:numPr>
      </w:pPr>
      <w:r>
        <w:rPr>
          <w:sz w:val="22"/>
          <w:szCs w:val="22"/>
        </w:rPr>
        <w:t xml:space="preserve">System compares GWA, units, failed, incomplete, dropped, and submission timestamp against policy (BR01/BR02/BR03).</w:t>
      </w:r>
    </w:p>
    <w:p>
      <w:pPr>
        <w:pStyle w:val="ListParagraph"/>
        <w:numPr>
          <w:ilvl w:val="0"/>
          <w:numId w:val="11"/>
        </w:numPr>
      </w:pPr>
      <w:r>
        <w:rPr>
          <w:sz w:val="22"/>
          <w:szCs w:val="22"/>
        </w:rPr>
        <w:t xml:space="preserve">System displays each check result and the overall outcome (Compliant or With Deficiency) with specific reasons.</w:t>
      </w:r>
    </w:p>
    <w:p>
      <w:pPr>
        <w:pStyle w:val="ListParagraph"/>
        <w:numPr>
          <w:ilvl w:val="0"/>
          <w:numId w:val="11"/>
        </w:numPr>
      </w:pPr>
      <w:r>
        <w:rPr>
          <w:sz w:val="22"/>
          <w:szCs w:val="22"/>
        </w:rPr>
        <w:t xml:space="preserve">Staff confirms the evaluation.</w:t>
      </w:r>
    </w:p>
    <w:p>
      <w:pPr>
        <w:pStyle w:val="ListParagraph"/>
        <w:numPr>
          <w:ilvl w:val="0"/>
          <w:numId w:val="11"/>
        </w:numPr>
        <w:spacing w:after="80"/>
      </w:pPr>
      <w:r>
        <w:rPr>
          <w:sz w:val="22"/>
          <w:szCs w:val="22"/>
        </w:rPr>
        <w:t xml:space="preserve">System persists compliance_result, reasons, actor, and timestamp.</w:t>
      </w:r>
    </w:p>
    <w:p>
      <w:pPr>
        <w:spacing w:after="40"/>
      </w:pPr>
      <w:r>
        <w:rPr>
          <w:b/>
          <w:bCs/>
          <w:sz w:val="22"/>
          <w:szCs w:val="22"/>
        </w:rPr>
        <w:t xml:space="preserve">Alternative flows:</w:t>
      </w:r>
    </w:p>
    <w:p>
      <w:pPr>
        <w:pStyle w:val="ListParagraph"/>
        <w:numPr>
          <w:ilvl w:val="0"/>
          <w:numId w:val="12"/>
        </w:numPr>
      </w:pPr>
      <w:r>
        <w:rPr>
          <w:sz w:val="22"/>
          <w:szCs w:val="22"/>
        </w:rPr>
        <w:t xml:space="preserve">Staff cancels → no evaluation record is written.</w:t>
      </w:r>
    </w:p>
    <w:p>
      <w:pPr>
        <w:spacing w:after="40"/>
      </w:pPr>
      <w:r>
        <w:rPr>
          <w:b/>
          <w:bCs/>
          <w:sz w:val="22"/>
          <w:szCs w:val="22"/>
        </w:rPr>
        <w:t xml:space="preserve">Exception flows:</w:t>
      </w:r>
    </w:p>
    <w:p>
      <w:pPr>
        <w:pStyle w:val="ListParagraph"/>
        <w:numPr>
          <w:ilvl w:val="0"/>
          <w:numId w:val="13"/>
        </w:numPr>
      </w:pPr>
      <w:r>
        <w:rPr>
          <w:sz w:val="22"/>
          <w:szCs w:val="22"/>
        </w:rPr>
        <w:t xml:space="preserve">Submission not yet verified → system blocks evaluation and displays message (linked BR04, FR07).</w:t>
      </w:r>
    </w:p>
    <w:p>
      <w:pPr>
        <w:spacing w:after="40"/>
      </w:pPr>
      <w:r>
        <w:rPr>
          <w:sz w:val="22"/>
          <w:szCs w:val="22"/>
        </w:rPr>
        <w:t xml:space="preserve">Postcondition: Compliance result and reasons are stored; audit entry written; submission is ready for renewal decision.</w:t>
      </w:r>
    </w:p>
    <w:p>
      <w:pPr>
        <w:spacing w:after="200"/>
      </w:pPr>
      <w:r>
        <w:rPr>
          <w:i/>
          <w:iCs/>
          <w:sz w:val="20"/>
          <w:szCs w:val="20"/>
        </w:rPr>
        <w:t xml:space="preserve">Linked: FR07, BR01, BR02, BR03, BR04, BR05</w:t>
      </w:r>
    </w:p>
    <w:p>
      <w:pPr>
        <w:pStyle w:val="Heading2"/>
      </w:pPr>
      <w:r>
        <w:t xml:space="preserve">Entity-Relationship Diagram (Core Entities)</w:t>
      </w:r>
    </w:p>
    <w:p>
      <w:pPr>
        <w:spacing w:after="120"/>
      </w:pPr>
      <w:r>
        <w:rPr>
          <w:sz w:val="22"/>
          <w:szCs w:val="22"/>
        </w:rPr>
        <w:t xml:space="preserve">Core entities and relationships (textual ERD):</w:t>
      </w:r>
    </w:p>
    <w:p>
      <w:pPr>
        <w:spacing w:after="60"/>
      </w:pPr>
      <w:r>
        <w:rPr>
          <w:rFonts w:ascii="Consolas" w:cs="Consolas" w:eastAsia="Consolas" w:hAnsi="Consolas"/>
          <w:sz w:val="20"/>
          <w:szCs w:val="20"/>
        </w:rPr>
        <w:t xml:space="preserve">profiles (user_id PK, full_name, role [scholar|staff], email, created_at)</w:t>
      </w:r>
    </w:p>
    <w:p>
      <w:pPr>
        <w:spacing w:after="60"/>
      </w:pPr>
      <w:r>
        <w:rPr>
          <w:rFonts w:ascii="Consolas" w:cs="Consolas" w:eastAsia="Consolas" w:hAnsi="Consolas"/>
          <w:sz w:val="20"/>
          <w:szCs w:val="20"/>
        </w:rPr>
        <w:t xml:space="preserve">scholarship_programs (program_id PK, name, max_gwa, min_units, max_failed, max_incomplete, max_dropped, deadline)</w:t>
      </w:r>
    </w:p>
    <w:p>
      <w:pPr>
        <w:spacing w:after="60"/>
      </w:pPr>
      <w:r>
        <w:rPr>
          <w:rFonts w:ascii="Consolas" w:cs="Consolas" w:eastAsia="Consolas" w:hAnsi="Consolas"/>
          <w:sz w:val="20"/>
          <w:szCs w:val="20"/>
        </w:rPr>
        <w:t xml:space="preserve">scholars (scholar_id PK, student_id UNIQUE, full_name, program_id FK → scholarship_programs, user_id FK → profiles nullable)</w:t>
      </w:r>
    </w:p>
    <w:p>
      <w:pPr>
        <w:spacing w:after="60"/>
      </w:pPr>
      <w:r>
        <w:rPr>
          <w:rFonts w:ascii="Consolas" w:cs="Consolas" w:eastAsia="Consolas" w:hAnsi="Consolas"/>
          <w:sz w:val="20"/>
          <w:szCs w:val="20"/>
        </w:rPr>
        <w:t xml:space="preserve">submissions (submission_id PK, scholar_id FK, academic_year, semester, gwa, units, failed, incomplete, dropped, evidence_ref, submitted_at, verification_status [pending|verified|returned], verification_reason, verified_by, verified_at)</w:t>
      </w:r>
    </w:p>
    <w:p>
      <w:pPr>
        <w:spacing w:after="60"/>
      </w:pPr>
      <w:r>
        <w:rPr>
          <w:rFonts w:ascii="Consolas" w:cs="Consolas" w:eastAsia="Consolas" w:hAnsi="Consolas"/>
          <w:sz w:val="20"/>
          <w:szCs w:val="20"/>
        </w:rPr>
        <w:t xml:space="preserve">    UNIQUE (scholar_id, academic_year, semester)</w:t>
      </w:r>
    </w:p>
    <w:p>
      <w:pPr>
        <w:spacing w:after="60"/>
      </w:pPr>
      <w:r>
        <w:rPr>
          <w:rFonts w:ascii="Consolas" w:cs="Consolas" w:eastAsia="Consolas" w:hAnsi="Consolas"/>
          <w:sz w:val="20"/>
          <w:szCs w:val="20"/>
        </w:rPr>
        <w:t xml:space="preserve">evaluations (evaluation_id PK, submission_id FK UNIQUE, compliance_result [compliant|with_deficiency], reasons TEXT[], evaluated_by, evaluated_at)</w:t>
      </w:r>
    </w:p>
    <w:p>
      <w:pPr>
        <w:spacing w:after="60"/>
      </w:pPr>
      <w:r>
        <w:rPr>
          <w:rFonts w:ascii="Consolas" w:cs="Consolas" w:eastAsia="Consolas" w:hAnsi="Consolas"/>
          <w:sz w:val="20"/>
          <w:szCs w:val="20"/>
        </w:rPr>
        <w:t xml:space="preserve">renewal_decisions (decision_id PK, submission_id FK UNIQUE, decision [approved|held], notes, decided_by, decided_at)</w:t>
      </w:r>
    </w:p>
    <w:p>
      <w:pPr>
        <w:spacing w:after="200"/>
      </w:pPr>
      <w:r>
        <w:rPr>
          <w:rFonts w:ascii="Consolas" w:cs="Consolas" w:eastAsia="Consolas" w:hAnsi="Consolas"/>
          <w:sz w:val="20"/>
          <w:szCs w:val="20"/>
        </w:rPr>
        <w:t xml:space="preserve">audit_log (log_id PK, entity_type, entity_id, action, actor_id, details JSONB, created_at)</w:t>
      </w:r>
    </w:p>
    <w:p>
      <w:pPr>
        <w:spacing w:after="80"/>
      </w:pPr>
      <w:r>
        <w:rPr>
          <w:b/>
          <w:bCs/>
          <w:sz w:val="22"/>
          <w:szCs w:val="22"/>
        </w:rPr>
        <w:t xml:space="preserve">Cardinalities:</w:t>
      </w:r>
    </w:p>
    <w:p>
      <w:pPr>
        <w:spacing w:after="40"/>
      </w:pPr>
      <w:r>
        <w:rPr>
          <w:sz w:val="22"/>
          <w:szCs w:val="22"/>
        </w:rPr>
        <w:t xml:space="preserve">• One scholarship_program has many scholars (1 : N)</w:t>
      </w:r>
    </w:p>
    <w:p>
      <w:pPr>
        <w:spacing w:after="40"/>
      </w:pPr>
      <w:r>
        <w:rPr>
          <w:sz w:val="22"/>
          <w:szCs w:val="22"/>
        </w:rPr>
        <w:t xml:space="preserve">• One scholar has many submissions (1 : N) but at most one per academic-year + semester</w:t>
      </w:r>
    </w:p>
    <w:p>
      <w:pPr>
        <w:spacing w:after="40"/>
      </w:pPr>
      <w:r>
        <w:rPr>
          <w:sz w:val="22"/>
          <w:szCs w:val="22"/>
        </w:rPr>
        <w:t xml:space="preserve">• One submission has zero or one evaluation (1 : 0..1)</w:t>
      </w:r>
    </w:p>
    <w:p>
      <w:pPr>
        <w:spacing w:after="40"/>
      </w:pPr>
      <w:r>
        <w:rPr>
          <w:sz w:val="22"/>
          <w:szCs w:val="22"/>
        </w:rPr>
        <w:t xml:space="preserve">• One submission has zero or one renewal decision (1 : 0..1)</w:t>
      </w:r>
    </w:p>
    <w:p>
      <w:pPr>
        <w:spacing w:after="200"/>
      </w:pPr>
      <w:r>
        <w:rPr>
          <w:sz w:val="22"/>
          <w:szCs w:val="22"/>
        </w:rPr>
        <w:t xml:space="preserve">• Audit log is append-only and loosely linked by entity_type + entity_id</w:t>
      </w:r>
    </w:p>
    <w:p>
      <w:pPr>
        <w:pStyle w:val="Heading1"/>
      </w:pPr>
      <w:r>
        <w:t xml:space="preserve">A6  Traceability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1440"/>
        <w:gridCol w:w="1440"/>
        <w:gridCol w:w="2160"/>
        <w:gridCol w:w="2700"/>
      </w:tblGrid>
      <w:tr>
        <w:tc>
          <w:tcPr>
            <w:tcW w:type="dxa" w:w="90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FR</w:t>
            </w:r>
          </w:p>
        </w:tc>
        <w:tc>
          <w:tcPr>
            <w:tcW w:type="dxa" w:w="144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Actor</w:t>
            </w:r>
          </w:p>
        </w:tc>
        <w:tc>
          <w:tcPr>
            <w:tcW w:type="dxa" w:w="144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Use Case</w:t>
            </w:r>
          </w:p>
        </w:tc>
        <w:tc>
          <w:tcPr>
            <w:tcW w:type="dxa" w:w="144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Business Rule</w:t>
            </w:r>
          </w:p>
        </w:tc>
        <w:tc>
          <w:tcPr>
            <w:tcW w:type="dxa" w:w="216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Screen / Function</w:t>
            </w:r>
          </w:p>
        </w:tc>
        <w:tc>
          <w:tcPr>
            <w:tcW w:type="dxa" w:w="2700"/>
            <w:tcBorders>
              <w:top w:val="single" w:color="999999" w:sz="4"/>
              <w:left w:val="single" w:color="999999" w:sz="4"/>
              <w:bottom w:val="single" w:color="999999" w:sz="4"/>
              <w:right w:val="single" w:color="999999" w:sz="4"/>
            </w:tcBorders>
            <w:shd w:fill="1E3A5F" w:val="clear"/>
            <w:vAlign w:val="center"/>
          </w:tcPr>
          <w:p>
            <w:pPr>
              <w:jc w:val="center"/>
            </w:pPr>
            <w:r>
              <w:rPr>
                <w:rFonts w:ascii="Arial" w:cs="Arial" w:eastAsia="Arial" w:hAnsi="Arial"/>
                <w:b/>
                <w:bCs/>
                <w:sz w:val="18"/>
                <w:szCs w:val="18"/>
              </w:rPr>
              <w:t xml:space="preserve">Test &amp; Expected Result</w:t>
            </w:r>
          </w:p>
        </w:tc>
      </w:tr>
      <w:tr>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FR04</w:t>
            </w:r>
          </w:p>
        </w:tc>
        <w:tc>
          <w:tcPr>
            <w:tcW w:type="dxa" w:w="144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Scholar</w:t>
            </w:r>
          </w:p>
        </w:tc>
        <w:tc>
          <w:tcPr>
            <w:tcW w:type="dxa" w:w="144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UC03</w:t>
            </w:r>
          </w:p>
        </w:tc>
        <w:tc>
          <w:tcPr>
            <w:tcW w:type="dxa" w:w="144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BR03, BR04</w:t>
            </w:r>
          </w:p>
        </w:tc>
        <w:tc>
          <w:tcPr>
            <w:tcW w:type="dxa" w:w="216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Grade Submission form</w:t>
            </w:r>
          </w:p>
        </w:tc>
        <w:tc>
          <w:tcPr>
            <w:tcW w:type="dxa" w:w="27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TC01/TC07 – valid data accepted; duplicate/invalid rejected</w:t>
            </w:r>
          </w:p>
        </w:tc>
      </w:tr>
      <w:tr>
        <w:tc>
          <w:tcPr>
            <w:tcW w:type="dxa" w:w="90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FR06</w:t>
            </w:r>
          </w:p>
        </w:tc>
        <w:tc>
          <w:tcPr>
            <w:tcW w:type="dxa" w:w="144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Staff</w:t>
            </w:r>
          </w:p>
        </w:tc>
        <w:tc>
          <w:tcPr>
            <w:tcW w:type="dxa" w:w="144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UC04, UC05</w:t>
            </w:r>
          </w:p>
        </w:tc>
        <w:tc>
          <w:tcPr>
            <w:tcW w:type="dxa" w:w="144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BR04</w:t>
            </w:r>
          </w:p>
        </w:tc>
        <w:tc>
          <w:tcPr>
            <w:tcW w:type="dxa" w:w="216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Verification panel</w:t>
            </w:r>
          </w:p>
        </w:tc>
        <w:tc>
          <w:tcPr>
            <w:tcW w:type="dxa" w:w="270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TC06/TC09 – return → correct → Pending; history preserved</w:t>
            </w:r>
          </w:p>
        </w:tc>
      </w:tr>
      <w:tr>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FR07</w:t>
            </w:r>
          </w:p>
        </w:tc>
        <w:tc>
          <w:tcPr>
            <w:tcW w:type="dxa" w:w="144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Staff</w:t>
            </w:r>
          </w:p>
        </w:tc>
        <w:tc>
          <w:tcPr>
            <w:tcW w:type="dxa" w:w="144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UC06</w:t>
            </w:r>
          </w:p>
        </w:tc>
        <w:tc>
          <w:tcPr>
            <w:tcW w:type="dxa" w:w="144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BR01–BR05</w:t>
            </w:r>
          </w:p>
        </w:tc>
        <w:tc>
          <w:tcPr>
            <w:tcW w:type="dxa" w:w="216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Compliance evaluation screen</w:t>
            </w:r>
          </w:p>
        </w:tc>
        <w:tc>
          <w:tcPr>
            <w:tcW w:type="dxa" w:w="27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sz w:val="16"/>
                <w:szCs w:val="16"/>
              </w:rPr>
              <w:t xml:space="preserve">TC01–TC05 – correct Compliant / With Deficiency + reasons</w:t>
            </w:r>
          </w:p>
        </w:tc>
      </w:tr>
      <w:tr>
        <w:tc>
          <w:tcPr>
            <w:tcW w:type="dxa" w:w="90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FR08</w:t>
            </w:r>
          </w:p>
        </w:tc>
        <w:tc>
          <w:tcPr>
            <w:tcW w:type="dxa" w:w="144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Staff</w:t>
            </w:r>
          </w:p>
        </w:tc>
        <w:tc>
          <w:tcPr>
            <w:tcW w:type="dxa" w:w="144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UC07</w:t>
            </w:r>
          </w:p>
        </w:tc>
        <w:tc>
          <w:tcPr>
            <w:tcW w:type="dxa" w:w="144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BR06</w:t>
            </w:r>
          </w:p>
        </w:tc>
        <w:tc>
          <w:tcPr>
            <w:tcW w:type="dxa" w:w="216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Renewal decision panel</w:t>
            </w:r>
          </w:p>
        </w:tc>
        <w:tc>
          <w:tcPr>
            <w:tcW w:type="dxa" w:w="2700"/>
            <w:tcBorders>
              <w:top w:val="single" w:color="999999" w:sz="4"/>
              <w:left w:val="single" w:color="999999" w:sz="4"/>
              <w:bottom w:val="single" w:color="999999" w:sz="4"/>
              <w:right w:val="single" w:color="999999" w:sz="4"/>
            </w:tcBorders>
            <w:shd w:fill="F5F8FC" w:val="clear"/>
            <w:vAlign w:val="center"/>
          </w:tcPr>
          <w:p>
            <w:pPr>
              <w:jc w:val="left"/>
            </w:pPr>
            <w:r>
              <w:rPr>
                <w:rFonts w:ascii="Arial" w:cs="Arial" w:eastAsia="Arial" w:hAnsi="Arial"/>
                <w:b w:val="false"/>
                <w:bCs w:val="false"/>
                <w:sz w:val="16"/>
                <w:szCs w:val="16"/>
              </w:rPr>
              <w:t xml:space="preserve">TC10 – approve only Compliant; hold deficient; scholar cannot change</w:t>
            </w:r>
          </w:p>
        </w:tc>
      </w:tr>
    </w:tbl>
    <w:p>
      <w:pPr>
        <w:spacing w:after="80" w:before="200"/>
      </w:pPr>
      <w:r>
        <w:rPr>
          <w:b/>
          <w:bCs/>
          <w:sz w:val="22"/>
          <w:szCs w:val="22"/>
        </w:rPr>
        <w:t xml:space="preserve">Planned requirement not fully implemented in MVP:</w:t>
      </w:r>
    </w:p>
    <w:p>
      <w:pPr>
        <w:spacing w:after="200"/>
      </w:pPr>
      <w:r>
        <w:rPr>
          <w:sz w:val="22"/>
          <w:szCs w:val="22"/>
        </w:rPr>
        <w:t xml:space="preserve">Policy-exception / appeal workflow is explicitly out of examination scope and is therefore not implemented. Staff may only record Approved or Held; they cannot override a With-Deficiency evaluation inside the system.</w:t>
      </w:r>
    </w:p>
    <w:p>
      <w:pPr>
        <w:spacing w:before="300"/>
        <w:jc w:val="center"/>
      </w:pPr>
      <w:r>
        <w:rPr>
          <w:i/>
          <w:iCs/>
          <w:color w:val="666666"/>
          <w:sz w:val="20"/>
          <w:szCs w:val="20"/>
        </w:rPr>
        <w:t xml:space="preserve">— End of Part I Analysis and Design Document —</w:t>
      </w:r>
    </w:p>
    <w:p>
      <w:pPr>
        <w:spacing w:before="80"/>
        <w:jc w:val="center"/>
      </w:pPr>
      <w:r>
        <w:rPr>
          <w:color w:val="666666"/>
          <w:sz w:val="18"/>
          <w:szCs w:val="18"/>
        </w:rPr>
        <w:t xml:space="preserve">This document serves as the requirements baseline for the Part II build (scholartrack-sad-exam).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pPr>
    <w:r>
      <w:rPr>
        <w:rFonts w:ascii="Arial" w:cs="Arial" w:eastAsia="Arial" w:hAnsi="Arial"/>
        <w:color w:val="666666"/>
        <w:sz w:val="18"/>
        <w:szCs w:val="18"/>
      </w:rPr>
      <w:t xml:space="preserve">Systems Analysis and Design | Section B | ScholarTrack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lowerLetter"/>
      <w:lvlText w:val="%1."/>
      <w:lvlJc w:val="left"/>
      <w:pPr>
        <w:ind w:left="720" w:hanging="360"/>
      </w:pPr>
    </w:lvl>
  </w:abstractNum>
  <w:abstractNum w:abstractNumId="12" w15:restartNumberingAfterBreak="0">
    <w:multiLevelType w:val="hybridMultilevel"/>
    <w:lvl w:ilvl="0" w15:tentative="1">
      <w:start w:val="1"/>
      <w:numFmt w:val="lowerLetter"/>
      <w:lvlText w:val="%1."/>
      <w:lvlJc w:val="left"/>
      <w:pPr>
        <w:ind w:left="720" w:hanging="360"/>
      </w:pPr>
    </w:lvl>
  </w:abstractNum>
  <w:abstractNum w:abstractNumId="1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9"/>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E3A5F"/>
      <w:sz w:val="28"/>
      <w:szCs w:val="28"/>
    </w:rPr>
  </w:style>
  <w:style w:type="paragraph" w:styleId="Heading2">
    <w:name w:val="Heading 2"/>
    <w:basedOn w:val="Normal"/>
    <w:next w:val="Normal"/>
    <w:pPr>
      <w:spacing w:after="160" w:before="280"/>
      <w:outlineLvl w:val="1"/>
    </w:pPr>
    <w:rPr>
      <w:rFonts w:ascii="Arial" w:cs="Arial" w:eastAsia="Arial" w:hAnsi="Arial"/>
      <w:b/>
      <w:bCs/>
      <w:color w:val="2E5A8F"/>
      <w:sz w:val="24"/>
      <w:szCs w:val="24"/>
    </w:rPr>
  </w:style>
  <w:style w:type="paragraph" w:styleId="Heading3">
    <w:name w:val="Heading 3"/>
    <w:basedOn w:val="Normal"/>
    <w:next w:val="Normal"/>
    <w:pPr>
      <w:spacing w:after="120" w:before="200"/>
      <w:outlineLvl w:val="2"/>
    </w:pPr>
    <w:rPr>
      <w:rFonts w:ascii="Arial" w:cs="Arial" w:eastAsia="Arial" w:hAnsi="Arial"/>
      <w:b/>
      <w:bCs/>
      <w:color w:val="3A6E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2026-10-21T00:26:29.690Z</dcterms:created>
  <dcterms:modified xsi:type="dcterms:W3CDTF">2026-10-21T00:26:29.690Z</dcterms:modified>
</cp:coreProperties>
</file>

<file path=docProps/custom.xml><?xml version="1.0" encoding="utf-8"?>
<Properties xmlns="http://schemas.openxmlformats.org/officeDocument/2006/custom-properties" xmlns:vt="http://schemas.openxmlformats.org/officeDocument/2006/docPropsVTypes"/>
</file>