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994" w:right="994" w:bottom="994" w:left="99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6"/>
      </w:rPr>
      <w:t xml:space="preserve">- </w:t>
    </w:r>
    <w:r>
      <w:rPr>
        <w:rFonts w:ascii="Arial" w:hAnsi="Arial"/>
        <w:color w:val="999999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999999"/>
        <w:sz w:val="16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461" w:hanging="259"/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461" w:hanging="259"/>
      <w:contextualSpacing/>
    </w:pPr>
    <w:rPr>
      <w:rFonts w:ascii="Arial" w:hAnsi="Arial" w:eastAsia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00" w:line="259" w:lineRule="auto"/>
      <w:ind w:left="360" w:right="144"/>
    </w:pPr>
    <w:rPr>
      <w:rFonts w:ascii="Arial" w:hAnsi="Arial" w:eastAsia="Arial"/>
      <w:i/>
      <w:iCs/>
      <w:color w:val="1F3864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retained Word template</dc:title>
  <dc:subject>heatwave-reference-v1</dc:subject>
  <dc:creator/>
  <cp:keywords/>
  <dc:description>Clean layout template distilled from the approved reference; contains no meeting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