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For the act(article) of NS regarding keeping medical record of public online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http://novascotia.ca/news/release/?id=20120402002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SECDC follows following terms in collection of medical record that is stored on a Desktop computer at day 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http://foipop.ns.ca/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http://www.mcafee.com/ca/resources/white-papers/wp-security-privacy-medical-records.pdf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an online method can be insecure at any moment if you are using any third party tools specially if they are free and don’t own any facility, however creating own database and use some advanced encryption algorithms would be much more secure and satisfied.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vascotia.ca/news/release/?id=20120402002" TargetMode="External"/><Relationship Id="rId6" Type="http://schemas.openxmlformats.org/officeDocument/2006/relationships/hyperlink" Target="http://foipop.ns.ca/" TargetMode="External"/><Relationship Id="rId7" Type="http://schemas.openxmlformats.org/officeDocument/2006/relationships/hyperlink" Target="http://www.mcafee.com/ca/resources/white-papers/wp-security-privacy-medical-records.pdf" TargetMode="External"/></Relationships>
</file>