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X3c3c88cd509c3932ad4f410c8923351b2c5a949"/>
    <w:p>
      <w:pPr>
        <w:pStyle w:val="Heading1"/>
      </w:pPr>
      <w:r>
        <w:rPr>
          <w:color w:val="000000"/>
        </w:rPr>
        <w:t xml:space="preserve">Counselorbot: un</w:t>
      </w:r>
      <w:r>
        <w:rPr>
          <w:color w:val="000000"/>
        </w:rPr>
        <w:t xml:space="preserve"> </w:t>
      </w:r>
      <w:r>
        <w:rPr>
          <w:iCs/>
          <w:i/>
          <w:color w:val="000000"/>
        </w:rPr>
        <w:t xml:space="preserve">chatbot</w:t>
      </w:r>
      <w:r>
        <w:rPr>
          <w:color w:val="000000"/>
        </w:rPr>
        <w:t xml:space="preserve"> </w:t>
      </w:r>
      <w:r>
        <w:rPr>
          <w:color w:val="000000"/>
        </w:rPr>
        <w:t xml:space="preserve">per l’orientamento</w:t>
      </w:r>
    </w:p>
    <w:p>
      <w:pPr>
        <w:pStyle w:val="FirstParagraph"/>
        <w:jc w:val="both"/>
      </w:pPr>
      <w:r>
        <w:t xml:space="preserve">Abstract (italiano)</w:t>
      </w:r>
    </w:p>
    <w:p>
      <w:pPr>
        <w:pStyle w:val="BodyText"/>
        <w:jc w:val="both"/>
      </w:pPr>
      <w:r>
        <w:t xml:space="preserve">L’articolo presenta Counselorbot, un</w:t>
      </w:r>
      <w:r>
        <w:t xml:space="preserve"> </w:t>
      </w:r>
      <w:r>
        <w:rPr>
          <w:iCs/>
          <w:i/>
        </w:rPr>
        <w:t xml:space="preserve">chatbot</w:t>
      </w:r>
      <w:r>
        <w:t xml:space="preserve"> </w:t>
      </w:r>
      <w:r>
        <w:t xml:space="preserve">basato su LLM per l’autovalutazione guidata delle competenze strategiche degli studenti. Il lavoro descrive l’architettura ibrida del sistema — che combina passi guidati deterministici con la flessibilità di un LLM — e il framework delle competenze strategiche (QSA) su cui si basa. La valutazione, condotta su 34 partecipanti confrontando due versioni (CB-SBS e CB-C), suggerisce tendenze positive in 9 dimensioni su 10, con incrementi in facilità d’uso (Δ = +0,79) e fiducia (Δ = +0,65). Il lavoro si colloca nella fase di test del modello ADDIE e discute limiti e direzioni di sviluppo.</w:t>
      </w:r>
    </w:p>
    <w:p>
      <w:pPr>
        <w:pStyle w:val="BodyText"/>
        <w:jc w:val="both"/>
      </w:pPr>
      <w:r>
        <w:t xml:space="preserve">Abstract (inglese)</w:t>
      </w:r>
    </w:p>
    <w:p>
      <w:pPr>
        <w:pStyle w:val="BodyText"/>
        <w:jc w:val="both"/>
      </w:pPr>
      <w:r>
        <w:t xml:space="preserve">This paper presents Counselorbot, an LLM-based conversational assistant for guided self-assessment of students’ strategic competences. The paper describes the hybrid architecture — combining deterministic guided steps with LLM flexibility — and the strategic competences framework (QSA) it builds on. The evaluation, carried out on 34 participants comparing two versions (CB-SBS and CB-C), suggests positive trends in 9 out of 10 dimensions, with increases in ease of use (Δ = +0.79) and trust (Δ = +0.65). The study is positioned within the test phase of the ADDIE model and discusses limitations and future directions.</w:t>
      </w:r>
    </w:p>
    <w:p>
      <w:pPr>
        <w:pStyle w:val="BodyText"/>
        <w:jc w:val="both"/>
      </w:pPr>
      <w:r>
        <w:t xml:space="preserve">Parole chiave: autovalutazione; competenze strategiche; LLM;</w:t>
      </w:r>
      <w:r>
        <w:t xml:space="preserve"> </w:t>
      </w:r>
      <w:r>
        <w:rPr>
          <w:iCs/>
          <w:i/>
        </w:rPr>
        <w:t xml:space="preserve">chatbot</w:t>
      </w:r>
      <w:r>
        <w:t xml:space="preserve"> </w:t>
      </w:r>
      <w:r>
        <w:t xml:space="preserve">educativo; QSA; intelligenza artificiale generativa; ADDIE Keywords: self-assessment; strategic competences; LLM; educational</w:t>
      </w:r>
      <w:r>
        <w:t xml:space="preserve"> </w:t>
      </w:r>
      <w:r>
        <w:rPr>
          <w:iCs/>
          <w:i/>
        </w:rPr>
        <w:t xml:space="preserve">chatbot</w:t>
      </w:r>
      <w:r>
        <w:t xml:space="preserve">; QSA; generative AI; ADDIE</w:t>
      </w:r>
    </w:p>
    <w:p>
      <w:pPr>
        <w:pStyle w:val="BodyText"/>
        <w:jc w:val="both"/>
      </w:pPr>
      <w:r>
        <w:t xml:space="preserve">Nota biografica [da completare: max 300 battute]</w:t>
      </w:r>
    </w:p>
    <w:bookmarkStart w:id="20" w:name="introduzione"/>
    <w:p>
      <w:pPr>
        <w:pStyle w:val="Heading2"/>
      </w:pPr>
      <w:r>
        <w:rPr>
          <w:color w:val="000000"/>
        </w:rPr>
        <w:t xml:space="preserve">Introduzione</w:t>
      </w:r>
    </w:p>
    <w:p>
      <w:pPr>
        <w:pStyle w:val="FirstParagraph"/>
        <w:jc w:val="both"/>
      </w:pPr>
      <w:r>
        <w:t xml:space="preserve">Nel panorama dell’orientamento scolastico e professionale, i questionari di autovalutazione occupano un ruolo importante (Pellerey et al. 2013). Presentano allo studente una serie di affermazioni — su stili di studio, strategie, concentrazione, emozioni, studio in gruppo — chiedendo il grado di accordo. Al termine, restituiscono un profilo che sintetizza i risultati in fattori e brevi commenti. Questo esito può essere oggetto di riflessione personale o di discussione con un tutor, con il docente o con un orientatore; tale accompagnamento trova però un limite strutturale nella disponibilità di chi lo svolge. Inoltre, la letteratura evidenzia come la mancanza di supporto riduca l’efficacia di questi strumenti e la capacità di tradurre le indicazioni ricevute in azioni concrete (Wollny et al. 2021).</w:t>
      </w:r>
    </w:p>
    <w:p>
      <w:pPr>
        <w:pStyle w:val="BodyText"/>
        <w:jc w:val="both"/>
      </w:pPr>
      <w:r>
        <w:t xml:space="preserve">I recenti assistenti conversazionali basati su</w:t>
      </w:r>
      <w:r>
        <w:t xml:space="preserve"> </w:t>
      </w:r>
      <w:r>
        <w:rPr>
          <w:iCs/>
          <w:i/>
        </w:rPr>
        <w:t xml:space="preserve">Large Language Model</w:t>
      </w:r>
      <w:r>
        <w:t xml:space="preserve"> </w:t>
      </w:r>
      <w:r>
        <w:t xml:space="preserve">(LLM) possono costituire un nuovo strumento di supporto per i processi di orientamento ricoprendo alcune funzioni che fino ad ora erano competenze esclusivamente umane.</w:t>
      </w:r>
    </w:p>
    <w:p>
      <w:pPr>
        <w:pStyle w:val="BodyText"/>
        <w:jc w:val="both"/>
      </w:pPr>
      <w:r>
        <w:t xml:space="preserve">Per verificare questa ipotesi è stato sviluppato</w:t>
      </w:r>
      <w:r>
        <w:t xml:space="preserve"> </w:t>
      </w:r>
      <w:r>
        <w:rPr>
          <w:iCs/>
          <w:i/>
        </w:rPr>
        <w:t xml:space="preserve">Counselorbot</w:t>
      </w:r>
      <w:r>
        <w:t xml:space="preserve">, un</w:t>
      </w:r>
      <w:r>
        <w:t xml:space="preserve"> </w:t>
      </w:r>
      <w:r>
        <w:rPr>
          <w:iCs/>
          <w:i/>
        </w:rPr>
        <w:t xml:space="preserve">chatbot</w:t>
      </w:r>
      <w:r>
        <w:t xml:space="preserve"> </w:t>
      </w:r>
      <w:r>
        <w:t xml:space="preserve">implementato in due versioni. La prima, denominata</w:t>
      </w:r>
      <w:r>
        <w:t xml:space="preserve"> </w:t>
      </w:r>
      <w:r>
        <w:rPr>
          <w:iCs/>
          <w:i/>
        </w:rPr>
        <w:t xml:space="preserve">Counselorbot-Conversetion</w:t>
      </w:r>
      <w:r>
        <w:t xml:space="preserve"> </w:t>
      </w:r>
      <w:r>
        <w:t xml:space="preserve">(CB-C), adotta un approccio puramente conversazionale; la seconda</w:t>
      </w:r>
      <w:r>
        <w:t xml:space="preserve"> </w:t>
      </w:r>
      <w:r>
        <w:rPr>
          <w:iCs/>
          <w:i/>
        </w:rPr>
        <w:t xml:space="preserve">Counselorbot-Step-by-Step</w:t>
      </w:r>
      <w:r>
        <w:t xml:space="preserve"> </w:t>
      </w:r>
      <w:r>
        <w:t xml:space="preserve">(CB-SBS), presenta un’architettura strutturato in passi prestabiliti.</w:t>
      </w:r>
    </w:p>
    <w:p>
      <w:pPr>
        <w:pStyle w:val="BodyText"/>
        <w:jc w:val="both"/>
      </w:pPr>
      <w:r>
        <w:t xml:space="preserve">Le domande di ricerca sono due: D1) si può costruire un</w:t>
      </w:r>
      <w:r>
        <w:t xml:space="preserve"> </w:t>
      </w:r>
      <w:r>
        <w:rPr>
          <w:iCs/>
          <w:i/>
        </w:rPr>
        <w:t xml:space="preserve">chatbot mentoring</w:t>
      </w:r>
      <w:r>
        <w:t xml:space="preserve"> </w:t>
      </w:r>
      <w:r>
        <w:t xml:space="preserve">efficace? D2) quale architettura conversazionale è più efficace, una guidata o una libera?</w:t>
      </w:r>
    </w:p>
    <w:p>
      <w:pPr>
        <w:pStyle w:val="BodyText"/>
        <w:jc w:val="both"/>
      </w:pPr>
      <w:r>
        <w:t xml:space="preserve">La ricerca si colloca tuttavia in una fase ancora esplorativa.</w:t>
      </w:r>
    </w:p>
    <w:p>
      <w:pPr>
        <w:pStyle w:val="BodyText"/>
        <w:jc w:val="both"/>
      </w:pPr>
      <w:r>
        <w:t xml:space="preserve">Il lavoro si articola in sei paragrafi. Il §1 presenta il quadro teorico e lo stato dell’arte sui</w:t>
      </w:r>
      <w:r>
        <w:t xml:space="preserve"> </w:t>
      </w:r>
      <w:r>
        <w:rPr>
          <w:iCs/>
          <w:i/>
        </w:rPr>
        <w:t xml:space="preserve">chatbot</w:t>
      </w:r>
      <w:r>
        <w:t xml:space="preserve"> </w:t>
      </w:r>
      <w:r>
        <w:t xml:space="preserve">in educazione; il §2 descrive la progettazione e l’architettura di</w:t>
      </w:r>
      <w:r>
        <w:t xml:space="preserve"> </w:t>
      </w:r>
      <w:r>
        <w:rPr>
          <w:iCs/>
          <w:i/>
        </w:rPr>
        <w:t xml:space="preserve">Counselorbot</w:t>
      </w:r>
      <w:r>
        <w:t xml:space="preserve">. Il §3 illustra la metodologia di valutazione del sistema, i cui risultati sono presentati al §4. Il §5 discute le implicazioni dei risultati e i limiti dello studio, mentre il §6 conclude tracciando le direzioni di sviluppo futuro.</w:t>
      </w:r>
    </w:p>
    <w:bookmarkEnd w:id="20"/>
    <w:bookmarkStart w:id="24" w:name="quadro-teorico-e-stato-dellarte"/>
    <w:p>
      <w:pPr>
        <w:pStyle w:val="Heading2"/>
      </w:pPr>
      <w:r>
        <w:rPr>
          <w:color w:val="000000"/>
        </w:rPr>
        <w:t xml:space="preserve">1. Quadro teorico e stato dell’arte</w:t>
      </w:r>
    </w:p>
    <w:bookmarkStart w:id="21" w:name="Xbd16a6b799e5d341a161fc0a5f7041e984aa183"/>
    <w:p>
      <w:pPr>
        <w:pStyle w:val="Heading3"/>
      </w:pPr>
      <w:r>
        <w:rPr>
          <w:color w:val="000000"/>
        </w:rPr>
        <w:t xml:space="preserve">1.1 Large Language Models in educazione: potenzialità e rischi</w:t>
      </w:r>
    </w:p>
    <w:p>
      <w:pPr>
        <w:pStyle w:val="FirstParagraph"/>
        <w:jc w:val="both"/>
      </w:pPr>
      <w:r>
        <w:t xml:space="preserve">Gli LLM — grandi reti neurali specializzate nel linguaggio (Brown et al. 2020) — costituiscono la famiglia più diffusa di strumenti di intelligenza artificiale generativa (GenAI) e sono il motore dei moderni</w:t>
      </w:r>
      <w:r>
        <w:t xml:space="preserve"> </w:t>
      </w:r>
      <w:r>
        <w:rPr>
          <w:iCs/>
          <w:i/>
        </w:rPr>
        <w:t xml:space="preserve">chatbot</w:t>
      </w:r>
      <w:r>
        <w:t xml:space="preserve">. Essi permettono di superare i limiti dei sistemi del passato basati su regole (</w:t>
      </w:r>
      <w:r>
        <w:rPr>
          <w:iCs/>
          <w:i/>
        </w:rPr>
        <w:t xml:space="preserve">rule-based</w:t>
      </w:r>
      <w:r>
        <w:t xml:space="preserve">) (ELIZA, Weizenbaum 1966), grazie alla loro capacità di produrre output adattivi e coerenti in linguaggio naturale possono rispondere a domande non previste dalla programmazione (Brown et al. 2020; Kasneci et al. 2023).</w:t>
      </w:r>
    </w:p>
    <w:p>
      <w:pPr>
        <w:pStyle w:val="BodyText"/>
        <w:jc w:val="both"/>
      </w:pPr>
      <w:r>
        <w:t xml:space="preserve">Tuttavia, l’integrazione di queste tecnologie introduce una serie di rischi e problematiche di natura tecnica, contenutistica, di accettazione della tecnologia e di dipendenza. Dal punto di vista del contenuto possono produrre risposte inaccurate o inventate, le cosiddette allucinazioni. Inoltre, possono riprodurre bias di genere e demografici o dare informazioni stereotipate (Bender et al. 2021; Tankelevitch et al. 2024).</w:t>
      </w:r>
    </w:p>
    <w:p>
      <w:pPr>
        <w:pStyle w:val="BodyText"/>
        <w:jc w:val="both"/>
      </w:pPr>
      <w:r>
        <w:t xml:space="preserve">Dal lato dell’accettazione delle risposte da parte di umani, le indicazioni fornite da un sistema artificiale tendono a essere ritenute meno credibili rispetto a quelle di un operatore umano (Cukurova et al. 2020). Infine, un affidamento sproporzionato a tali strumenti per la risoluzione di problemi o la generazione di testi rischia di creare una dipendenza eccessiva, compromettendo lo sviluppo di abilità critiche come l’analisi, la sintesi e la creatività.</w:t>
      </w:r>
    </w:p>
    <w:bookmarkEnd w:id="21"/>
    <w:bookmarkStart w:id="22" w:name="X7e4dc5fa5ba1b52309736d98c86658002441900"/>
    <w:p>
      <w:pPr>
        <w:pStyle w:val="Heading3"/>
      </w:pPr>
      <w:r>
        <w:rPr>
          <w:color w:val="000000"/>
        </w:rPr>
        <w:t xml:space="preserve">1.2 Chatbot educativi e tutoraggio socratico: autoregolazione, metacognizione e agency epistemica</w:t>
      </w:r>
    </w:p>
    <w:p>
      <w:pPr>
        <w:pStyle w:val="FirstParagraph"/>
        <w:jc w:val="both"/>
      </w:pPr>
      <w:r>
        <w:t xml:space="preserve">La letteratura scientifica evidenzia il potenziale dei</w:t>
      </w:r>
      <w:r>
        <w:t xml:space="preserve"> </w:t>
      </w:r>
      <w:r>
        <w:rPr>
          <w:iCs/>
          <w:i/>
        </w:rPr>
        <w:t xml:space="preserve">chatbot</w:t>
      </w:r>
      <w:r>
        <w:t xml:space="preserve"> </w:t>
      </w:r>
      <w:r>
        <w:t xml:space="preserve">educativi, le cui funzioni spaziano dall’orientamento informativo (</w:t>
      </w:r>
      <w:r>
        <w:rPr>
          <w:iCs/>
          <w:i/>
        </w:rPr>
        <w:t xml:space="preserve">informational</w:t>
      </w:r>
      <w:r>
        <w:t xml:space="preserve">) al</w:t>
      </w:r>
      <w:r>
        <w:t xml:space="preserve"> </w:t>
      </w:r>
      <w:r>
        <w:rPr>
          <w:iCs/>
          <w:i/>
        </w:rPr>
        <w:t xml:space="preserve">tutoring</w:t>
      </w:r>
      <w:r>
        <w:t xml:space="preserve"> </w:t>
      </w:r>
      <w:r>
        <w:t xml:space="preserve">disciplinare e al</w:t>
      </w:r>
      <w:r>
        <w:t xml:space="preserve"> </w:t>
      </w:r>
      <w:r>
        <w:rPr>
          <w:iCs/>
          <w:i/>
        </w:rPr>
        <w:t xml:space="preserve">mentoring</w:t>
      </w:r>
      <w:r>
        <w:t xml:space="preserve"> </w:t>
      </w:r>
      <w:r>
        <w:t xml:space="preserve">formativo (Kuhail et al., 2022; Wollny et al., 2021; Zawacki-Richter et al., 2019). Gli LLM, in particolare, possono essere condizionati nell’interazione tramite vincoli di alto livello noti come</w:t>
      </w:r>
      <w:r>
        <w:t xml:space="preserve"> </w:t>
      </w:r>
      <w:r>
        <w:rPr>
          <w:iCs/>
          <w:i/>
        </w:rPr>
        <w:t xml:space="preserve">system prompt</w:t>
      </w:r>
      <w:r>
        <w:t xml:space="preserve"> </w:t>
      </w:r>
      <w:r>
        <w:t xml:space="preserve">e</w:t>
      </w:r>
      <w:r>
        <w:t xml:space="preserve"> </w:t>
      </w:r>
      <w:r>
        <w:rPr>
          <w:iCs/>
          <w:i/>
        </w:rPr>
        <w:t xml:space="preserve">meta-prompt</w:t>
      </w:r>
      <w:r>
        <w:t xml:space="preserve">. Tali istruzioni, ricevute dal modello prima del dialogo con l’utente, ne definiscono il ruolo, il comportamento e le modalità di interazione. Inoltre, mediante tecniche di</w:t>
      </w:r>
      <w:r>
        <w:t xml:space="preserve"> </w:t>
      </w:r>
      <w:r>
        <w:rPr>
          <w:iCs/>
          <w:i/>
        </w:rPr>
        <w:t xml:space="preserve">retrieval</w:t>
      </w:r>
      <w:r>
        <w:t xml:space="preserve">, è possibile integrare nei prompt informazioni pertinenti estratte da documenti validati, migliorando l’accuratezza e l’affidabilità delle risposte (Kasneci et al., 2023). Tali sistemi sono dunque in grado di svolgere compiti finora di esclusiva competenza all’operatore umano, rendendo i processi di orientamento più scalabili e sostenibili (Neumann et al., 2021). Ad esempio, impiegati come</w:t>
      </w:r>
      <w:r>
        <w:t xml:space="preserve"> </w:t>
      </w:r>
      <w:r>
        <w:rPr>
          <w:iCs/>
          <w:i/>
        </w:rPr>
        <w:t xml:space="preserve">tutor socratici</w:t>
      </w:r>
      <w:r>
        <w:t xml:space="preserve"> </w:t>
      </w:r>
      <w:r>
        <w:t xml:space="preserve">— secondo un modello dialogico nel quale l’intelligenza artificiale guida lo studente attraverso domande progressive, anziché fornire risposte dirette — possono sostenere lo sviluppo della metacognizione e dell’</w:t>
      </w:r>
      <w:r>
        <w:rPr>
          <w:iCs/>
          <w:i/>
        </w:rPr>
        <w:t xml:space="preserve">agency</w:t>
      </w:r>
      <w:r>
        <w:t xml:space="preserve"> </w:t>
      </w:r>
      <w:r>
        <w:t xml:space="preserve">epistemica, intesa come la capacità dello studente di assumere un ruolo attivo, consapevole e responsabile nella costruzione della propria conoscenza (Antunes et al., 2025; Chang et al., 2023).</w:t>
      </w:r>
    </w:p>
    <w:p>
      <w:pPr>
        <w:pStyle w:val="BodyText"/>
        <w:jc w:val="both"/>
      </w:pPr>
      <w:r>
        <w:t xml:space="preserve">Tuttavia, è necessario che gli studenti sviluppino un senso critico verso l’AI che permetta loro di valutarne l’attendibilità e la pertinenza, al fine di integrare in maniera proficua questa interazione nel proprio percorso di apprendimento (Tankelevitch et al., 2024). Tale competenza assume particolare rilevanza, poiché le strategie di autovalutazione supportate dall’AI risultano ancora tra quelle meno conosciute dagli studenti (Liu et al., 2025).</w:t>
      </w:r>
    </w:p>
    <w:bookmarkEnd w:id="22"/>
    <w:bookmarkStart w:id="23" w:name="X02dcbc75d18e72b99aacf4db1c376484a80288e"/>
    <w:p>
      <w:pPr>
        <w:pStyle w:val="Heading3"/>
      </w:pPr>
      <w:r>
        <w:rPr>
          <w:color w:val="000000"/>
        </w:rPr>
        <w:t xml:space="preserve">1.3 Il framework delle competenze strategiche come impalcatura semantica</w:t>
      </w:r>
    </w:p>
    <w:p>
      <w:pPr>
        <w:pStyle w:val="FirstParagraph"/>
        <w:jc w:val="both"/>
      </w:pPr>
      <w:r>
        <w:t xml:space="preserve">Per comprendere meglio l’idea di</w:t>
      </w:r>
      <w:r>
        <w:t xml:space="preserve"> </w:t>
      </w:r>
      <w:r>
        <w:rPr>
          <w:iCs/>
          <w:i/>
        </w:rPr>
        <w:t xml:space="preserve">Counselorbot</w:t>
      </w:r>
      <w:r>
        <w:t xml:space="preserve"> </w:t>
      </w:r>
      <w:r>
        <w:t xml:space="preserve">è opportuno accennare brevemente al portale</w:t>
      </w:r>
      <w:r>
        <w:t xml:space="preserve"> </w:t>
      </w:r>
      <w:r>
        <w:rPr>
          <w:iCs/>
          <w:i/>
        </w:rPr>
        <w:t xml:space="preserve">Competenze strategiche</w:t>
      </w:r>
      <w:r>
        <w:t xml:space="preserve">. Il sito raccoglie strumenti di autovalutazione rivolti a studenti, docenti e operatori dell’orientamento. Questi strumenti aiutano a riflettere sulle proprie modalità di apprendimento, sulle strategie di studio, sulla motivazione, sulla gestione delle emozioni e sulla progettualità personale.</w:t>
      </w:r>
    </w:p>
    <w:p>
      <w:pPr>
        <w:pStyle w:val="BodyText"/>
        <w:jc w:val="both"/>
      </w:pPr>
      <w:r>
        <w:t xml:space="preserve">Alla base del portale vi è il costrutto di competenza strategica, sviluppato dal gruppo di ricerca coordinato da Pellerey (Pellerey et al., 2013) e radicato nella nozione aristotelico-tomista di abito (</w:t>
      </w:r>
      <w:r>
        <w:rPr>
          <w:iCs/>
          <w:i/>
        </w:rPr>
        <w:t xml:space="preserve">habitus</w:t>
      </w:r>
      <w:r>
        <w:t xml:space="preserve">). Tale costrutto indica l’insieme delle abilità cognitive, metacognitive, affettivo-motivazionali e volitive che permettono allo studente di pianificare, monitorare e regolare il proprio apprendimento.</w:t>
      </w:r>
    </w:p>
    <w:p>
      <w:pPr>
        <w:pStyle w:val="BodyText"/>
        <w:jc w:val="both"/>
      </w:pPr>
      <w:r>
        <w:t xml:space="preserve">Tra i questionari disponibili nel portale vi sono il QSA,</w:t>
      </w:r>
      <w:r>
        <w:t xml:space="preserve"> </w:t>
      </w:r>
      <w:r>
        <w:rPr>
          <w:iCs/>
          <w:i/>
        </w:rPr>
        <w:t xml:space="preserve">Questionario sulle Strategie di Apprendimento</w:t>
      </w:r>
      <w:r>
        <w:t xml:space="preserve">; il QSAr, nella sua versione ridotta; il QPCS,</w:t>
      </w:r>
      <w:r>
        <w:t xml:space="preserve"> </w:t>
      </w:r>
      <w:r>
        <w:rPr>
          <w:iCs/>
          <w:i/>
        </w:rPr>
        <w:t xml:space="preserve">Questionario sulla Percezione delle proprie Competenze Strategiche</w:t>
      </w:r>
      <w:r>
        <w:t xml:space="preserve">; il QPCC; lo ZTPI, dedicato alla prospettiva temporale; e il QAP, relativo all’adattabilità professionale.</w:t>
      </w:r>
    </w:p>
    <w:bookmarkEnd w:id="23"/>
    <w:bookmarkEnd w:id="24"/>
    <w:bookmarkStart w:id="33" w:name="progettazione-di-counselorbot"/>
    <w:p>
      <w:pPr>
        <w:pStyle w:val="Heading2"/>
      </w:pPr>
      <w:r>
        <w:rPr>
          <w:color w:val="000000"/>
        </w:rPr>
        <w:t xml:space="preserve">2. Progettazione di Counselorbot</w:t>
      </w:r>
    </w:p>
    <w:p>
      <w:pPr>
        <w:pStyle w:val="FirstParagraph"/>
        <w:jc w:val="both"/>
      </w:pPr>
      <w:r>
        <w:t xml:space="preserve">Counselorbot è stato concepito come un sistema multifunzionale dedicato all’orientamento formativo e professionale, all’autovalutazione e al supporto all’apprendimento. La piattaforma integra strumenti differenti, accomunati da un’interazione conversazionale strutturata, attraverso la quale l’utente viene accompagnato nell’interpretazione dei risultati, nella riflessione sulle proprie esperienze e nell’individuazione di strategie utili al proprio percorso.</w:t>
      </w:r>
    </w:p>
    <w:bookmarkStart w:id="25" w:name="strumenti-disponibili-in-counselorbot"/>
    <w:p>
      <w:pPr>
        <w:pStyle w:val="Heading3"/>
      </w:pPr>
      <w:r>
        <w:rPr>
          <w:color w:val="000000"/>
        </w:rPr>
        <w:t xml:space="preserve">2.1 Strumenti disponibili in Counselorbot</w:t>
      </w:r>
    </w:p>
    <w:p>
      <w:pPr>
        <w:pStyle w:val="FirstParagraph"/>
        <w:jc w:val="both"/>
      </w:pPr>
      <w:r>
        <w:t xml:space="preserve">Nella schermata iniziale, Counselorbot presenta un selettore attraverso il quale l’utente può scegliere uno dei questionari disponibili, la</w:t>
      </w:r>
      <w:r>
        <w:t xml:space="preserve"> </w:t>
      </w:r>
      <w:r>
        <w:rPr>
          <w:iCs/>
          <w:i/>
        </w:rPr>
        <w:t xml:space="preserve">Career Counseling Interview</w:t>
      </w:r>
      <w:r>
        <w:t xml:space="preserve"> </w:t>
      </w:r>
      <w:r>
        <w:t xml:space="preserve">oppure il modulo di</w:t>
      </w:r>
      <w:r>
        <w:t xml:space="preserve"> </w:t>
      </w:r>
      <w:r>
        <w:rPr>
          <w:iCs/>
          <w:i/>
        </w:rPr>
        <w:t xml:space="preserve">Question-Based Learning</w:t>
      </w:r>
      <w:r>
        <w:t xml:space="preserve">. In base alla scelta effettuata, il sistema attiva l’interfaccia e il percorso di interazione corrispondenti.</w:t>
      </w:r>
    </w:p>
    <w:p>
      <w:pPr>
        <w:pStyle w:val="BodyText"/>
        <w:jc w:val="both"/>
      </w:pPr>
      <w:r>
        <w:t xml:space="preserve">Una prima area funzionale riguarda l’interpretazione dei questionari presenti nel portale</w:t>
      </w:r>
      <w:r>
        <w:t xml:space="preserve"> </w:t>
      </w:r>
      <w:r>
        <w:rPr>
          <w:iCs/>
          <w:i/>
        </w:rPr>
        <w:t xml:space="preserve">Competenze strategiche</w:t>
      </w:r>
      <w:r>
        <w:t xml:space="preserve">. Tra questi rientra il Questionario sulle Strategie di Apprendimento (QSA), finalizzato ad analizzare le modalità attraverso cui lo studente affronta, organizza e regola il proprio percorso formativo. Lo strumento prende in considerazione fattori cognitivi, metacognitivi, affettivi, motivazionali e volitivi. Counselorbot accompagna l’utente nell’interpretazione dei risultati attraverso undici passi guidati, ciascuno dedicato a una specifica dimensione. Per ogni fattore, il sistema illustra il significato del punteggio, formula domande di approfondimento e propone strategie coerenti con il profilo emerso.</w:t>
      </w:r>
    </w:p>
    <w:p>
      <w:pPr>
        <w:pStyle w:val="BodyText"/>
        <w:jc w:val="both"/>
      </w:pPr>
      <w:r>
        <w:t xml:space="preserve">Accanto al QSA è integrato il QSAr, una versione ridotta del Questionario sulle Strategie di Apprendimento. Esso consente di ottenere una rappresentazione più sintetica delle principali modalità con cui lo studente affronta il proprio apprendimento. Anche in questo caso, Counselorbot restituisce il profilo in forma comprensibile, evidenzia i punti di forza e le aree suscettibili di sviluppo e guida l’utente nella riflessione sulle possibili strategie di miglioramento.</w:t>
      </w:r>
    </w:p>
    <w:p>
      <w:pPr>
        <w:pStyle w:val="BodyText"/>
        <w:jc w:val="both"/>
      </w:pPr>
      <w:r>
        <w:t xml:space="preserve">Un ulteriore strumento è lo</w:t>
      </w:r>
      <w:r>
        <w:t xml:space="preserve"> </w:t>
      </w:r>
      <w:r>
        <w:rPr>
          <w:iCs/>
          <w:i/>
        </w:rPr>
        <w:t xml:space="preserve">Zimbardo Time Perspective Inventory</w:t>
      </w:r>
      <w:r>
        <w:t xml:space="preserve"> </w:t>
      </w:r>
      <w:r>
        <w:t xml:space="preserve">(ZTPI), attraverso il quale viene analizzato il rapporto dell’individuo con le dimensioni temporali del passato, del presente e del futuro. Le prospettive temporali possono incidere sulla capacità progettuale, sulle decisioni e sull’atteggiamento assunto verso il percorso formativo e professionale. Counselorbot supporta l’utente nell’interpretazione del proprio profilo temporale e lo aiuta a individuare le relazioni tra orientamento temporale, obiettivi personali e scelte future.</w:t>
      </w:r>
    </w:p>
    <w:p>
      <w:pPr>
        <w:pStyle w:val="BodyText"/>
        <w:jc w:val="both"/>
      </w:pPr>
      <w:r>
        <w:t xml:space="preserve">Per QSA, QSAr e ZTPI, l’interfaccia richiede l’inserimento dei risultati e restituisce una rappresentazione grafica del profilo. Il grafico a barre utilizza una codifica cromatica nella quale il verde identifica i punti di forza, il giallo i risultati collocati nella fascia intermedia e il rosso le possibili aree di crescita. La visualizzazione grafica non sostituisce l’interpretazione, ma offre una prima rappresentazione sintetica del profilo, che viene successivamente approfondita attraverso il dialogo guidato.</w:t>
      </w:r>
    </w:p>
    <w:p>
      <w:pPr>
        <w:pStyle w:val="BodyText"/>
        <w:jc w:val="both"/>
      </w:pPr>
      <w:r>
        <w:t xml:space="preserve">Ai questionari si affiancano due strumenti aggiuntivi, caratterizzati da finalità e modalità di funzionamento differenti. Il primo è la</w:t>
      </w:r>
      <w:r>
        <w:t xml:space="preserve"> </w:t>
      </w:r>
      <w:r>
        <w:rPr>
          <w:iCs/>
          <w:i/>
        </w:rPr>
        <w:t xml:space="preserve">Career Counseling Interview</w:t>
      </w:r>
      <w:r>
        <w:t xml:space="preserve"> </w:t>
      </w:r>
      <w:r>
        <w:t xml:space="preserve">di Savickas, un colloquio narrativo finalizzato a esplorare le esperienze, gli interessi, i modelli di riferimento e le aspirazioni dell’utente. Dopo la selezione dello strumento, il sistema avvia il colloquio e propone cinque domande qualitative, alle quali il modello linguistico può far seguire ulteriori richieste di approfondimento. Al termine dell’interazione, Counselorbot elabora una sintesi narrativa orientata alla ricostruzione dell’identità professionale e all’individuazione dei principali temi di vita emersi.</w:t>
      </w:r>
    </w:p>
    <w:p>
      <w:pPr>
        <w:pStyle w:val="BodyText"/>
        <w:jc w:val="both"/>
      </w:pPr>
      <w:r>
        <w:t xml:space="preserve">Il secondo strumento aggiuntivo è il modulo di</w:t>
      </w:r>
      <w:r>
        <w:t xml:space="preserve"> </w:t>
      </w:r>
      <w:r>
        <w:rPr>
          <w:iCs/>
          <w:i/>
        </w:rPr>
        <w:t xml:space="preserve">Question-Based Learning</w:t>
      </w:r>
      <w:r>
        <w:t xml:space="preserve"> </w:t>
      </w:r>
      <w:r>
        <w:t xml:space="preserve">(PQBL), basato sulla metodologia proposta da Jemstedt e Bälter. In questo caso, l’interfaccia richiede il caricamento di un documento didattico in formato PDF. Il sistema ne trasforma il contenuto in un percorso interattivo fondato su domande e feedback. Il testo non viene quindi proposto soltanto come materiale da leggere, ma diventa la base di un’attività di apprendimento attivo, nella quale l’utente è chiamato a recuperare, rielaborare e applicare le informazioni contenute nel documento.</w:t>
      </w:r>
    </w:p>
    <w:p>
      <w:pPr>
        <w:pStyle w:val="BodyText"/>
        <w:jc w:val="both"/>
      </w:pPr>
      <w:r>
        <w:t xml:space="preserve">L’architettura modulare di Counselorbot è stata progettata in modo da consentire la futura integrazione di ulteriori questionari, interviste e strumenti di supporto all’orientamento e all’apprendimento.</w:t>
      </w:r>
    </w:p>
    <w:bookmarkEnd w:id="25"/>
    <w:bookmarkStart w:id="26" w:name="passi-guidati-e-flussi-di-interazione"/>
    <w:p>
      <w:pPr>
        <w:pStyle w:val="Heading3"/>
      </w:pPr>
      <w:r>
        <w:rPr>
          <w:color w:val="000000"/>
        </w:rPr>
        <w:t xml:space="preserve">2.2 Passi guidati e flussi di interazione</w:t>
      </w:r>
    </w:p>
    <w:p>
      <w:pPr>
        <w:pStyle w:val="FirstParagraph"/>
        <w:jc w:val="both"/>
      </w:pPr>
      <w:r>
        <w:t xml:space="preserve">Il principio organizzativo centrale di Counselorbot è rappresentato dai passi guidati (</w:t>
      </w:r>
      <w:r>
        <w:rPr>
          <w:iCs/>
          <w:i/>
        </w:rPr>
        <w:t xml:space="preserve">guided steps</w:t>
      </w:r>
      <w:r>
        <w:t xml:space="preserve">), ossia sequenze predefinite che determinano l’ordine delle diverse fasi del dialogo. A ciascun passo è associato uno specifico meta-prompt, nel quale vengono definiti l’obiettivo della fase, le informazioni da prendere in considerazione e il tipo di risposta che il modello linguistico deve produrre. Questa struttura permette di affrontare sistematicamente tutti gli ambiti previsti dallo strumento selezionato, riducendo il rischio che alcune dimensioni vengano trascurate.</w:t>
      </w:r>
    </w:p>
    <w:p>
      <w:pPr>
        <w:pStyle w:val="BodyText"/>
        <w:jc w:val="both"/>
      </w:pPr>
      <w:r>
        <w:t xml:space="preserve">All’interno di ciascun passo, tuttavia, il modello linguistico mantiene la flessibilità necessaria per adattare il linguaggio, gli esempi, le domande e il livello di approfondimento alle risposte dell’utente. Counselorbot realizza così una modalità di interazione ibrida, nella quale il controllo deterministico del percorso si combina con l’adattività conversazionale dell’LLM. L’interfaccia conversazionale presenta progressivamente le domande, le interpretazioni e le strategie associate a ciascun passo. L’utente può chiedere chiarimenti, richiedere esempi o soffermarsi su uno specifico argomento prima di proseguire.</w:t>
      </w:r>
    </w:p>
    <w:p>
      <w:pPr>
        <w:pStyle w:val="BodyText"/>
        <w:jc w:val="both"/>
      </w:pPr>
      <w:r>
        <w:t xml:space="preserve">Poiché gli strumenti integrati presentano caratteristiche differenti, il sistema non applica un unico flusso indistinto, ma adotta percorsi specifici per i questionari, per la</w:t>
      </w:r>
      <w:r>
        <w:t xml:space="preserve"> </w:t>
      </w:r>
      <w:r>
        <w:rPr>
          <w:iCs/>
          <w:i/>
        </w:rPr>
        <w:t xml:space="preserve">Career Counseling Interview</w:t>
      </w:r>
      <w:r>
        <w:t xml:space="preserve"> </w:t>
      </w:r>
      <w:r>
        <w:t xml:space="preserve">e per il</w:t>
      </w:r>
      <w:r>
        <w:t xml:space="preserve"> </w:t>
      </w:r>
      <w:r>
        <w:rPr>
          <w:iCs/>
          <w:i/>
        </w:rPr>
        <w:t xml:space="preserve">Question-Based Learning</w:t>
      </w:r>
      <w:r>
        <w:t xml:space="preserve">. Nel caso dei questionari QSA, QSAr e ZTPI, il percorso ha inizio con l’inserimento dei punteggi. Il sistema elabora quindi il profilo e ne presenta una prima visualizzazione grafica. Successivamente prende avvio l’analisi guidata dei risultati, durante la quale l’utente può approfondire liberamente ciascun fattore prima di passare al successivo. L’interpretazione dei questionari si sviluppa secondo due modalità complementari. La prima è analitica ed è dedicata all’esame progressivo dei singoli fattori. Per ciascuna dimensione, Counselorbot presenta il risultato, ne chiarisce il significato, formula eventuali domande di approfondimento e propone strategie personalizzate. La seconda modalità è sintetica e mette in relazione le diverse componenti del profilo, facendo emergere le connessioni tra aspetti cognitivi, metacognitivi, affettivi, motivazionali e volitivi. In questo modo, il sistema non si limita a restituire una serie di punteggi isolati, ma favorisce la costruzione di una rappresentazione unitaria del funzionamento dello studente. Al termine dell’analisi, Counselorbot propone una sintesi complessiva dei principali punti di forza, delle aree suscettibili di sviluppo e delle strategie emerse durante il dialogo. L’utente può quindi selezionare e salvare le indicazioni considerate maggiormente significative.</w:t>
      </w:r>
    </w:p>
    <w:p>
      <w:pPr>
        <w:pStyle w:val="BodyText"/>
        <w:jc w:val="both"/>
      </w:pPr>
      <w:r>
        <w:t xml:space="preserve">La</w:t>
      </w:r>
      <w:r>
        <w:t xml:space="preserve"> </w:t>
      </w:r>
      <w:r>
        <w:rPr>
          <w:iCs/>
          <w:i/>
        </w:rPr>
        <w:t xml:space="preserve">Career Counseling Interview</w:t>
      </w:r>
      <w:r>
        <w:t xml:space="preserve"> </w:t>
      </w:r>
      <w:r>
        <w:t xml:space="preserve">segue invece un percorso qualitativo e narrativo. In questo modulo non vengono inseriti punteggi e non viene elaborato un profilo psicometrico. Il sistema presenta progressivamente le cinque domande previste dal protocollo, analizza le risposte dell’utente e può formulare ulteriori domande per approfondire gli elementi più significativi. Pur mantenendo la sequenza generale stabilita, il modello linguistico adatta il dialogo ai contenuti emersi. Al termine dell’intervista, Counselorbot individua i temi ricorrenti e li integra in una sintesi narrativa relativa agli interessi, ai modelli di riferimento, alle aspirazioni e alla costruzione dell’identità professionale.</w:t>
      </w:r>
    </w:p>
    <w:p>
      <w:pPr>
        <w:pStyle w:val="BodyText"/>
        <w:jc w:val="both"/>
      </w:pPr>
      <w:r>
        <w:t xml:space="preserve">Il modulo di</w:t>
      </w:r>
      <w:r>
        <w:t xml:space="preserve"> </w:t>
      </w:r>
      <w:r>
        <w:rPr>
          <w:iCs/>
          <w:i/>
        </w:rPr>
        <w:t xml:space="preserve">Question-Based Learning</w:t>
      </w:r>
      <w:r>
        <w:t xml:space="preserve"> </w:t>
      </w:r>
      <w:r>
        <w:t xml:space="preserve">segue un terzo flusso, specificamente orientato all’apprendimento attivo. Dopo il caricamento del documento in formato PDF, il sistema ne analizza e segmenta il contenuto, genera una sequenza di domande e le presenta progressivamente all’utente. Dopo ciascuna risposta, Counselorbot restituisce un feedback, propone eventuali chiarimenti e può adattare la difficoltà o il livello di approfondimento delle domande successive. Il percorso rimane ancorato ai contenuti del documento e si conclude con una sintesi dell’attività svolta e degli aspetti principali affrontati.</w:t>
      </w:r>
    </w:p>
    <w:bookmarkEnd w:id="26"/>
    <w:bookmarkStart w:id="27" w:name="infrastruttura-hardware"/>
    <w:p>
      <w:pPr>
        <w:pStyle w:val="Heading3"/>
      </w:pPr>
      <w:r>
        <w:rPr>
          <w:color w:val="000000"/>
        </w:rPr>
        <w:t xml:space="preserve">2.3 Infrastruttura hardware</w:t>
      </w:r>
    </w:p>
    <w:p>
      <w:pPr>
        <w:pStyle w:val="FirstParagraph"/>
        <w:jc w:val="both"/>
      </w:pPr>
      <w:r>
        <w:t xml:space="preserve">Counselorbot è eseguito su una workstation ad alte prestazioni, configurata per gestire localmente modelli linguistici e carichi computazionali intensivi. La macchina è dotata di un processore AMD Ryzen Threadripper 7980X con 64 core e 128 thread, di 256 GB di memoria RAM e di una GPU NVIDIA RTX 5090. La realizzazione dell’infrastruttura ha richiesto un investimento iniziale di circa 13.000 euro. La scelta di un’infrastruttura locale risponde innanzitutto all’esigenza di tutelare la riservatezza dei dati, poiché consente di ridurre il trasferimento delle conversazioni e delle informazioni degli utenti verso servizi esterni. Inoltre, permette di mantenere una maggiore indipendenza dai provider commerciali di intelligenza artificiale, evitando che il funzionamento del sistema dipenda esclusivamente dalla disponibilità, dai costi o dalle modifiche delle API esterne. Infine, l’investimento iniziale può contribuire alla sostenibilità economica nel medio e lungo periodo, soprattutto in presenza di un numero elevato di interazioni.</w:t>
      </w:r>
    </w:p>
    <w:bookmarkEnd w:id="27"/>
    <w:bookmarkStart w:id="31" w:name="software"/>
    <w:p>
      <w:pPr>
        <w:pStyle w:val="Heading3"/>
      </w:pPr>
      <w:r>
        <w:rPr>
          <w:color w:val="000000"/>
        </w:rPr>
        <w:t xml:space="preserve">2.4 Software</w:t>
      </w:r>
    </w:p>
    <w:p>
      <w:pPr>
        <w:pStyle w:val="FirstParagraph"/>
        <w:jc w:val="both"/>
      </w:pPr>
      <w:r>
        <w:t xml:space="preserve">Il software di Counselorbot comprende il sistema di gestione dei modelli linguistici, i meccanismi di recupero delle conoscenze e della memoria e le funzioni di registrazione e analisi delle interazioni.</w:t>
      </w:r>
    </w:p>
    <w:bookmarkStart w:id="28" w:name="modelli-linguistici"/>
    <w:p>
      <w:pPr>
        <w:pStyle w:val="Heading4"/>
      </w:pPr>
      <w:r>
        <w:rPr>
          <w:color w:val="000000"/>
        </w:rPr>
        <w:t xml:space="preserve">2.4.1 Modelli linguistici</w:t>
      </w:r>
    </w:p>
    <w:p>
      <w:pPr>
        <w:pStyle w:val="FirstParagraph"/>
        <w:jc w:val="both"/>
      </w:pPr>
      <w:r>
        <w:t xml:space="preserve">Per la gestione dei modelli linguistici, Counselorbot utilizza Ollama, uno strumento che consente l’esecuzione locale ed efficiente di modelli open-source. Durante la fase di sviluppo, la scelta si è orientata verso modelli con un numero di parametri inferiore a 15 miliardi, per garantire un equilibrio ottimale tra prestazioni e sostenibilità dell’infrastruttura locale. Sono stati testati modelli appartenenti a diverse famiglie, tra cui Gemma (nelle varianti da 2B, 4B e 12B parametri), DeepSeek-R1-Distill 8B e Qwen 3.5 9B.</w:t>
      </w:r>
    </w:p>
    <w:bookmarkEnd w:id="28"/>
    <w:bookmarkStart w:id="29" w:name="Xc64cd9a05b3a0c767b472b6f7103b658ac68a3e"/>
    <w:p>
      <w:pPr>
        <w:pStyle w:val="Heading4"/>
      </w:pPr>
      <w:r>
        <w:rPr>
          <w:color w:val="000000"/>
        </w:rPr>
        <w:t xml:space="preserve">2.4.2 Recupero delle conoscenze e gestione della memoria</w:t>
      </w:r>
    </w:p>
    <w:p>
      <w:pPr>
        <w:pStyle w:val="FirstParagraph"/>
        <w:jc w:val="both"/>
      </w:pPr>
      <w:r>
        <w:t xml:space="preserve">Counselorbot utilizza diversi meccanismi per recuperare le informazioni rilevanti e mantenere la continuità delle interazioni. Tali meccanismi comprendono la memoria di sessione, la base di conoscenza, il grafo della conoscenza e una memoria condivisa delle risposte. La memoria di sessione conserva le informazioni emerse nel corso della singola conversazione. In questo modo, il sistema può ricordare i risultati, le risposte dell’utente e le strategie già discusse, evitando ripetizioni e garantendo coerenza tra le diverse fasi del percorso. La base di conoscenza contiene strategie educative e contenuti teorici precedentemente selezionati e approvati. Le strategie sono associate ai fattori dei questionari e indicizzate attraverso parole chiave e rappresentazioni semantiche. Quando viene analizzata una determinata dimensione, il sistema recupera automaticamente i contenuti maggiormente pertinenti rispetto al fattore, al punteggio e alle informazioni fornite dallo studente. Le informazioni recuperate vengono inserite nel contesto del modello linguistico e impiegate per generare la risposta. Questa soluzione consente agli amministratori di ampliare o aggiornare la base di conoscenza senza dover intervenire manualmente sui prompt. Il grafo della conoscenza collega tra loro gli strumenti, i fattori, le strategie e i riferimenti teorici. Tale struttura permette di estendere la ricerca documentale anche ai concetti semanticamente vicini, superando una corrispondenza esclusivamente letterale tra i termini utilizzati dall’utente e quelli presenti nei contenuti indicizzati. A questi meccanismi si aggiunge una memoria condivisa delle risposte. Quando un utente valuta positivamente una risposta dell’assistente, questa può essere conservata e utilizzata come riferimento per domande analoghe formulate in sessioni successive. Le risposte precedenti non vengono necessariamente riproposte in forma identica, ma possono essere recuperate come esempi utili alla produzione di nuove risposte. Si introduce così un meccanismo di apprendimento collettivo, nel quale le interazioni considerate efficaci contribuiscono progressivamente al miglioramento del sistema. La memoria condivisa rimane tuttavia distinta dalla base di conoscenza validata: quest’ultima contiene materiali selezionati dagli amministratori, mentre la memoria condivisa deriva dalla valutazione delle risposte generate durante l’utilizzo.</w:t>
      </w:r>
    </w:p>
    <w:bookmarkEnd w:id="29"/>
    <w:bookmarkStart w:id="30" w:name="X2bc7d88a141625ea69f5b759b49be79527dd3a2"/>
    <w:p>
      <w:pPr>
        <w:pStyle w:val="Heading4"/>
      </w:pPr>
      <w:r>
        <w:rPr>
          <w:color w:val="000000"/>
        </w:rPr>
        <w:t xml:space="preserve">2.4.3 Gestione delle interazioni e anonimizzazione</w:t>
      </w:r>
    </w:p>
    <w:p>
      <w:pPr>
        <w:pStyle w:val="FirstParagraph"/>
        <w:jc w:val="both"/>
      </w:pPr>
      <w:r>
        <w:t xml:space="preserve">Le interazioni vengono registrate in un archivio consultabile dagli amministratori. Tale archivio permette di monitorare l’utilizzo del sistema, individuare domande ricorrenti, identificare eventuali difficoltà nei percorsi guidati e rilevare le aree nelle quali le risposte richiedono ulteriori miglioramenti. È inoltre in fase di progettazione un sistema di anonimizzazione che consenta di analizzare i contenuti delle conversazioni senza esporre i dati personali degli studenti. L’obiettivo è rendere possibile lo studio aggregato delle strategie maggiormente discusse, dei fattori percepiti come critici e dell’efficacia attribuita dagli utenti alle risposte del sistema. Questi dati potranno essere utilizzati per valutare l’impatto di Counselorbot, perfezionare i protocolli di interazione e studiare l’impiego del sistema su scala più ampia.</w:t>
      </w:r>
    </w:p>
    <w:bookmarkEnd w:id="30"/>
    <w:bookmarkEnd w:id="31"/>
    <w:bookmarkStart w:id="32" w:name="struttura-del-sistema"/>
    <w:p>
      <w:pPr>
        <w:pStyle w:val="Heading3"/>
      </w:pPr>
      <w:r>
        <w:rPr>
          <w:color w:val="000000"/>
        </w:rPr>
        <w:t xml:space="preserve">2.5 Struttura del sistema</w:t>
      </w:r>
    </w:p>
    <w:p>
      <w:pPr>
        <w:pStyle w:val="FirstParagraph"/>
        <w:jc w:val="both"/>
      </w:pPr>
      <w:r>
        <w:t xml:space="preserve">L’architettura applicativa di Counselorbot si articola in quattro componenti principali: frontend, backend, database e livello di astrazione dei modelli linguistici. Il frontend costituisce il livello con cui l’utente interagisce direttamente. Comprende il selettore degli strumenti, i moduli per l’inserimento dei risultati, il caricamento dei documenti, la visualizzazione grafica del profilo, l’interfaccia conversazionale, la navigazione tra i passi guidati e le funzioni di salvataggio delle strategie. La sua organizzazione modulare permette di associare a ciascuno strumento una specifica interfaccia, mantenendo al tempo stesso un’esperienza d’uso coerente all’interno della piattaforma. Il backend gestisce la logica applicativa e coordina le differenti componenti del sistema. Esso espone i servizi relativi alla chat, ai questionari, ai passi guidati, alla memoria, alla base di conoscenza e alle funzioni amministrative. Durante l’interazione, il backend individua il passo corrente, seleziona il meta-prompt corrispondente, recupera le informazioni pertinenti e costruisce il contesto da inviare al modello linguistico. Successivamente riceve la risposta generata, la restituisce all’interfaccia e aggiorna la memoria della sessione. Il database relazionale conserva le configurazioni necessarie al funzionamento della piattaforma. Al suo interno sono registrati gli strumenti disponibili, la struttura dei questionari, i fattori, gli item, le scale, le stanine, i prompt, i meta-prompt, i passi guidati, le strategie, le configurazioni dei modelli, la memoria delle sessioni e le interazioni archiviate. Counselorbot non si limita quindi a ricevere punteggi esterni, ma dispone di una rappresentazione strutturata dei questionari e può interpretarli in relazione alle loro caratteristiche. Il livello di astrazione dei modelli linguistici mette infine in comunicazione il backend con i diversi provider di intelligenza artificiale. Attraverso un’interfaccia comune, esso gestisce l’invio dei prompt, la ricezione delle risposte e i parametri di generazione. Questa componente rende Counselorbot indipendente dal singolo modello e consente di utilizzare sia modelli eseguiti localmente mediante Ollama sia eventuali servizi remoti. L’organizzazione complessiva separa dunque i contenuti educativi, la logica dei percorsi, l’interfaccia utente e il modello linguistico. Tale separazione permette di aggiornare ed estendere Counselorbot intervenendo sulle singole componenti, senza dover riprogettare l’intero sistema.</w:t>
      </w:r>
    </w:p>
    <w:bookmarkEnd w:id="32"/>
    <w:bookmarkEnd w:id="33"/>
    <w:bookmarkStart w:id="38" w:name="metodologia-di-valutazione"/>
    <w:p>
      <w:pPr>
        <w:pStyle w:val="Heading2"/>
      </w:pPr>
      <w:r>
        <w:rPr>
          <w:color w:val="000000"/>
        </w:rPr>
        <w:t xml:space="preserve">3. Metodologia di valutazione</w:t>
      </w:r>
    </w:p>
    <w:bookmarkStart w:id="34" w:name="disegno-della-ricerca"/>
    <w:p>
      <w:pPr>
        <w:pStyle w:val="Heading3"/>
      </w:pPr>
      <w:r>
        <w:rPr>
          <w:color w:val="000000"/>
        </w:rPr>
        <w:t xml:space="preserve">3.1 Disegno della ricerca</w:t>
      </w:r>
    </w:p>
    <w:p>
      <w:pPr>
        <w:pStyle w:val="FirstParagraph"/>
        <w:jc w:val="both"/>
      </w:pPr>
      <w:r>
        <w:t xml:space="preserve">Per valutare il sistema descritto nel § 2 è stato adottato un disegno di ricerca articolato secondo il modello ADDIE (Branch, 2009). L’acronimo identifica cinque fasi iterative:</w:t>
      </w:r>
      <w:r>
        <w:t xml:space="preserve"> </w:t>
      </w:r>
      <w:r>
        <w:rPr>
          <w:iCs/>
          <w:i/>
        </w:rPr>
        <w:t xml:space="preserve">Analysis</w:t>
      </w:r>
      <w:r>
        <w:t xml:space="preserve">, relativa all’analisi dei bisogni formativi e del contesto;</w:t>
      </w:r>
      <w:r>
        <w:t xml:space="preserve"> </w:t>
      </w:r>
      <w:r>
        <w:rPr>
          <w:iCs/>
          <w:i/>
        </w:rPr>
        <w:t xml:space="preserve">Design</w:t>
      </w:r>
      <w:r>
        <w:t xml:space="preserve">, dedicata alla progettazione dell’architettura e delle modalità di interazione;</w:t>
      </w:r>
      <w:r>
        <w:t xml:space="preserve"> </w:t>
      </w:r>
      <w:r>
        <w:rPr>
          <w:iCs/>
          <w:i/>
        </w:rPr>
        <w:t xml:space="preserve">Development</w:t>
      </w:r>
      <w:r>
        <w:t xml:space="preserve">, riguardante la realizzazione del sistema;</w:t>
      </w:r>
      <w:r>
        <w:t xml:space="preserve"> </w:t>
      </w:r>
      <w:r>
        <w:rPr>
          <w:iCs/>
          <w:i/>
        </w:rPr>
        <w:t xml:space="preserve">Implementation</w:t>
      </w:r>
      <w:r>
        <w:t xml:space="preserve">, riferita al rilascio e all’utilizzo del sistema; ed</w:t>
      </w:r>
      <w:r>
        <w:t xml:space="preserve"> </w:t>
      </w:r>
      <w:r>
        <w:rPr>
          <w:iCs/>
          <w:i/>
        </w:rPr>
        <w:t xml:space="preserve">Evaluation</w:t>
      </w:r>
      <w:r>
        <w:t xml:space="preserve">, finalizzata alla valutazione del suo funzionamento e dei risultati ottenuti. Il lavoro presentato in questo articolo si colloca nella fase di</w:t>
      </w:r>
      <w:r>
        <w:t xml:space="preserve"> </w:t>
      </w:r>
      <w:r>
        <w:rPr>
          <w:iCs/>
          <w:i/>
        </w:rPr>
        <w:t xml:space="preserve">Evaluation</w:t>
      </w:r>
      <w:r>
        <w:t xml:space="preserve"> </w:t>
      </w:r>
      <w:r>
        <w:t xml:space="preserve">del secondo ciclo di sviluppo. Il primo ciclo ha portato alla realizzazione di Counselorbot-Chat (CB-C), una versione basata su un’architettura RAG (</w:t>
      </w:r>
      <w:r>
        <w:rPr>
          <w:iCs/>
          <w:i/>
        </w:rPr>
        <w:t xml:space="preserve">Retrieval-Augmented Generation</w:t>
      </w:r>
      <w:r>
        <w:t xml:space="preserve">) e su un</w:t>
      </w:r>
      <w:r>
        <w:t xml:space="preserve"> </w:t>
      </w:r>
      <w:r>
        <w:rPr>
          <w:iCs/>
          <w:i/>
        </w:rPr>
        <w:t xml:space="preserve">system prompt</w:t>
      </w:r>
      <w:r>
        <w:t xml:space="preserve">. In tale configurazione, il modello linguistico rispondeva alle domande dello studente recuperando le informazioni pertinenti da documenti indicizzati in una memoria vettoriale, senza seguire una sequenza di interazione prestabilita. I risultati del primo ciclo, discussi nel § 4, hanno evidenziato alcune criticità, in particolare nella coerenza delle analisi prodotte e nelle modalità di inserimento manuale dei dati. Tali risultati hanno orientato un successivo processo di ottimizzazione e la progettazione di una nuova versione del sistema. Il secondo ciclo ha quindi condotto allo sviluppo di Step-by-Step Counselorbot (CB-SBS), che introduce una procedura guidata per passi, un grafo della conoscenza, l’indicizzazione semantica delle strategie e un’interfaccia ottimizzata per l’inserimento e la visualizzazione dei profili. La valutazione presentata in questo studio adotta un disegno comparativo</w:t>
      </w:r>
      <w:r>
        <w:t xml:space="preserve"> </w:t>
      </w:r>
      <w:r>
        <w:rPr>
          <w:iCs/>
          <w:i/>
        </w:rPr>
        <w:t xml:space="preserve">between-subjects</w:t>
      </w:r>
      <w:r>
        <w:t xml:space="preserve"> </w:t>
      </w:r>
      <w:r>
        <w:t xml:space="preserve">tra le due versioni, CB-C e CB-SBS. Ciascun partecipante ha utilizzato una sola versione di Counselorbot e, al termine dell’interazione, ha compilato il questionario di gradimento descritto nel § 3.3.</w:t>
      </w:r>
    </w:p>
    <w:bookmarkEnd w:id="34"/>
    <w:bookmarkStart w:id="35" w:name="partecipanti-e-procedura"/>
    <w:p>
      <w:pPr>
        <w:pStyle w:val="Heading3"/>
      </w:pPr>
      <w:r>
        <w:rPr>
          <w:color w:val="000000"/>
        </w:rPr>
        <w:t xml:space="preserve">3.2 Partecipanti e procedura</w:t>
      </w:r>
    </w:p>
    <w:p>
      <w:pPr>
        <w:pStyle w:val="FirstParagraph"/>
        <w:jc w:val="both"/>
      </w:pPr>
      <w:r>
        <w:t xml:space="preserve">Al momento della stesura dell’articolo, la raccolta dei dati è ancora in corso. Hanno completato la procedura 34 partecipanti: 7 hanno utilizzato la versione CB-SBS, mentre 27 hanno interagito con la versione precedente, CB-C. Il campione presenta una composizione eterogenea sia per età, compresa tra 14 e 53 anni, sia per livello di istruzione, che varia dalla scuola secondaria di primo grado alla laurea magistrale. La procedura prevedeva inizialmente la compilazione del Questionario sulle Strategie di Apprendimento (QSA). Successivamente, i partecipanti visualizzavano il proprio profilo e avviavano un’interazione con il chatbot articolata nell’analisi dei singoli fattori del questionario. Al termine del percorso veniva somministrato il questionario di gradimento.</w:t>
      </w:r>
    </w:p>
    <w:bookmarkEnd w:id="35"/>
    <w:bookmarkStart w:id="36" w:name="strumenti-e-metriche"/>
    <w:p>
      <w:pPr>
        <w:pStyle w:val="Heading3"/>
      </w:pPr>
      <w:r>
        <w:rPr>
          <w:color w:val="000000"/>
        </w:rPr>
        <w:t xml:space="preserve">3.3 Strumenti e metriche</w:t>
      </w:r>
    </w:p>
    <w:p>
      <w:pPr>
        <w:pStyle w:val="FirstParagraph"/>
        <w:jc w:val="both"/>
      </w:pPr>
      <w:r>
        <w:t xml:space="preserve">Il questionario di gradimento è composto da dieci item relativi ad altrettanti aspetti dell’esperienza di utilizzo: utilità percepita, pertinenza delle risposte, chiarezza delle spiegazioni, adeguatezza del livello di dettaglio, facilità d’uso dell’interfaccia, velocità di risposta, fiducia nelle informazioni ricevute, capacità del sistema di stimolare la riflessione su di sé, coinvolgimento complessivo e intenzione di riutilizzare il chatbot o di raccomandarlo ad altri. Per ciascun item viene calcolata la media aritmetica, separatamente per le due versioni del sistema. Gli item vengono analizzati singolarmente e non sono aggregati in sottoscale. Il questionario raccoglie inoltre informazioni sociodemografiche relative a età, sesso, titolo di studio, tipo di istituto frequentato e provenienza geografica. Nella versione estesa sono presenti anche due domande aperte, finalizzate a raccogliere osservazioni sull’esperienza e suggerimenti per il miglioramento del sistema. Le risposte vengono analizzate qualitativamente mediante una categorizzazione tematica.</w:t>
      </w:r>
    </w:p>
    <w:bookmarkEnd w:id="36"/>
    <w:bookmarkStart w:id="37" w:name="X1d084be663d85380af5191c3e6a80ea49fe58f6"/>
    <w:p>
      <w:pPr>
        <w:pStyle w:val="Heading3"/>
      </w:pPr>
      <w:r>
        <w:rPr>
          <w:color w:val="000000"/>
        </w:rPr>
        <w:t xml:space="preserve">3.4 Selezione e valutazione del modello linguistico locale</w:t>
      </w:r>
    </w:p>
    <w:p>
      <w:pPr>
        <w:pStyle w:val="FirstParagraph"/>
        <w:jc w:val="both"/>
      </w:pPr>
      <w:r>
        <w:t xml:space="preserve">La selezione del modello linguistico locale è stata articolata in due fasi. In una prima fase sono stati esaminati i risultati pubblicamente disponibili di alcuni benchmark utilizzati per confrontare le prestazioni dei modelli linguistici in compiti di conoscenza generale, ragionamento avanzato e generazione di codice. In particolare, sono stati considerati i risultati ottenuti in MMLU-Pro, GPQA Diamond e LiveCodeBench. L’analisi di tali benchmark ha permesso di individuare i modelli con le prestazioni complessivamente più elevate tra quelli compatibili con i requisiti dell’infrastruttura locale.</w:t>
      </w:r>
    </w:p>
    <w:tbl>
      <w:tblPr>
        <w:tblStyle w:val="Table"/>
        <w:tblW w:type="pct" w:w="5000"/>
        <w:tblLook w:firstRow="1" w:lastRow="0" w:firstColumn="0" w:lastColumn="0" w:noHBand="0" w:noVBand="0" w:val="0020"/>
        <w:jc w:val="start"/>
      </w:tblPr>
      <w:tblGrid>
        <w:gridCol w:w="2112"/>
        <w:gridCol w:w="1320"/>
        <w:gridCol w:w="1232"/>
        <w:gridCol w:w="1584"/>
        <w:gridCol w:w="1672"/>
      </w:tblGrid>
      <w:tr>
        <w:trPr>
          <w:tblHeader w:val="true"/>
        </w:trPr>
        <w:tc>
          <w:tcPr/>
          <w:p>
            <w:pPr>
              <w:pStyle w:val="Compact"/>
              <w:jc w:val="both"/>
            </w:pPr>
            <w:r>
              <w:rPr>
                <w:bCs/>
                <w:b/>
              </w:rPr>
              <w:t xml:space="preserve">Modello</w:t>
            </w:r>
          </w:p>
        </w:tc>
        <w:tc>
          <w:tcPr/>
          <w:p>
            <w:pPr>
              <w:pStyle w:val="Compact"/>
              <w:jc w:val="both"/>
            </w:pPr>
            <w:r>
              <w:rPr>
                <w:bCs/>
                <w:b/>
              </w:rPr>
              <w:t xml:space="preserve">Parametri</w:t>
            </w:r>
          </w:p>
        </w:tc>
        <w:tc>
          <w:tcPr/>
          <w:p>
            <w:pPr>
              <w:pStyle w:val="Compact"/>
              <w:jc w:val="both"/>
            </w:pPr>
            <w:r>
              <w:rPr>
                <w:bCs/>
                <w:b/>
              </w:rPr>
              <w:t xml:space="preserve">MMLU-Pro</w:t>
            </w:r>
          </w:p>
        </w:tc>
        <w:tc>
          <w:tcPr/>
          <w:p>
            <w:pPr>
              <w:pStyle w:val="Compact"/>
              <w:jc w:val="both"/>
            </w:pPr>
            <w:r>
              <w:rPr>
                <w:bCs/>
                <w:b/>
              </w:rPr>
              <w:t xml:space="preserve">GPQA Diamond</w:t>
            </w:r>
          </w:p>
        </w:tc>
        <w:tc>
          <w:tcPr/>
          <w:p>
            <w:pPr>
              <w:pStyle w:val="Compact"/>
              <w:jc w:val="both"/>
            </w:pPr>
            <w:r>
              <w:rPr>
                <w:bCs/>
                <w:b/>
              </w:rPr>
              <w:t xml:space="preserve">LiveCodeBench</w:t>
            </w:r>
          </w:p>
        </w:tc>
      </w:tr>
      <w:tr>
        <w:tc>
          <w:tcPr/>
          <w:p>
            <w:pPr>
              <w:pStyle w:val="Compact"/>
              <w:jc w:val="both"/>
            </w:pPr>
            <w:r>
              <w:t xml:space="preserve">Gemma 4 4B</w:t>
            </w:r>
          </w:p>
        </w:tc>
        <w:tc>
          <w:tcPr/>
          <w:p>
            <w:pPr>
              <w:pStyle w:val="Compact"/>
              <w:jc w:val="both"/>
            </w:pPr>
            <w:r>
              <w:t xml:space="preserve">4B</w:t>
            </w:r>
          </w:p>
        </w:tc>
        <w:tc>
          <w:tcPr/>
          <w:p>
            <w:pPr>
              <w:pStyle w:val="Compact"/>
              <w:jc w:val="both"/>
            </w:pPr>
            <w:r>
              <w:t xml:space="preserve">69,4%</w:t>
            </w:r>
          </w:p>
        </w:tc>
        <w:tc>
          <w:tcPr/>
          <w:p>
            <w:pPr>
              <w:pStyle w:val="Compact"/>
              <w:jc w:val="both"/>
            </w:pPr>
            <w:r>
              <w:t xml:space="preserve">58,6%</w:t>
            </w:r>
          </w:p>
        </w:tc>
        <w:tc>
          <w:tcPr/>
          <w:p>
            <w:pPr>
              <w:pStyle w:val="Compact"/>
              <w:jc w:val="both"/>
            </w:pPr>
            <w:r>
              <w:t xml:space="preserve">52,0%</w:t>
            </w:r>
          </w:p>
        </w:tc>
      </w:tr>
      <w:tr>
        <w:tc>
          <w:tcPr/>
          <w:p>
            <w:pPr>
              <w:pStyle w:val="Compact"/>
              <w:jc w:val="both"/>
            </w:pPr>
            <w:r>
              <w:t xml:space="preserve">Gemma 4 2B</w:t>
            </w:r>
          </w:p>
        </w:tc>
        <w:tc>
          <w:tcPr/>
          <w:p>
            <w:pPr>
              <w:pStyle w:val="Compact"/>
              <w:jc w:val="both"/>
            </w:pPr>
            <w:r>
              <w:t xml:space="preserve">2B</w:t>
            </w:r>
          </w:p>
        </w:tc>
        <w:tc>
          <w:tcPr/>
          <w:p>
            <w:pPr>
              <w:pStyle w:val="Compact"/>
              <w:jc w:val="both"/>
            </w:pPr>
            <w:r>
              <w:t xml:space="preserve">60,0%</w:t>
            </w:r>
          </w:p>
        </w:tc>
        <w:tc>
          <w:tcPr/>
          <w:p>
            <w:pPr>
              <w:pStyle w:val="Compact"/>
              <w:jc w:val="both"/>
            </w:pPr>
            <w:r>
              <w:t xml:space="preserve">43,4%</w:t>
            </w:r>
          </w:p>
        </w:tc>
        <w:tc>
          <w:tcPr/>
          <w:p>
            <w:pPr>
              <w:pStyle w:val="Compact"/>
              <w:jc w:val="both"/>
            </w:pPr>
            <w:r>
              <w:t xml:space="preserve">44,0%</w:t>
            </w:r>
          </w:p>
        </w:tc>
      </w:tr>
      <w:tr>
        <w:tc>
          <w:tcPr/>
          <w:p>
            <w:pPr>
              <w:pStyle w:val="Compact"/>
              <w:jc w:val="both"/>
            </w:pPr>
            <w:r>
              <w:t xml:space="preserve">Gemma 4 12B</w:t>
            </w:r>
          </w:p>
        </w:tc>
        <w:tc>
          <w:tcPr/>
          <w:p>
            <w:pPr>
              <w:pStyle w:val="Compact"/>
              <w:jc w:val="both"/>
            </w:pPr>
            <w:r>
              <w:t xml:space="preserve">12B</w:t>
            </w:r>
          </w:p>
        </w:tc>
        <w:tc>
          <w:tcPr/>
          <w:p>
            <w:pPr>
              <w:pStyle w:val="Compact"/>
              <w:jc w:val="both"/>
            </w:pPr>
            <w:r>
              <w:t xml:space="preserve">77,2%</w:t>
            </w:r>
          </w:p>
        </w:tc>
        <w:tc>
          <w:tcPr/>
          <w:p>
            <w:pPr>
              <w:pStyle w:val="Compact"/>
              <w:jc w:val="both"/>
            </w:pPr>
            <w:r>
              <w:t xml:space="preserve">78,8%</w:t>
            </w:r>
          </w:p>
        </w:tc>
        <w:tc>
          <w:tcPr/>
          <w:p>
            <w:pPr>
              <w:pStyle w:val="Compact"/>
              <w:jc w:val="both"/>
            </w:pPr>
            <w:r>
              <w:t xml:space="preserve">72,0%</w:t>
            </w:r>
          </w:p>
        </w:tc>
      </w:tr>
      <w:tr>
        <w:tc>
          <w:tcPr/>
          <w:p>
            <w:pPr>
              <w:pStyle w:val="Compact"/>
              <w:jc w:val="both"/>
            </w:pPr>
            <w:r>
              <w:t xml:space="preserve">DeepSeek-R1-Distill 8B</w:t>
            </w:r>
          </w:p>
        </w:tc>
        <w:tc>
          <w:tcPr/>
          <w:p>
            <w:pPr>
              <w:pStyle w:val="Compact"/>
              <w:jc w:val="both"/>
            </w:pPr>
            <w:r>
              <w:t xml:space="preserve">8B</w:t>
            </w:r>
          </w:p>
        </w:tc>
        <w:tc>
          <w:tcPr/>
          <w:p>
            <w:pPr>
              <w:pStyle w:val="Compact"/>
              <w:jc w:val="both"/>
            </w:pPr>
            <w:r>
              <w:t xml:space="preserve">—</w:t>
            </w:r>
          </w:p>
        </w:tc>
        <w:tc>
          <w:tcPr/>
          <w:p>
            <w:pPr>
              <w:pStyle w:val="Compact"/>
              <w:jc w:val="both"/>
            </w:pPr>
            <w:r>
              <w:t xml:space="preserve">49,0%</w:t>
            </w:r>
          </w:p>
        </w:tc>
        <w:tc>
          <w:tcPr/>
          <w:p>
            <w:pPr>
              <w:pStyle w:val="Compact"/>
              <w:jc w:val="both"/>
            </w:pPr>
            <w:r>
              <w:t xml:space="preserve">39,6%</w:t>
            </w:r>
          </w:p>
        </w:tc>
      </w:tr>
      <w:tr>
        <w:tc>
          <w:tcPr/>
          <w:p>
            <w:pPr>
              <w:pStyle w:val="Compact"/>
              <w:jc w:val="both"/>
            </w:pPr>
            <w:r>
              <w:t xml:space="preserve">Qwen 3.5 9B</w:t>
            </w:r>
          </w:p>
        </w:tc>
        <w:tc>
          <w:tcPr/>
          <w:p>
            <w:pPr>
              <w:pStyle w:val="Compact"/>
              <w:jc w:val="both"/>
            </w:pPr>
            <w:r>
              <w:t xml:space="preserve">9B</w:t>
            </w:r>
          </w:p>
        </w:tc>
        <w:tc>
          <w:tcPr/>
          <w:p>
            <w:pPr>
              <w:pStyle w:val="Compact"/>
              <w:jc w:val="both"/>
            </w:pPr>
            <w:r>
              <w:t xml:space="preserve">82,5%</w:t>
            </w:r>
          </w:p>
        </w:tc>
        <w:tc>
          <w:tcPr/>
          <w:p>
            <w:pPr>
              <w:pStyle w:val="Compact"/>
              <w:jc w:val="both"/>
            </w:pPr>
            <w:r>
              <w:t xml:space="preserve">81,7%</w:t>
            </w:r>
          </w:p>
        </w:tc>
        <w:tc>
          <w:tcPr/>
          <w:p>
            <w:pPr>
              <w:pStyle w:val="Compact"/>
              <w:jc w:val="both"/>
            </w:pPr>
            <w:r>
              <w:t xml:space="preserve">65,6%</w:t>
            </w:r>
          </w:p>
        </w:tc>
      </w:tr>
    </w:tbl>
    <w:p>
      <w:pPr>
        <w:pStyle w:val="BodyText"/>
        <w:jc w:val="both"/>
      </w:pPr>
      <w:r>
        <w:t xml:space="preserve">La scelta dei modelli candidati non è stata tuttavia determinata esclusivamente dai punteggi ottenuti nei benchmark. Sono stati considerati anche il numero di parametri e la compatibilità con l’hardware disponibile, privilegiando modelli con meno di 15 miliardi di parametri, in grado di garantire un equilibrio tra prestazioni, velocità di esecuzione e sostenibilità computazionale.</w:t>
      </w:r>
    </w:p>
    <w:p>
      <w:pPr>
        <w:pStyle w:val="BodyText"/>
        <w:jc w:val="both"/>
      </w:pPr>
      <w:r>
        <w:t xml:space="preserve">Nella seconda fase, i modelli selezionati sulla base dei benchmark sono stati installati e testati direttamente sulla macchina locale descritta nel § 2.3. La valutazione è stata condotta sull’intero flusso degli undici passi previsti per l’analisi del QSA.</w:t>
      </w:r>
    </w:p>
    <w:p>
      <w:pPr>
        <w:pStyle w:val="BodyText"/>
        <w:jc w:val="both"/>
      </w:pPr>
      <w:r>
        <w:t xml:space="preserve">Per ciascun modello sono state esaminate la capacità di rispettare la sequenza prestabilita, la copertura di tutti i fattori del questionario, la coerenza delle interpretazioni formulate e la pertinenza pedagogica delle strategie proposte. Sono stati inoltre rilevati due indicatori tecnici: la velocità media di generazione, espressa in token al secondo, e il Time to First Token (TTFT), corrispondente al tempo intercorrente tra l’invio della richiesta e la produzione del primo token della risposta.</w:t>
      </w:r>
    </w:p>
    <w:bookmarkEnd w:id="37"/>
    <w:bookmarkEnd w:id="38"/>
    <w:bookmarkStart w:id="42" w:name="risultati"/>
    <w:p>
      <w:pPr>
        <w:pStyle w:val="Heading2"/>
      </w:pPr>
      <w:r>
        <w:rPr>
          <w:color w:val="000000"/>
        </w:rPr>
        <w:t xml:space="preserve">4. Risultati</w:t>
      </w:r>
    </w:p>
    <w:bookmarkStart w:id="39" w:name="selezione-del-modello-locale"/>
    <w:p>
      <w:pPr>
        <w:pStyle w:val="Heading3"/>
      </w:pPr>
      <w:r>
        <w:rPr>
          <w:color w:val="000000"/>
        </w:rPr>
        <w:t xml:space="preserve">4.1 Selezione del modello locale</w:t>
      </w:r>
    </w:p>
    <w:p>
      <w:pPr>
        <w:pStyle w:val="FirstParagraph"/>
        <w:jc w:val="both"/>
      </w:pPr>
      <w:r>
        <w:t xml:space="preserve">I modelli pre-selezionati in base ai benchmark pubblici (§3.4) sono stati sottoposti a una valutazione diretta sulla macchina locale (§2.3), riproducendo l’intero flusso degli undici passi dell’analisi del QSA con gli stessi</w:t>
      </w:r>
      <w:r>
        <w:t xml:space="preserve"> </w:t>
      </w:r>
      <w:r>
        <w:rPr>
          <w:iCs/>
          <w:i/>
        </w:rPr>
        <w:t xml:space="preserve">prompt</w:t>
      </w:r>
      <w:r>
        <w:t xml:space="preserve"> </w:t>
      </w:r>
      <w:r>
        <w:t xml:space="preserve">e direttive impiegati in produzione. Per ciascun modello sono stati rilevati due indicatori tecnici — velocità media di generazione (token al secondo) e</w:t>
      </w:r>
      <w:r>
        <w:t xml:space="preserve"> </w:t>
      </w:r>
      <w:r>
        <w:rPr>
          <w:iCs/>
          <w:i/>
        </w:rPr>
        <w:t xml:space="preserve">Time to First Token</w:t>
      </w:r>
      <w:r>
        <w:t xml:space="preserve"> </w:t>
      </w:r>
      <w:r>
        <w:t xml:space="preserve">(TTFT) — e un punteggio di qualità (da 0 a 1) che aggrega copertura dei fattori, correttezza interpretativa rispetto ai punteggi, pertinenza pedagogica dei consigli e aderenza al formato richiesto.</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both"/>
            </w:pPr>
            <w:r>
              <w:t xml:space="preserve">Modello</w:t>
            </w:r>
          </w:p>
        </w:tc>
        <w:tc>
          <w:tcPr/>
          <w:p>
            <w:pPr>
              <w:pStyle w:val="Compact"/>
              <w:jc w:val="both"/>
            </w:pPr>
            <w:r>
              <w:t xml:space="preserve">Parametri</w:t>
            </w:r>
          </w:p>
        </w:tc>
        <w:tc>
          <w:tcPr/>
          <w:p>
            <w:pPr>
              <w:pStyle w:val="Compact"/>
              <w:jc w:val="both"/>
            </w:pPr>
            <w:r>
              <w:t xml:space="preserve">Qualità</w:t>
            </w:r>
          </w:p>
        </w:tc>
        <w:tc>
          <w:tcPr/>
          <w:p>
            <w:pPr>
              <w:pStyle w:val="Compact"/>
              <w:jc w:val="both"/>
            </w:pPr>
            <w:r>
              <w:t xml:space="preserve">Token/s</w:t>
            </w:r>
          </w:p>
        </w:tc>
        <w:tc>
          <w:tcPr/>
          <w:p>
            <w:pPr>
              <w:pStyle w:val="Compact"/>
              <w:jc w:val="both"/>
            </w:pPr>
            <w:r>
              <w:t xml:space="preserve">TTFT</w:t>
            </w:r>
          </w:p>
        </w:tc>
      </w:tr>
      <w:tr>
        <w:tc>
          <w:tcPr/>
          <w:p>
            <w:pPr>
              <w:pStyle w:val="Compact"/>
              <w:jc w:val="both"/>
            </w:pPr>
            <w:r>
              <w:t xml:space="preserve">Gemma 4 4B</w:t>
            </w:r>
          </w:p>
        </w:tc>
        <w:tc>
          <w:tcPr/>
          <w:p>
            <w:pPr>
              <w:pStyle w:val="Compact"/>
              <w:jc w:val="both"/>
            </w:pPr>
            <w:r>
              <w:t xml:space="preserve">4B</w:t>
            </w:r>
          </w:p>
        </w:tc>
        <w:tc>
          <w:tcPr/>
          <w:p>
            <w:pPr>
              <w:pStyle w:val="Compact"/>
              <w:jc w:val="both"/>
            </w:pPr>
            <w:r>
              <w:t xml:space="preserve">0,83</w:t>
            </w:r>
          </w:p>
        </w:tc>
        <w:tc>
          <w:tcPr/>
          <w:p>
            <w:pPr>
              <w:pStyle w:val="Compact"/>
              <w:jc w:val="both"/>
            </w:pPr>
            <w:r>
              <w:t xml:space="preserve">472</w:t>
            </w:r>
          </w:p>
        </w:tc>
        <w:tc>
          <w:tcPr/>
          <w:p>
            <w:pPr>
              <w:pStyle w:val="Compact"/>
              <w:jc w:val="both"/>
            </w:pPr>
            <w:r>
              <w:t xml:space="preserve">4,5 s</w:t>
            </w:r>
          </w:p>
        </w:tc>
      </w:tr>
      <w:tr>
        <w:tc>
          <w:tcPr/>
          <w:p>
            <w:pPr>
              <w:pStyle w:val="Compact"/>
              <w:jc w:val="both"/>
            </w:pPr>
            <w:r>
              <w:t xml:space="preserve">Gemma 4 2B</w:t>
            </w:r>
          </w:p>
        </w:tc>
        <w:tc>
          <w:tcPr/>
          <w:p>
            <w:pPr>
              <w:pStyle w:val="Compact"/>
              <w:jc w:val="both"/>
            </w:pPr>
            <w:r>
              <w:t xml:space="preserve">2B</w:t>
            </w:r>
          </w:p>
        </w:tc>
        <w:tc>
          <w:tcPr/>
          <w:p>
            <w:pPr>
              <w:pStyle w:val="Compact"/>
              <w:jc w:val="both"/>
            </w:pPr>
            <w:r>
              <w:t xml:space="preserve">0,76</w:t>
            </w:r>
          </w:p>
        </w:tc>
        <w:tc>
          <w:tcPr/>
          <w:p>
            <w:pPr>
              <w:pStyle w:val="Compact"/>
              <w:jc w:val="both"/>
            </w:pPr>
            <w:r>
              <w:t xml:space="preserve">768</w:t>
            </w:r>
          </w:p>
        </w:tc>
        <w:tc>
          <w:tcPr/>
          <w:p>
            <w:pPr>
              <w:pStyle w:val="Compact"/>
              <w:jc w:val="both"/>
            </w:pPr>
            <w:r>
              <w:t xml:space="preserve">3,4 s</w:t>
            </w:r>
          </w:p>
        </w:tc>
      </w:tr>
      <w:tr>
        <w:tc>
          <w:tcPr/>
          <w:p>
            <w:pPr>
              <w:pStyle w:val="Compact"/>
              <w:jc w:val="both"/>
            </w:pPr>
            <w:r>
              <w:t xml:space="preserve">Gemma 4 12B</w:t>
            </w:r>
          </w:p>
        </w:tc>
        <w:tc>
          <w:tcPr/>
          <w:p>
            <w:pPr>
              <w:pStyle w:val="Compact"/>
              <w:jc w:val="both"/>
            </w:pPr>
            <w:r>
              <w:t xml:space="preserve">12B</w:t>
            </w:r>
          </w:p>
        </w:tc>
        <w:tc>
          <w:tcPr/>
          <w:p>
            <w:pPr>
              <w:pStyle w:val="Compact"/>
              <w:jc w:val="both"/>
            </w:pPr>
            <w:r>
              <w:t xml:space="preserve">0,74</w:t>
            </w:r>
          </w:p>
        </w:tc>
        <w:tc>
          <w:tcPr/>
          <w:p>
            <w:pPr>
              <w:pStyle w:val="Compact"/>
              <w:jc w:val="both"/>
            </w:pPr>
            <w:r>
              <w:t xml:space="preserve">374</w:t>
            </w:r>
          </w:p>
        </w:tc>
        <w:tc>
          <w:tcPr/>
          <w:p>
            <w:pPr>
              <w:pStyle w:val="Compact"/>
              <w:jc w:val="both"/>
            </w:pPr>
            <w:r>
              <w:t xml:space="preserve">12,3 s</w:t>
            </w:r>
          </w:p>
        </w:tc>
      </w:tr>
      <w:tr>
        <w:tc>
          <w:tcPr/>
          <w:p>
            <w:pPr>
              <w:pStyle w:val="Compact"/>
              <w:jc w:val="both"/>
            </w:pPr>
            <w:r>
              <w:t xml:space="preserve">DeepSeek-R1-Distill 8B</w:t>
            </w:r>
          </w:p>
        </w:tc>
        <w:tc>
          <w:tcPr/>
          <w:p>
            <w:pPr>
              <w:pStyle w:val="Compact"/>
              <w:jc w:val="both"/>
            </w:pPr>
            <w:r>
              <w:t xml:space="preserve">8B</w:t>
            </w:r>
          </w:p>
        </w:tc>
        <w:tc>
          <w:tcPr/>
          <w:p>
            <w:pPr>
              <w:pStyle w:val="Compact"/>
              <w:jc w:val="both"/>
            </w:pPr>
            <w:r>
              <w:t xml:space="preserve">0,62</w:t>
            </w:r>
          </w:p>
        </w:tc>
        <w:tc>
          <w:tcPr/>
          <w:p>
            <w:pPr>
              <w:pStyle w:val="Compact"/>
              <w:jc w:val="both"/>
            </w:pPr>
            <w:r>
              <w:t xml:space="preserve">555</w:t>
            </w:r>
          </w:p>
        </w:tc>
        <w:tc>
          <w:tcPr/>
          <w:p>
            <w:pPr>
              <w:pStyle w:val="Compact"/>
              <w:jc w:val="both"/>
            </w:pPr>
            <w:r>
              <w:t xml:space="preserve">7,9 s</w:t>
            </w:r>
          </w:p>
        </w:tc>
      </w:tr>
      <w:tr>
        <w:tc>
          <w:tcPr/>
          <w:p>
            <w:pPr>
              <w:pStyle w:val="Compact"/>
              <w:jc w:val="both"/>
            </w:pPr>
            <w:r>
              <w:t xml:space="preserve">Qwen 3.5 9B</w:t>
            </w:r>
          </w:p>
        </w:tc>
        <w:tc>
          <w:tcPr/>
          <w:p>
            <w:pPr>
              <w:pStyle w:val="Compact"/>
              <w:jc w:val="both"/>
            </w:pPr>
            <w:r>
              <w:t xml:space="preserve">9B</w:t>
            </w:r>
          </w:p>
        </w:tc>
        <w:tc>
          <w:tcPr/>
          <w:p>
            <w:pPr>
              <w:pStyle w:val="Compact"/>
              <w:jc w:val="both"/>
            </w:pPr>
            <w:r>
              <w:t xml:space="preserve">0,45</w:t>
            </w:r>
          </w:p>
        </w:tc>
        <w:tc>
          <w:tcPr/>
          <w:p>
            <w:pPr>
              <w:pStyle w:val="Compact"/>
              <w:jc w:val="both"/>
            </w:pPr>
            <w:r>
              <w:t xml:space="preserve">186</w:t>
            </w:r>
          </w:p>
        </w:tc>
        <w:tc>
          <w:tcPr/>
          <w:p>
            <w:pPr>
              <w:pStyle w:val="Compact"/>
              <w:jc w:val="both"/>
            </w:pPr>
            <w:r>
              <w:t xml:space="preserve">11,3 s</w:t>
            </w:r>
          </w:p>
        </w:tc>
      </w:tr>
    </w:tbl>
    <w:p>
      <w:pPr>
        <w:pStyle w:val="BodyText"/>
        <w:jc w:val="both"/>
      </w:pPr>
      <w:r>
        <w:t xml:space="preserve">Tutti i modelli hanno mantenuto piena affidabilità di connessione lungo l’intero flusso. Gemma 4 4B ha ottenuto la qualità più alta (0,83), rispettando la sequenza prestabilita e fornendo interpretazioni coerenti con i punteggi in nove degli undici passi, a fronte di una velocità di generazione (472 token/s) e di un TTFT (4,5 s) adeguati all’uso interattivo. Gemma 4 12B, pur completo nella profondità d’analisi, ha registrato un TTFT sensibilmente superiore (12,3 s); DeepSeek-R1-Distill 8B ha alternato risposte eccellenti e scadenti a seconda del passo, mentre Qwen 3.5 9B ha riportato la qualità più bassa (0,45) nonostante il maggior numero di parametri. Sulla base di questo equilibrio tra qualità, velocità e sostenibilità computazionale, Gemma 4 4B è stato selezionato per l’istanza CB-SBS.</w:t>
      </w:r>
    </w:p>
    <w:bookmarkEnd w:id="39"/>
    <w:bookmarkStart w:id="40" w:name="esperienza-utente"/>
    <w:p>
      <w:pPr>
        <w:pStyle w:val="Heading3"/>
      </w:pPr>
      <w:r>
        <w:rPr>
          <w:color w:val="000000"/>
        </w:rPr>
        <w:t xml:space="preserve">4.2 Esperienza utente</w:t>
      </w:r>
    </w:p>
    <w:p>
      <w:pPr>
        <w:pStyle w:val="FirstParagraph"/>
        <w:jc w:val="both"/>
      </w:pPr>
      <w:r>
        <w:t xml:space="preserve">La versione CB-SBS presenta valutazioni tendenzialmente superiori alla precedente in 9 dimensioni su 10. Dei 27 partecipanti della versione CB-C, 16 hanno fornito valutazioni numeriche e 11 solo commenti aperti; per CB-SBS è stato escluso un record di test, portando il numeratore a 6. La tabella seguente confronta le medie delle due versioni.</w:t>
      </w:r>
    </w:p>
    <w:tbl>
      <w:tblPr>
        <w:tblStyle w:val="Table"/>
        <w:tblW w:type="pct" w:w="5000"/>
        <w:tblLook w:firstRow="1" w:lastRow="0" w:firstColumn="0" w:lastColumn="0" w:noHBand="0" w:noVBand="0" w:val="0020"/>
        <w:jc w:val="start"/>
      </w:tblPr>
      <w:tblGrid>
        <w:gridCol w:w="4180"/>
        <w:gridCol w:w="1540"/>
        <w:gridCol w:w="1430"/>
        <w:gridCol w:w="770"/>
      </w:tblGrid>
      <w:tr>
        <w:trPr>
          <w:tblHeader w:val="true"/>
        </w:trPr>
        <w:tc>
          <w:tcPr/>
          <w:p>
            <w:pPr>
              <w:pStyle w:val="Compact"/>
              <w:jc w:val="both"/>
            </w:pPr>
            <w:r>
              <w:t xml:space="preserve">Dimensione</w:t>
            </w:r>
          </w:p>
        </w:tc>
        <w:tc>
          <w:tcPr/>
          <w:p>
            <w:pPr>
              <w:pStyle w:val="Compact"/>
              <w:jc w:val="both"/>
            </w:pPr>
            <w:r>
              <w:t xml:space="preserve">CB-SBS (n=6)</w:t>
            </w:r>
          </w:p>
        </w:tc>
        <w:tc>
          <w:tcPr/>
          <w:p>
            <w:pPr>
              <w:pStyle w:val="Compact"/>
              <w:jc w:val="both"/>
            </w:pPr>
            <w:r>
              <w:t xml:space="preserve">CB-C (n=16)</w:t>
            </w:r>
          </w:p>
        </w:tc>
        <w:tc>
          <w:tcPr/>
          <w:p>
            <w:pPr>
              <w:pStyle w:val="Compact"/>
              <w:jc w:val="both"/>
            </w:pPr>
            <w:r>
              <w:t xml:space="preserve">Δ</w:t>
            </w:r>
          </w:p>
        </w:tc>
      </w:tr>
      <w:tr>
        <w:tc>
          <w:tcPr/>
          <w:p>
            <w:pPr>
              <w:pStyle w:val="Compact"/>
              <w:jc w:val="both"/>
            </w:pPr>
            <w:r>
              <w:t xml:space="preserve">Facilità d’uso</w:t>
            </w:r>
          </w:p>
        </w:tc>
        <w:tc>
          <w:tcPr/>
          <w:p>
            <w:pPr>
              <w:pStyle w:val="Compact"/>
              <w:jc w:val="both"/>
            </w:pPr>
            <w:r>
              <w:t xml:space="preserve">4,17</w:t>
            </w:r>
          </w:p>
        </w:tc>
        <w:tc>
          <w:tcPr/>
          <w:p>
            <w:pPr>
              <w:pStyle w:val="Compact"/>
              <w:jc w:val="both"/>
            </w:pPr>
            <w:r>
              <w:t xml:space="preserve">3,38</w:t>
            </w:r>
          </w:p>
        </w:tc>
        <w:tc>
          <w:tcPr/>
          <w:p>
            <w:pPr>
              <w:pStyle w:val="Compact"/>
              <w:jc w:val="both"/>
            </w:pPr>
            <w:r>
              <w:t xml:space="preserve">+0,79</w:t>
            </w:r>
          </w:p>
        </w:tc>
      </w:tr>
      <w:tr>
        <w:tc>
          <w:tcPr/>
          <w:p>
            <w:pPr>
              <w:pStyle w:val="Compact"/>
              <w:jc w:val="both"/>
            </w:pPr>
            <w:r>
              <w:t xml:space="preserve">Pertinenza delle risposte</w:t>
            </w:r>
          </w:p>
        </w:tc>
        <w:tc>
          <w:tcPr/>
          <w:p>
            <w:pPr>
              <w:pStyle w:val="Compact"/>
              <w:jc w:val="both"/>
            </w:pPr>
            <w:r>
              <w:t xml:space="preserve">4,17</w:t>
            </w:r>
          </w:p>
        </w:tc>
        <w:tc>
          <w:tcPr/>
          <w:p>
            <w:pPr>
              <w:pStyle w:val="Compact"/>
              <w:jc w:val="both"/>
            </w:pPr>
            <w:r>
              <w:t xml:space="preserve">3,56</w:t>
            </w:r>
          </w:p>
        </w:tc>
        <w:tc>
          <w:tcPr/>
          <w:p>
            <w:pPr>
              <w:pStyle w:val="Compact"/>
              <w:jc w:val="both"/>
            </w:pPr>
            <w:r>
              <w:t xml:space="preserve">+0,60</w:t>
            </w:r>
          </w:p>
        </w:tc>
      </w:tr>
      <w:tr>
        <w:tc>
          <w:tcPr/>
          <w:p>
            <w:pPr>
              <w:pStyle w:val="Compact"/>
              <w:jc w:val="both"/>
            </w:pPr>
            <w:r>
              <w:t xml:space="preserve">Fiducia nelle informazioni</w:t>
            </w:r>
          </w:p>
        </w:tc>
        <w:tc>
          <w:tcPr/>
          <w:p>
            <w:pPr>
              <w:pStyle w:val="Compact"/>
              <w:jc w:val="both"/>
            </w:pPr>
            <w:r>
              <w:t xml:space="preserve">3,83</w:t>
            </w:r>
          </w:p>
        </w:tc>
        <w:tc>
          <w:tcPr/>
          <w:p>
            <w:pPr>
              <w:pStyle w:val="Compact"/>
              <w:jc w:val="both"/>
            </w:pPr>
            <w:r>
              <w:t xml:space="preserve">3,19</w:t>
            </w:r>
          </w:p>
        </w:tc>
        <w:tc>
          <w:tcPr/>
          <w:p>
            <w:pPr>
              <w:pStyle w:val="Compact"/>
              <w:jc w:val="both"/>
            </w:pPr>
            <w:r>
              <w:t xml:space="preserve">+0,65</w:t>
            </w:r>
          </w:p>
        </w:tc>
      </w:tr>
      <w:tr>
        <w:tc>
          <w:tcPr/>
          <w:p>
            <w:pPr>
              <w:pStyle w:val="Compact"/>
              <w:jc w:val="both"/>
            </w:pPr>
            <w:r>
              <w:t xml:space="preserve">Coinvolgimento</w:t>
            </w:r>
          </w:p>
        </w:tc>
        <w:tc>
          <w:tcPr/>
          <w:p>
            <w:pPr>
              <w:pStyle w:val="Compact"/>
              <w:jc w:val="both"/>
            </w:pPr>
            <w:r>
              <w:t xml:space="preserve">3,67</w:t>
            </w:r>
          </w:p>
        </w:tc>
        <w:tc>
          <w:tcPr/>
          <w:p>
            <w:pPr>
              <w:pStyle w:val="Compact"/>
              <w:jc w:val="both"/>
            </w:pPr>
            <w:r>
              <w:t xml:space="preserve">3,06</w:t>
            </w:r>
          </w:p>
        </w:tc>
        <w:tc>
          <w:tcPr/>
          <w:p>
            <w:pPr>
              <w:pStyle w:val="Compact"/>
              <w:jc w:val="both"/>
            </w:pPr>
            <w:r>
              <w:t xml:space="preserve">+0,60</w:t>
            </w:r>
          </w:p>
        </w:tc>
      </w:tr>
      <w:tr>
        <w:tc>
          <w:tcPr/>
          <w:p>
            <w:pPr>
              <w:pStyle w:val="Compact"/>
              <w:jc w:val="both"/>
            </w:pPr>
            <w:r>
              <w:t xml:space="preserve">Capacità di stimolare la riflessione</w:t>
            </w:r>
          </w:p>
        </w:tc>
        <w:tc>
          <w:tcPr/>
          <w:p>
            <w:pPr>
              <w:pStyle w:val="Compact"/>
              <w:jc w:val="both"/>
            </w:pPr>
            <w:r>
              <w:t xml:space="preserve">3,83</w:t>
            </w:r>
          </w:p>
        </w:tc>
        <w:tc>
          <w:tcPr/>
          <w:p>
            <w:pPr>
              <w:pStyle w:val="Compact"/>
              <w:jc w:val="both"/>
            </w:pPr>
            <w:r>
              <w:t xml:space="preserve">3,25</w:t>
            </w:r>
          </w:p>
        </w:tc>
        <w:tc>
          <w:tcPr/>
          <w:p>
            <w:pPr>
              <w:pStyle w:val="Compact"/>
              <w:jc w:val="both"/>
            </w:pPr>
            <w:r>
              <w:t xml:space="preserve">+0,58</w:t>
            </w:r>
          </w:p>
        </w:tc>
      </w:tr>
      <w:tr>
        <w:tc>
          <w:tcPr/>
          <w:p>
            <w:pPr>
              <w:pStyle w:val="Compact"/>
              <w:jc w:val="both"/>
            </w:pPr>
            <w:r>
              <w:t xml:space="preserve">Chiarezza</w:t>
            </w:r>
          </w:p>
        </w:tc>
        <w:tc>
          <w:tcPr/>
          <w:p>
            <w:pPr>
              <w:pStyle w:val="Compact"/>
              <w:jc w:val="both"/>
            </w:pPr>
            <w:r>
              <w:t xml:space="preserve">4,00</w:t>
            </w:r>
          </w:p>
        </w:tc>
        <w:tc>
          <w:tcPr/>
          <w:p>
            <w:pPr>
              <w:pStyle w:val="Compact"/>
              <w:jc w:val="both"/>
            </w:pPr>
            <w:r>
              <w:t xml:space="preserve">3,69</w:t>
            </w:r>
          </w:p>
        </w:tc>
        <w:tc>
          <w:tcPr/>
          <w:p>
            <w:pPr>
              <w:pStyle w:val="Compact"/>
              <w:jc w:val="both"/>
            </w:pPr>
            <w:r>
              <w:t xml:space="preserve">+0,31</w:t>
            </w:r>
          </w:p>
        </w:tc>
      </w:tr>
      <w:tr>
        <w:tc>
          <w:tcPr/>
          <w:p>
            <w:pPr>
              <w:pStyle w:val="Compact"/>
              <w:jc w:val="both"/>
            </w:pPr>
            <w:r>
              <w:t xml:space="preserve">Velocità di risposta</w:t>
            </w:r>
          </w:p>
        </w:tc>
        <w:tc>
          <w:tcPr/>
          <w:p>
            <w:pPr>
              <w:pStyle w:val="Compact"/>
              <w:jc w:val="both"/>
            </w:pPr>
            <w:r>
              <w:t xml:space="preserve">3,83</w:t>
            </w:r>
          </w:p>
        </w:tc>
        <w:tc>
          <w:tcPr/>
          <w:p>
            <w:pPr>
              <w:pStyle w:val="Compact"/>
              <w:jc w:val="both"/>
            </w:pPr>
            <w:r>
              <w:t xml:space="preserve">3,44</w:t>
            </w:r>
          </w:p>
        </w:tc>
        <w:tc>
          <w:tcPr/>
          <w:p>
            <w:pPr>
              <w:pStyle w:val="Compact"/>
              <w:jc w:val="both"/>
            </w:pPr>
            <w:r>
              <w:t xml:space="preserve">+0,40</w:t>
            </w:r>
          </w:p>
        </w:tc>
      </w:tr>
      <w:tr>
        <w:tc>
          <w:tcPr/>
          <w:p>
            <w:pPr>
              <w:pStyle w:val="Compact"/>
              <w:jc w:val="both"/>
            </w:pPr>
            <w:r>
              <w:t xml:space="preserve">Dettaglio delle risposte</w:t>
            </w:r>
          </w:p>
        </w:tc>
        <w:tc>
          <w:tcPr/>
          <w:p>
            <w:pPr>
              <w:pStyle w:val="Compact"/>
              <w:jc w:val="both"/>
            </w:pPr>
            <w:r>
              <w:t xml:space="preserve">3,67</w:t>
            </w:r>
          </w:p>
        </w:tc>
        <w:tc>
          <w:tcPr/>
          <w:p>
            <w:pPr>
              <w:pStyle w:val="Compact"/>
              <w:jc w:val="both"/>
            </w:pPr>
            <w:r>
              <w:t xml:space="preserve">3,56</w:t>
            </w:r>
          </w:p>
        </w:tc>
        <w:tc>
          <w:tcPr/>
          <w:p>
            <w:pPr>
              <w:pStyle w:val="Compact"/>
              <w:jc w:val="both"/>
            </w:pPr>
            <w:r>
              <w:t xml:space="preserve">+0,10</w:t>
            </w:r>
          </w:p>
        </w:tc>
      </w:tr>
      <w:tr>
        <w:tc>
          <w:tcPr/>
          <w:p>
            <w:pPr>
              <w:pStyle w:val="Compact"/>
              <w:jc w:val="both"/>
            </w:pPr>
            <w:r>
              <w:t xml:space="preserve">Utilità percepita</w:t>
            </w:r>
          </w:p>
        </w:tc>
        <w:tc>
          <w:tcPr/>
          <w:p>
            <w:pPr>
              <w:pStyle w:val="Compact"/>
              <w:jc w:val="both"/>
            </w:pPr>
            <w:r>
              <w:t xml:space="preserve">3,17</w:t>
            </w:r>
          </w:p>
        </w:tc>
        <w:tc>
          <w:tcPr/>
          <w:p>
            <w:pPr>
              <w:pStyle w:val="Compact"/>
              <w:jc w:val="both"/>
            </w:pPr>
            <w:r>
              <w:t xml:space="preserve">3,31</w:t>
            </w:r>
          </w:p>
        </w:tc>
        <w:tc>
          <w:tcPr/>
          <w:p>
            <w:pPr>
              <w:pStyle w:val="Compact"/>
              <w:jc w:val="both"/>
            </w:pPr>
            <w:r>
              <w:t xml:space="preserve">−0,15</w:t>
            </w:r>
          </w:p>
        </w:tc>
      </w:tr>
      <w:tr>
        <w:tc>
          <w:tcPr/>
          <w:p>
            <w:pPr>
              <w:pStyle w:val="Compact"/>
              <w:jc w:val="both"/>
            </w:pPr>
            <w:r>
              <w:t xml:space="preserve">Intenzione di riutilizzo</w:t>
            </w:r>
          </w:p>
        </w:tc>
        <w:tc>
          <w:tcPr/>
          <w:p>
            <w:pPr>
              <w:pStyle w:val="Compact"/>
              <w:jc w:val="both"/>
            </w:pPr>
            <w:r>
              <w:t xml:space="preserve">3,83</w:t>
            </w:r>
          </w:p>
        </w:tc>
        <w:tc>
          <w:tcPr/>
          <w:p>
            <w:pPr>
              <w:pStyle w:val="Compact"/>
              <w:jc w:val="both"/>
            </w:pPr>
            <w:r>
              <w:t xml:space="preserve">3,12</w:t>
            </w:r>
          </w:p>
        </w:tc>
        <w:tc>
          <w:tcPr/>
          <w:p>
            <w:pPr>
              <w:pStyle w:val="Compact"/>
              <w:jc w:val="both"/>
            </w:pPr>
            <w:r>
              <w:t xml:space="preserve">+0,71</w:t>
            </w:r>
          </w:p>
        </w:tc>
      </w:tr>
    </w:tbl>
    <w:p>
      <w:pPr>
        <w:pStyle w:val="BodyText"/>
        <w:jc w:val="both"/>
      </w:pPr>
      <w:r>
        <w:t xml:space="preserve">I miglioramenti più marcati riguardano facilità d’uso (Δ = +0,79), intenzione di riutilizzo (Δ = +0,71) e fiducia (Δ = +0,65); l’unica dimensione sostanzialmente invariata è l’utilità percepita (Δ = −0,15, entro il range di variabilità atteso per campioni ridotti).</w:t>
      </w:r>
    </w:p>
    <w:bookmarkEnd w:id="40"/>
    <w:bookmarkStart w:id="41" w:name="risposte-aperte"/>
    <w:p>
      <w:pPr>
        <w:pStyle w:val="Heading3"/>
      </w:pPr>
      <w:r>
        <w:rPr>
          <w:color w:val="000000"/>
        </w:rPr>
        <w:t xml:space="preserve">4.3 Risposte aperte</w:t>
      </w:r>
    </w:p>
    <w:p>
      <w:pPr>
        <w:pStyle w:val="FirstParagraph"/>
        <w:jc w:val="both"/>
      </w:pPr>
      <w:r>
        <w:t xml:space="preserve">Undici partecipanti hanno fornito risposte alle domande aperte (tutti della versione CB-C). Dall’analisi tematica emergono quattro aree di criticità, affrontate nella versione CB-SBS.</w:t>
      </w:r>
    </w:p>
    <w:p>
      <w:pPr>
        <w:pStyle w:val="BodyText"/>
        <w:jc w:val="both"/>
      </w:pPr>
      <w:r>
        <w:t xml:space="preserve">Inserimento dati. (i) Tre partecipanti segnalano difficoltà nel caricamento dei punteggi: «mi ha chiesto di fare una cosa che avevo appena fatto», «inserirli 1 per 1 in chat è stato scomodo», con la richiesta esplicita di poter caricare un PDF per evitare errori di digitazione. Nella versione CB-SBS questa fase è stata sostituita da un form iniziale di inserimento e dal caricamento diretto dei PDF degli esiti.</w:t>
      </w:r>
    </w:p>
    <w:p>
      <w:pPr>
        <w:pStyle w:val="BodyText"/>
        <w:jc w:val="both"/>
      </w:pPr>
      <w:r>
        <w:t xml:space="preserve">Coerenza della memoria di sessione. (ii) Un partecipante riporta «incongruenze molto grandi tra i dati forniti e i riassunti finali» nella prima analisi, pur riconoscendo che una seconda analisi era più coerente. Nella versione CB-SBS la gestione della memoria di sessione è stata rivista attraverso una sintesi dinamica del dialogo, integrata dall’iniezione costante dei punteggi del profilo tramite file JSON a ogni turno, garantendo che il contesto venga preservato fedelmente lungo l’intero percorso.</w:t>
      </w:r>
    </w:p>
    <w:p>
      <w:pPr>
        <w:pStyle w:val="BodyText"/>
        <w:jc w:val="both"/>
      </w:pPr>
      <w:r>
        <w:t xml:space="preserve">Completezza del contesto. (iii) Un partecipante osserva che il</w:t>
      </w:r>
      <w:r>
        <w:t xml:space="preserve"> </w:t>
      </w:r>
      <w:r>
        <w:rPr>
          <w:iCs/>
          <w:i/>
        </w:rPr>
        <w:t xml:space="preserve">chatbot</w:t>
      </w:r>
      <w:r>
        <w:t xml:space="preserve"> </w:t>
      </w:r>
      <w:r>
        <w:t xml:space="preserve">«dimentica alcune informazioni». Nella versione CB-SBS la memoria di sessione è stata potenziata per preservare il contesto lungo l’intero dialogo, riducendo i fenomeni di</w:t>
      </w:r>
      <w:r>
        <w:t xml:space="preserve"> </w:t>
      </w:r>
      <w:r>
        <w:rPr>
          <w:iCs/>
          <w:i/>
        </w:rPr>
        <w:t xml:space="preserve">forgetting</w:t>
      </w:r>
      <w:r>
        <w:t xml:space="preserve">.</w:t>
      </w:r>
    </w:p>
    <w:p>
      <w:pPr>
        <w:pStyle w:val="BodyText"/>
        <w:jc w:val="both"/>
      </w:pPr>
      <w:r>
        <w:t xml:space="preserve">Lunghezza delle risposte. (iv) Un partecipante suggerisce di «sintetizzare le risposte». Nella versione CB-SBS è stato introdotto un limite di token per contenere l’estensione degli interventi del LLM, favorendo risposte più concise.</w:t>
      </w:r>
    </w:p>
    <w:p>
      <w:pPr>
        <w:pStyle w:val="BodyText"/>
        <w:jc w:val="both"/>
      </w:pPr>
      <w:r>
        <w:t xml:space="preserve">La scelta di un modello locale di dimensioni contenute, motivata in §2.3, si colloca nello stesso quadro di ottimizzazione: il benchmark preliminare ha orientato la selezione di una soluzione ritenuta adeguata al compito, sostenibile nei costi e più favorevole alla tutela della riservatezza.</w:t>
      </w:r>
    </w:p>
    <w:p>
      <w:pPr>
        <w:pStyle w:val="BodyText"/>
        <w:jc w:val="both"/>
      </w:pPr>
      <w:r>
        <w:t xml:space="preserve">Sei partecipanti hanno espresso valutazioni positive sulla chiarezza, la pertinenza e l’utilità del sistema, descrivendo l’esperienza come «positiva», «interessante» e «il</w:t>
      </w:r>
      <w:r>
        <w:t xml:space="preserve"> </w:t>
      </w:r>
      <w:r>
        <w:rPr>
          <w:iCs/>
          <w:i/>
        </w:rPr>
        <w:t xml:space="preserve">chatbot</w:t>
      </w:r>
      <w:r>
        <w:t xml:space="preserve"> </w:t>
      </w:r>
      <w:r>
        <w:t xml:space="preserve">ha risposto alle aspettative in modo esauriente».</w:t>
      </w:r>
    </w:p>
    <w:bookmarkEnd w:id="41"/>
    <w:bookmarkEnd w:id="42"/>
    <w:bookmarkStart w:id="43" w:name="discussione"/>
    <w:p>
      <w:pPr>
        <w:pStyle w:val="Heading2"/>
      </w:pPr>
      <w:r>
        <w:rPr>
          <w:color w:val="000000"/>
        </w:rPr>
        <w:t xml:space="preserve">5. Discussione</w:t>
      </w:r>
    </w:p>
    <w:p>
      <w:pPr>
        <w:pStyle w:val="FirstParagraph"/>
        <w:jc w:val="both"/>
      </w:pPr>
      <w:r>
        <w:t xml:space="preserve">Alla luce di questi risultati, si possono formulare le seguenti considerazioni. I risultati mostrano un miglioramento diffuso della versione CB-SBS rispetto alla precedente su 9 dimensioni su 10, con incrementi particolarmente marcati su facilità d’uso (Δ = +0,79), fiducia nelle informazioni (Δ = +0,65) e intenzione di riutilizzo (Δ = +0,71). Questi dati suggeriscono che le modifiche introdotte nella versione CB-SBS (cfr. §4) hanno prodotto un effetto positivo sull’esperienza utente.</w:t>
      </w:r>
    </w:p>
    <w:p>
      <w:pPr>
        <w:pStyle w:val="BodyText"/>
        <w:jc w:val="both"/>
      </w:pPr>
      <w:r>
        <w:t xml:space="preserve">Le criticità emerse dalle risposte aperte della versione CB-C riguardavano principalmente l’inserimento manuale dei dati e la coerenza delle analisi. La loro risoluzione nella versione CB-SBS è coerente con i punteggi più alti registrati in facilità d’uso e fiducia. Rimane da verificare su un campione più ampio se anche le altre dimensioni — in particolare l’utilità percepita, sostanzialmente invariata — beneficino delle stesse modifiche.</w:t>
      </w:r>
    </w:p>
    <w:p>
      <w:pPr>
        <w:pStyle w:val="BodyText"/>
        <w:jc w:val="both"/>
      </w:pPr>
      <w:r>
        <w:t xml:space="preserve">Il presente lavoro si colloca nella fase di test del modello ADDIE: i dati raccolti informano il ciclo iterativo di sviluppo, più che costituire una validazione conclusiva. Il campione è ridotto (n=6 per CB-SBS, n=16 per CB-C con dati numerici) e non probabilistico, e la differenza tra le due versioni potrebbe risentire di fattori confondenti come la diversa composizione demografica o la maturità del percorso di sviluppo. Per queste ragioni i risultati vanno letti come indicatori di tendenza, non come evidenza definitiva.</w:t>
      </w:r>
    </w:p>
    <w:p>
      <w:pPr>
        <w:pStyle w:val="BodyText"/>
        <w:jc w:val="both"/>
      </w:pPr>
      <w:r>
        <w:t xml:space="preserve">Sul piano più generale, l’architettura ibrida di Counselorbot — che combina passi guidati deterministici con la flessibilità di un LLM — si dimostra praticabile per l’autovalutazione assistita delle competenze strategiche. La possibilità di istruire il modello con direttive specifiche e di richiamare conoscenze contestuali apre la strada a forme di accompagnamento scalabili che la letteratura indica come ancora poco coperte (Wollny et al. 2021; Liu et al. 2025). Quanto alla sostenibilità economica sollevata in apertura, l’impiego di modelli aperti di dimensioni contenute, eseguibili anche su infrastrutture locali — come Gemma 4 4B, selezionato tramite benchmark sistematico per l’istanza CB-SBS — suggerisce una via percorribile per contenere i costi di esercizio.</w:t>
      </w:r>
    </w:p>
    <w:p>
      <w:pPr>
        <w:pStyle w:val="BodyText"/>
        <w:jc w:val="both"/>
      </w:pPr>
      <w:r>
        <w:t xml:space="preserve">Si aggiunga che il dato disponibile è esclusivamente basato sull’autovalutazione degli studenti, che potrebbe risentire di effetti di desiderabilità sociale; restano da acquisire metriche oggettive come tempi di risposta e tassi di completamento.</w:t>
      </w:r>
    </w:p>
    <w:bookmarkEnd w:id="43"/>
    <w:bookmarkStart w:id="44" w:name="conclusioni"/>
    <w:p>
      <w:pPr>
        <w:pStyle w:val="Heading2"/>
      </w:pPr>
      <w:r>
        <w:rPr>
          <w:color w:val="000000"/>
        </w:rPr>
        <w:t xml:space="preserve">6. Conclusioni</w:t>
      </w:r>
    </w:p>
    <w:p>
      <w:pPr>
        <w:pStyle w:val="FirstParagraph"/>
        <w:jc w:val="both"/>
      </w:pPr>
      <w:r>
        <w:t xml:space="preserve">Sebbene</w:t>
      </w:r>
      <w:r>
        <w:t xml:space="preserve"> </w:t>
      </w:r>
      <w:r>
        <w:rPr>
          <w:iCs/>
          <w:i/>
        </w:rPr>
        <w:t xml:space="preserve">Counselorbot</w:t>
      </w:r>
      <w:r>
        <w:t xml:space="preserve"> </w:t>
      </w:r>
      <w:r>
        <w:t xml:space="preserve">si trovi ancora in una fase di sviluppo, i risultati ottenuti consentono già di formulare alcune considerazioni rilevanti. Rispondendo alla prima domanda di ricerca (D1), i risultati mostrano che è possibile realizzare un</w:t>
      </w:r>
      <w:r>
        <w:t xml:space="preserve"> </w:t>
      </w:r>
      <w:r>
        <w:rPr>
          <w:iCs/>
          <w:i/>
        </w:rPr>
        <w:t xml:space="preserve">chatbot</w:t>
      </w:r>
      <w:r>
        <w:t xml:space="preserve"> </w:t>
      </w:r>
      <w:r>
        <w:t xml:space="preserve">mentoring efficace con un investimento infrastrutturale rapportato ai costi ricorrenti delle API commerciali, a condizione di disporre di hardware adeguato (§2.3). Quanto alla seconda (D2), i dati comparativi indicano che l’architettura step-by-step (CB-SBS) ottiene valutazioni superiori in 9 dimensioni su 10 rispetto a quella puramente conversazionale (CB-C), suggerendo che una struttura guidata sia più efficace per l’autovalutazione assistita (cfr. Liu et al., 2025; Wollny et al., 2021). In secondo luogo, evidenziano che la qualità di uno strumento di questo tipo non dipende da un singolo elemento, ma dalla configurazione complessiva di diversi fattori: la scelta del modello linguistico più adatto, la progettazione dell’esperienza d’uso, la gestione della memoria, la formulazione delle istruzioni, il modo e i tempi in cui esse vengono fornite, le conoscenze integrate nel sistema, le modalità di recupero delle informazioni e la presenza di un processo di miglioramento continuo.</w:t>
      </w:r>
    </w:p>
    <w:p>
      <w:pPr>
        <w:pStyle w:val="BodyText"/>
        <w:jc w:val="both"/>
      </w:pPr>
      <w:r>
        <w:t xml:space="preserve">Le prestazioni del chatbot possono quindi variare sensibilmente in funzione del design adottato. Il passaggio da un’architettura prevalentemente conversazionale a una struttura step-by-step, così come l’impiego di modelli linguistici differenti, ha mostrato quanto le scelte progettuali incidono (Kasneci et al., 2023; Antunes et al., 2025) non solo sulla coerenza delle risposte, sulla completezza dell’analisi e sulla capacità del sistema di accompagnare l’utente lungo un percorso di riflessione, ma anche sulla percezione complessiva dell’esperienza d’uso. I risultati comparativi mostrano infatti una tendenza favorevole alla versione CB-SBS nella maggior parte delle dimensioni considerate, in particolare per quanto riguarda la facilità d’uso, la fiducia nelle informazioni ricevute e l’intenzione di ri-utilizzare il sistema.</w:t>
      </w:r>
    </w:p>
    <w:p>
      <w:pPr>
        <w:pStyle w:val="BodyText"/>
        <w:jc w:val="both"/>
      </w:pPr>
      <w:r>
        <w:t xml:space="preserve">Questi risultati vanno tuttavia interpretati alla luce dei limiti dello studio. Il campione è ridotto (n=6 per CB-SBS, n=16 per CB-C con dati numerici) e non probabilistico; la differenza tra le due versioni potrebbe risentire di fattori confondenti come la diversa composizione demografica o la maturità del percorso di sviluppo. Lo studio si inserisce nella fase di test del modello ADDIE (Branch, 2009) e non costituisce una validazione conclusiva. Per queste ragioni i risultati vanno letti come indicatori di tendenza, non come evidenza definitiva.</w:t>
      </w:r>
    </w:p>
    <w:p>
      <w:pPr>
        <w:pStyle w:val="BodyText"/>
        <w:jc w:val="both"/>
      </w:pPr>
      <w:r>
        <w:t xml:space="preserve">Per quanto riguarda lo sviluppo futuro, le direzioni di lavoro possono essere articolate su tre orizzonti temporali. A breve termine, l’obiettivo è consolidare l’affidabilità del percorso guidato sul QSA ed estendere la sperimentazione agli altri strumenti del sistema — QSAr, ZTPI, intervista di Savickas, QPCS, QPCC e QAP — per verificarne l’efficacia su un ventaglio più ampio di costrutti e utenti. Parallelamente, i dati raccolti durante le interazioni, opportunamente anonimizzati, potranno essere impiegati per un affinamento (</w:t>
      </w:r>
      <w:r>
        <w:rPr>
          <w:iCs/>
          <w:i/>
        </w:rPr>
        <w:t xml:space="preserve">fine-tuning</w:t>
      </w:r>
      <w:r>
        <w:t xml:space="preserve">) del modello linguistico — ovvero un addestramento aggiuntivo sui dati specifici del dominio — per migliorare progressivamente la pertinenza delle risposte e l’aderenza al contesto dell’orientamento.</w:t>
      </w:r>
    </w:p>
    <w:p>
      <w:pPr>
        <w:pStyle w:val="BodyText"/>
        <w:jc w:val="both"/>
      </w:pPr>
      <w:r>
        <w:t xml:space="preserve">A medio termine, lo sviluppo riguarda la possibilità di rendere Counselorbot multilingue, così da ampliarne l’accessibilità in contesti educativi internazionali. Tale evoluzione richiede non solo la traduzione dell’interfaccia e delle istruzioni del sistema, ma anche la disponibilità di versioni validate degli strumenti del portale</w:t>
      </w:r>
      <w:r>
        <w:t xml:space="preserve"> </w:t>
      </w:r>
      <w:r>
        <w:rPr>
          <w:iCs/>
          <w:i/>
        </w:rPr>
        <w:t xml:space="preserve">Competenze strategiche</w:t>
      </w:r>
      <w:r>
        <w:t xml:space="preserve"> </w:t>
      </w:r>
      <w:r>
        <w:t xml:space="preserve">in inglese e nelle altre lingue di interesse.</w:t>
      </w:r>
    </w:p>
    <w:p>
      <w:pPr>
        <w:pStyle w:val="BodyText"/>
        <w:jc w:val="both"/>
      </w:pPr>
      <w:r>
        <w:t xml:space="preserve">A lungo termine, si prospettano studi longitudinali per valutare l’impatto del sistema sulle strategie di apprendimento, sui processi di autoriflessione e sulle capacità di orientamento degli studenti. Sarà inoltre necessario proseguire la valutazione con gruppi di utenti più ampi e differenziati, analizzando le modalità con cui studenti, tutor e orientatori possono integrare lo strumento nelle rispettive pratiche. L’evoluzione dei modelli con meno di 15 miliardi di parametri — soglia che ha orientato la selezione per l’infrastruttura locale — amplia continuamente lo spazio delle opzioni disponibili. A titolo esemplificativo, Gemma 4 12B (Gemma Team, 2025) non era ancora disponibile al momento della valutazione e, una volta testato, potrebbe rivelarsi un candidato interessante per le future iterazioni del sistema.</w:t>
      </w:r>
    </w:p>
    <w:bookmarkEnd w:id="44"/>
    <w:bookmarkStart w:id="45" w:name="bibliografia"/>
    <w:p>
      <w:pPr>
        <w:pStyle w:val="Heading2"/>
      </w:pPr>
      <w:r>
        <w:rPr>
          <w:color w:val="000000"/>
        </w:rPr>
        <w:t xml:space="preserve">Bibliografia</w:t>
      </w:r>
    </w:p>
    <w:p>
      <w:pPr>
        <w:pStyle w:val="FirstParagraph"/>
        <w:jc w:val="both"/>
      </w:pPr>
      <w:r>
        <w:t xml:space="preserve">Gemma Team, Google DeepMind. (2025). Gemma 4: Advancing open language models. https://ai.google.dev/gemma</w:t>
      </w:r>
    </w:p>
    <w:p>
      <w:pPr>
        <w:pStyle w:val="BodyText"/>
        <w:jc w:val="both"/>
      </w:pPr>
      <w:r>
        <w:t xml:space="preserve">Pellerey, M., Epifani, F., Grządziel, D., Margottini, M., &amp; Ottone, E. (2013).</w:t>
      </w:r>
      <w:r>
        <w:t xml:space="preserve"> </w:t>
      </w:r>
      <w:r>
        <w:rPr>
          <w:iCs/>
          <w:i/>
        </w:rPr>
        <w:t xml:space="preserve">Imparare a dirigere se stessi</w:t>
      </w:r>
      <w:r>
        <w:t xml:space="preserve">. CNOS-FAP, Roma.</w:t>
      </w:r>
    </w:p>
    <w:p>
      <w:pPr>
        <w:pStyle w:val="BodyText"/>
        <w:jc w:val="both"/>
      </w:pPr>
      <w:r>
        <w:t xml:space="preserve">Puech, R., Mačina, J., Chatain, J., Sachan, M., &amp; Kapur, M. (2025). Towards the pedagogical steering of large language models for tutoring: A case study with modeling productive failure. In</w:t>
      </w:r>
      <w:r>
        <w:t xml:space="preserve"> </w:t>
      </w:r>
      <w:r>
        <w:rPr>
          <w:iCs/>
          <w:i/>
        </w:rPr>
        <w:t xml:space="preserve">Findings of the Association for Computational Linguistics: ACL 2025</w:t>
      </w:r>
      <w:r>
        <w:t xml:space="preserve">. https://doi.org/10.18653/v1/2025.findings-acl.1348</w:t>
      </w:r>
    </w:p>
    <w:p>
      <w:pPr>
        <w:pStyle w:val="BodyText"/>
        <w:jc w:val="both"/>
      </w:pPr>
      <w:r>
        <w:t xml:space="preserve">Antunes, L. G., Passarelli, B., &amp; Claro, S. V. (2025). Large language models as Socratic mentors: Transforming educational approaches for epistemic development.</w:t>
      </w:r>
      <w:r>
        <w:t xml:space="preserve"> </w:t>
      </w:r>
      <w:r>
        <w:rPr>
          <w:iCs/>
          <w:i/>
        </w:rPr>
        <w:t xml:space="preserve">Aracê, 7</w:t>
      </w:r>
      <w:r>
        <w:t xml:space="preserve">(5), 24921–24936. https://doi.org/10.56238/arev7n5-229</w:t>
      </w:r>
    </w:p>
    <w:p>
      <w:pPr>
        <w:pStyle w:val="BodyText"/>
        <w:jc w:val="both"/>
      </w:pPr>
      <w:r>
        <w:t xml:space="preserve">Bender, E. M., Gebru, T., McMillan-Major, A., &amp; Shmitchell, S. (2021). On the dangers of stochastic parrots: Can language models be too big? In</w:t>
      </w:r>
      <w:r>
        <w:t xml:space="preserve"> </w:t>
      </w:r>
      <w:r>
        <w:rPr>
          <w:iCs/>
          <w:i/>
        </w:rPr>
        <w:t xml:space="preserve">Proceedings of the 2021 ACM Conference on Fairness, Accountability, and Transparency</w:t>
      </w:r>
      <w:r>
        <w:t xml:space="preserve"> </w:t>
      </w:r>
      <w:r>
        <w:t xml:space="preserve">(pp. 610–623). https://doi.org/10.1145/3442188.3445922</w:t>
      </w:r>
    </w:p>
    <w:p>
      <w:pPr>
        <w:pStyle w:val="BodyText"/>
        <w:jc w:val="both"/>
      </w:pPr>
      <w:r>
        <w:t xml:space="preserve">Branch, R. M. (2009).</w:t>
      </w:r>
      <w:r>
        <w:t xml:space="preserve"> </w:t>
      </w:r>
      <w:r>
        <w:rPr>
          <w:iCs/>
          <w:i/>
        </w:rPr>
        <w:t xml:space="preserve">Instructional design: The ADDIE approach</w:t>
      </w:r>
      <w:r>
        <w:t xml:space="preserve">. Springer. https://doi.org/10.1007/978-0-387-09506-6</w:t>
      </w:r>
    </w:p>
    <w:p>
      <w:pPr>
        <w:pStyle w:val="BodyText"/>
        <w:jc w:val="both"/>
      </w:pPr>
      <w:r>
        <w:t xml:space="preserve">Brown, T. B., Mann, B., Ryder, N., et al. (2020). Language models are few-shot learners.</w:t>
      </w:r>
      <w:r>
        <w:t xml:space="preserve"> </w:t>
      </w:r>
      <w:r>
        <w:rPr>
          <w:iCs/>
          <w:i/>
        </w:rPr>
        <w:t xml:space="preserve">Advances in Neural Information Processing Systems, 33</w:t>
      </w:r>
      <w:r>
        <w:t xml:space="preserve">, 1877–1901.</w:t>
      </w:r>
    </w:p>
    <w:p>
      <w:pPr>
        <w:pStyle w:val="BodyText"/>
        <w:jc w:val="both"/>
      </w:pPr>
      <w:r>
        <w:t xml:space="preserve">Chang, D. H., Lin, M. P.-C., Hajian, S., &amp; Wang, Q. Q. (2023). Educational design principles of using AI</w:t>
      </w:r>
      <w:r>
        <w:t xml:space="preserve"> </w:t>
      </w:r>
      <w:r>
        <w:rPr>
          <w:iCs/>
          <w:i/>
        </w:rPr>
        <w:t xml:space="preserve">chatbot</w:t>
      </w:r>
      <w:r>
        <w:t xml:space="preserve"> </w:t>
      </w:r>
      <w:r>
        <w:t xml:space="preserve">that supports self-regulated learning in education: Goal setting, feedback, and personalization.</w:t>
      </w:r>
      <w:r>
        <w:t xml:space="preserve"> </w:t>
      </w:r>
      <w:r>
        <w:rPr>
          <w:iCs/>
          <w:i/>
        </w:rPr>
        <w:t xml:space="preserve">Sustainability, 15</w:t>
      </w:r>
      <w:r>
        <w:t xml:space="preserve">(17), 12921. https://doi.org/10.3390/su151712921</w:t>
      </w:r>
    </w:p>
    <w:p>
      <w:pPr>
        <w:pStyle w:val="BodyText"/>
        <w:jc w:val="both"/>
      </w:pPr>
      <w:r>
        <w:t xml:space="preserve">Cukurova, M., Luckin, R., &amp; Kent, C. (2020). Impact of an artificial intelligence research frame on the perceived credibility of educational research evidence.</w:t>
      </w:r>
      <w:r>
        <w:t xml:space="preserve"> </w:t>
      </w:r>
      <w:r>
        <w:rPr>
          <w:iCs/>
          <w:i/>
        </w:rPr>
        <w:t xml:space="preserve">International Journal of Artificial Intelligence in Education, 30</w:t>
      </w:r>
      <w:r>
        <w:t xml:space="preserve">(2), 205–235. https://doi.org/10.1007/s40593-019-00188-w</w:t>
      </w:r>
    </w:p>
    <w:p>
      <w:pPr>
        <w:pStyle w:val="BodyText"/>
        <w:jc w:val="both"/>
      </w:pPr>
      <w:r>
        <w:t xml:space="preserve">D’Silva, G. M., Jani, M., Jadhav, V., Bhoir, A., &amp; Amin, P. N. (2020). Career counselling</w:t>
      </w:r>
      <w:r>
        <w:t xml:space="preserve"> </w:t>
      </w:r>
      <w:r>
        <w:rPr>
          <w:iCs/>
          <w:i/>
        </w:rPr>
        <w:t xml:space="preserve">chatbot</w:t>
      </w:r>
      <w:r>
        <w:t xml:space="preserve"> </w:t>
      </w:r>
      <w:r>
        <w:t xml:space="preserve">using cognitive science and artificial intelligence. In H. Vasudevan, A. Michalas, N. Shekokar, &amp; M. Narvekar (Eds.),</w:t>
      </w:r>
      <w:r>
        <w:t xml:space="preserve"> </w:t>
      </w:r>
      <w:r>
        <w:rPr>
          <w:iCs/>
          <w:i/>
        </w:rPr>
        <w:t xml:space="preserve">Advanced computing technologies and applications</w:t>
      </w:r>
      <w:r>
        <w:t xml:space="preserve"> </w:t>
      </w:r>
      <w:r>
        <w:t xml:space="preserve">(pp. 1–9). Springer. https://doi.org/10.1007/978-981-15-3242-9_1</w:t>
      </w:r>
    </w:p>
    <w:p>
      <w:pPr>
        <w:pStyle w:val="BodyText"/>
        <w:jc w:val="both"/>
      </w:pPr>
      <w:r>
        <w:t xml:space="preserve">Jemstedt, A., Bälter, O., Gavel, A., Glassey, R., &amp; Bosk, D. (2024). Less to produce and less to consume: The advantage of pure question-based learning.</w:t>
      </w:r>
      <w:r>
        <w:t xml:space="preserve"> </w:t>
      </w:r>
      <w:r>
        <w:rPr>
          <w:iCs/>
          <w:i/>
        </w:rPr>
        <w:t xml:space="preserve">Interactive Learning Environments</w:t>
      </w:r>
      <w:r>
        <w:t xml:space="preserve">. https://doi.org/10.1080/10494820.2024.2362830</w:t>
      </w:r>
    </w:p>
    <w:p>
      <w:pPr>
        <w:pStyle w:val="BodyText"/>
        <w:jc w:val="both"/>
      </w:pPr>
      <w:r>
        <w:t xml:space="preserve">Kasneci, E., Seßler, K., Küchemann, S., et al. (2023). ChatGPT for good? On opportunities and challenges of large language models for education.</w:t>
      </w:r>
      <w:r>
        <w:t xml:space="preserve"> </w:t>
      </w:r>
      <w:r>
        <w:rPr>
          <w:iCs/>
          <w:i/>
        </w:rPr>
        <w:t xml:space="preserve">Learning and Individual Differences, 103</w:t>
      </w:r>
      <w:r>
        <w:t xml:space="preserve">, 102274. https://doi.org/10.1016/j.lindif.2023.102274</w:t>
      </w:r>
    </w:p>
    <w:p>
      <w:pPr>
        <w:pStyle w:val="BodyText"/>
        <w:jc w:val="both"/>
      </w:pPr>
      <w:r>
        <w:t xml:space="preserve">Kuhail, M. A., Alturki, N., Alramlawi, S., &amp; Alhejori, K. (2022). Interacting with educational</w:t>
      </w:r>
      <w:r>
        <w:t xml:space="preserve"> </w:t>
      </w:r>
      <w:r>
        <w:rPr>
          <w:iCs/>
          <w:i/>
        </w:rPr>
        <w:t xml:space="preserve">chatbot</w:t>
      </w:r>
      <w:r>
        <w:t xml:space="preserve">s: A systematic review.</w:t>
      </w:r>
      <w:r>
        <w:t xml:space="preserve"> </w:t>
      </w:r>
      <w:r>
        <w:rPr>
          <w:iCs/>
          <w:i/>
        </w:rPr>
        <w:t xml:space="preserve">Education and Information Technologies, 28</w:t>
      </w:r>
      <w:r>
        <w:t xml:space="preserve">(1), 973–1018. https://doi.org/10.1007/s10639-022-11177-3</w:t>
      </w:r>
    </w:p>
    <w:p>
      <w:pPr>
        <w:pStyle w:val="BodyText"/>
        <w:jc w:val="both"/>
      </w:pPr>
      <w:r>
        <w:t xml:space="preserve">Lewis, P., Perez, E., Piktus, A., et al. (2020). Retrieval-Augmented Generation for knowledge-intensive NLP tasks.</w:t>
      </w:r>
      <w:r>
        <w:t xml:space="preserve"> </w:t>
      </w:r>
      <w:r>
        <w:rPr>
          <w:iCs/>
          <w:i/>
        </w:rPr>
        <w:t xml:space="preserve">Advances in Neural Information Processing Systems, 33</w:t>
      </w:r>
      <w:r>
        <w:t xml:space="preserve">, 9459–9474.</w:t>
      </w:r>
    </w:p>
    <w:p>
      <w:pPr>
        <w:pStyle w:val="BodyText"/>
        <w:jc w:val="both"/>
      </w:pPr>
      <w:r>
        <w:t xml:space="preserve">Liu, X., Xiao, Y., &amp; Li, D. (2025). Assessing strategic use of artificial intelligence in self-regulated learning: Instrument development and evidence from Chinese university students.</w:t>
      </w:r>
      <w:r>
        <w:t xml:space="preserve"> </w:t>
      </w:r>
      <w:r>
        <w:rPr>
          <w:iCs/>
          <w:i/>
        </w:rPr>
        <w:t xml:space="preserve">International Journal of Educational Technology in Higher Education, 22</w:t>
      </w:r>
      <w:r>
        <w:t xml:space="preserve">, 69. https://doi.org/10.1186/s41239-025-00567-5</w:t>
      </w:r>
    </w:p>
    <w:p>
      <w:pPr>
        <w:pStyle w:val="BodyText"/>
        <w:jc w:val="both"/>
      </w:pPr>
      <w:r>
        <w:t xml:space="preserve">Mendez, S., Johanson, K., Conley, V. M., et al. (2020).</w:t>
      </w:r>
      <w:r>
        <w:t xml:space="preserve"> </w:t>
      </w:r>
      <w:r>
        <w:rPr>
          <w:iCs/>
          <w:i/>
        </w:rPr>
        <w:t xml:space="preserve">chatbot</w:t>
      </w:r>
      <w:r>
        <w:t xml:space="preserve">s: A tool to supplement the future faculty mentoring of doctoral engineering students.</w:t>
      </w:r>
      <w:r>
        <w:t xml:space="preserve"> </w:t>
      </w:r>
      <w:r>
        <w:rPr>
          <w:iCs/>
          <w:i/>
        </w:rPr>
        <w:t xml:space="preserve">International Journal of Doctoral Studies, 15</w:t>
      </w:r>
      <w:r>
        <w:t xml:space="preserve">, 373–392. https://doi.org/10.28945/4579</w:t>
      </w:r>
    </w:p>
    <w:p>
      <w:pPr>
        <w:pStyle w:val="BodyText"/>
        <w:jc w:val="both"/>
      </w:pPr>
      <w:r>
        <w:t xml:space="preserve">Neumann, A. T., Arndt, T., Köbis, L., et al. (2021).</w:t>
      </w:r>
      <w:r>
        <w:t xml:space="preserve"> </w:t>
      </w:r>
      <w:r>
        <w:rPr>
          <w:iCs/>
          <w:i/>
        </w:rPr>
        <w:t xml:space="preserve">chatbot</w:t>
      </w:r>
      <w:r>
        <w:t xml:space="preserve">s as a tool to scale mentoring processes: Individually supporting self-study in higher education.</w:t>
      </w:r>
      <w:r>
        <w:t xml:space="preserve"> </w:t>
      </w:r>
      <w:r>
        <w:rPr>
          <w:iCs/>
          <w:i/>
        </w:rPr>
        <w:t xml:space="preserve">Frontiers in Artificial Intelligence, 4</w:t>
      </w:r>
      <w:r>
        <w:t xml:space="preserve">, 668220. https://doi.org/10.3389/frai.2021.668220</w:t>
      </w:r>
    </w:p>
    <w:p>
      <w:pPr>
        <w:pStyle w:val="BodyText"/>
        <w:jc w:val="both"/>
      </w:pPr>
      <w:r>
        <w:t xml:space="preserve">Savickas, M. L. (2018). The career construction interview. In</w:t>
      </w:r>
      <w:r>
        <w:t xml:space="preserve"> </w:t>
      </w:r>
      <w:r>
        <w:rPr>
          <w:iCs/>
          <w:i/>
        </w:rPr>
        <w:t xml:space="preserve">Career counseling</w:t>
      </w:r>
      <w:r>
        <w:t xml:space="preserve"> </w:t>
      </w:r>
      <w:r>
        <w:t xml:space="preserve">(2a ed., pp. 57–70). American Psychological Association. https://doi.org/10.1037/0000105-004</w:t>
      </w:r>
    </w:p>
    <w:p>
      <w:pPr>
        <w:pStyle w:val="BodyText"/>
        <w:jc w:val="both"/>
      </w:pPr>
      <w:r>
        <w:t xml:space="preserve">Self, J. A. (1974). Student models in computer-aided instruction.</w:t>
      </w:r>
      <w:r>
        <w:t xml:space="preserve"> </w:t>
      </w:r>
      <w:r>
        <w:rPr>
          <w:iCs/>
          <w:i/>
        </w:rPr>
        <w:t xml:space="preserve">International Journal of Man-Machine Studies, 6</w:t>
      </w:r>
      <w:r>
        <w:t xml:space="preserve">(2), 261–276. https://doi.org/10.1016/S0020-7373(74)80005-2</w:t>
      </w:r>
    </w:p>
    <w:p>
      <w:pPr>
        <w:pStyle w:val="BodyText"/>
        <w:jc w:val="both"/>
      </w:pPr>
      <w:r>
        <w:t xml:space="preserve">Su, L. H., Truong, D.-H., Tran, T.-Y.-L., et al. (2020). Development of an AI</w:t>
      </w:r>
      <w:r>
        <w:t xml:space="preserve"> </w:t>
      </w:r>
      <w:r>
        <w:rPr>
          <w:iCs/>
          <w:i/>
        </w:rPr>
        <w:t xml:space="preserve">chatbot</w:t>
      </w:r>
      <w:r>
        <w:t xml:space="preserve"> </w:t>
      </w:r>
      <w:r>
        <w:t xml:space="preserve">to support admissions and career guidance for universities.</w:t>
      </w:r>
      <w:r>
        <w:t xml:space="preserve"> </w:t>
      </w:r>
      <w:r>
        <w:rPr>
          <w:iCs/>
          <w:i/>
        </w:rPr>
        <w:t xml:space="preserve">International Journal of Emerging Multidisciplinary Research, 4</w:t>
      </w:r>
      <w:r>
        <w:t xml:space="preserve">(2), 13–20. https://doi.org/10.22662/IJEMR.2020.4.2.013</w:t>
      </w:r>
    </w:p>
    <w:p>
      <w:pPr>
        <w:pStyle w:val="BodyText"/>
        <w:jc w:val="both"/>
      </w:pPr>
      <w:r>
        <w:t xml:space="preserve">Susnjak, T. (2023). Beyond predictive learning analytics modelling and onto explainable artificial intelligence with prescriptive analytics and ChatGPT.</w:t>
      </w:r>
      <w:r>
        <w:t xml:space="preserve"> </w:t>
      </w:r>
      <w:r>
        <w:rPr>
          <w:iCs/>
          <w:i/>
        </w:rPr>
        <w:t xml:space="preserve">International Journal of Artificial Intelligence in Education, 34</w:t>
      </w:r>
      <w:r>
        <w:t xml:space="preserve">, 452–482. https://doi.org/10.1007/s40593-023-00336-3</w:t>
      </w:r>
    </w:p>
    <w:p>
      <w:pPr>
        <w:pStyle w:val="BodyText"/>
        <w:jc w:val="both"/>
      </w:pPr>
      <w:r>
        <w:t xml:space="preserve">Tankelevitch, L., Kewenig, V., Simkute, A., et al. (2024). The metacognitive demands and opportunities of generative AI. In</w:t>
      </w:r>
      <w:r>
        <w:t xml:space="preserve"> </w:t>
      </w:r>
      <w:r>
        <w:rPr>
          <w:iCs/>
          <w:i/>
        </w:rPr>
        <w:t xml:space="preserve">Proceedings of the 2024 CHI Conference on Human Factors in Computing Systems</w:t>
      </w:r>
      <w:r>
        <w:t xml:space="preserve"> </w:t>
      </w:r>
      <w:r>
        <w:t xml:space="preserve">(pp. 1–24). https://doi.org/10.1145/3613904.3642902</w:t>
      </w:r>
    </w:p>
    <w:p>
      <w:pPr>
        <w:pStyle w:val="BodyText"/>
        <w:jc w:val="both"/>
      </w:pPr>
      <w:r>
        <w:t xml:space="preserve">Weizenbaum, J. (1966). ELIZA—A computer program for the study of natural language communication between man and machine.</w:t>
      </w:r>
      <w:r>
        <w:t xml:space="preserve"> </w:t>
      </w:r>
      <w:r>
        <w:rPr>
          <w:iCs/>
          <w:i/>
        </w:rPr>
        <w:t xml:space="preserve">Communications of the ACM, 9</w:t>
      </w:r>
      <w:r>
        <w:t xml:space="preserve">(1), 36–45. https://doi.org/10.1145/365153.365168</w:t>
      </w:r>
    </w:p>
    <w:p>
      <w:pPr>
        <w:pStyle w:val="BodyText"/>
        <w:jc w:val="both"/>
      </w:pPr>
      <w:r>
        <w:t xml:space="preserve">Wollny, S., Schneider, J., Di Mitri, D., et al. (2021). Are we there yet? A systematic literature review on</w:t>
      </w:r>
      <w:r>
        <w:t xml:space="preserve"> </w:t>
      </w:r>
      <w:r>
        <w:rPr>
          <w:iCs/>
          <w:i/>
        </w:rPr>
        <w:t xml:space="preserve">chatbot</w:t>
      </w:r>
      <w:r>
        <w:t xml:space="preserve">s in education.</w:t>
      </w:r>
      <w:r>
        <w:t xml:space="preserve"> </w:t>
      </w:r>
      <w:r>
        <w:rPr>
          <w:iCs/>
          <w:i/>
        </w:rPr>
        <w:t xml:space="preserve">Frontiers in Artificial Intelligence, 4</w:t>
      </w:r>
      <w:r>
        <w:t xml:space="preserve">, 654924. https://doi.org/10.3389/frai.2021.654924</w:t>
      </w:r>
    </w:p>
    <w:p>
      <w:pPr>
        <w:pStyle w:val="BodyText"/>
        <w:jc w:val="both"/>
      </w:pPr>
      <w:r>
        <w:t xml:space="preserve">Zawacki-Richter, O., Marín, V. I., Bond, M., &amp; Gouverneur, F. (2019). Systematic review of research on artificial intelligence applications in higher education: Where are the educators?</w:t>
      </w:r>
      <w:r>
        <w:t xml:space="preserve"> </w:t>
      </w:r>
      <w:r>
        <w:rPr>
          <w:iCs/>
          <w:i/>
        </w:rPr>
        <w:t xml:space="preserve">International Journal of Educational Technology in Higher Education, 16</w:t>
      </w:r>
      <w:r>
        <w:t xml:space="preserve">(1), 39. https://doi.org/10.1186/s41239-019-0171-0</w:t>
      </w:r>
    </w:p>
    <w:bookmarkEnd w:id="45"/>
    <w:bookmarkEnd w:id="46"/>
    <w:sectPr w:rsidR="00FC693F" w:rsidRPr="0006063C" w:rsidSect="00034616">
      <w:pgSz w:h="15840" w:w="12240"/>
      <w:pgMar w:bottom="1417" w:footer="720" w:gutter="0" w:header="720" w:left="1701" w:right="1701" w:top="1417"/>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20" w:line="360" w:lineRule="auto"/>
      <w:jc w:val="both"/>
    </w:pPr>
    <w:rPr>
      <w:rFonts w:ascii="Times New Roman" w:hAnsi="Times New Roman"/>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jc w:val="both"/>
    </w:pPr>
    <w:rPr>
      <w:rFonts w:ascii="Times New Roman" w:hAnsi="Times New Roman"/>
    </w:rPr>
  </w:style>
  <w:style w:customStyle="1" w:styleId="HeaderChar" w:type="character">
    <w:name w:val="Header Char"/>
    <w:basedOn w:val="DefaultParagraphFont"/>
    <w:link w:val="Header"/>
    <w:uiPriority w:val="99"/>
    <w:rsid w:val="00E618BF"/>
    <w:rPr>
      <w:rFonts w:ascii="Times New Roman" w:hAnsi="Times New Roman"/>
    </w:rPr>
  </w:style>
  <w:style w:styleId="Footer" w:type="paragraph">
    <w:name w:val="footer"/>
    <w:basedOn w:val="Normal"/>
    <w:link w:val="FooterChar"/>
    <w:uiPriority w:val="99"/>
    <w:unhideWhenUsed/>
    <w:rsid w:val="00E618BF"/>
    <w:pPr>
      <w:tabs>
        <w:tab w:pos="4680" w:val="center"/>
        <w:tab w:pos="9360" w:val="right"/>
      </w:tabs>
      <w:spacing w:after="0" w:line="240" w:lineRule="auto"/>
      <w:jc w:val="both"/>
    </w:pPr>
    <w:rPr>
      <w:rFonts w:ascii="Times New Roman" w:hAnsi="Times New Roman"/>
    </w:rPr>
  </w:style>
  <w:style w:customStyle="1" w:styleId="FooterChar" w:type="character">
    <w:name w:val="Footer Char"/>
    <w:basedOn w:val="DefaultParagraphFont"/>
    <w:link w:val="Footer"/>
    <w:uiPriority w:val="99"/>
    <w:rsid w:val="00E618BF"/>
    <w:rPr>
      <w:rFonts w:ascii="Times New Roman" w:hAnsi="Times New Roman"/>
    </w:rPr>
  </w:style>
  <w:style w:styleId="Heading1" w:type="paragraph">
    <w:name w:val="heading 1"/>
    <w:basedOn w:val="Normal"/>
    <w:next w:val="Normal"/>
    <w:link w:val="Heading1Char"/>
    <w:uiPriority w:val="9"/>
    <w:qFormat/>
    <w:rsid w:val="00FC693F"/>
    <w:pPr>
      <w:keepNext/>
      <w:keepLines/>
      <w:spacing w:after="0" w:before="480"/>
      <w:outlineLvl w:val="0"/>
    </w:pPr>
    <w:rPr>
      <w:rFonts w:ascii="Times New Roman" w:asciiTheme="majorHAnsi" w:cstheme="majorBidi" w:eastAsiaTheme="majorEastAsia" w:hAnsi="Times New Roman" w:hAnsiTheme="majorHAnsi"/>
      <w:b/>
      <w:bCs/>
      <w:sz w:val="28"/>
      <w:szCs w:val="28"/>
      <w:color w:val="000000"/>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Times New Roman" w:asciiTheme="majorHAnsi" w:cstheme="majorBidi" w:eastAsiaTheme="majorEastAsia" w:hAnsi="Times New Roman" w:hAnsiTheme="majorHAnsi"/>
      <w:b/>
      <w:bCs/>
      <w:sz w:val="26"/>
      <w:szCs w:val="26"/>
      <w:color w:val="000000"/>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imes New Roman" w:asciiTheme="majorHAnsi" w:cstheme="majorBidi" w:eastAsiaTheme="majorEastAsia" w:hAnsi="Times New Roman" w:hAnsiTheme="majorHAnsi"/>
      <w:b/>
      <w:bCs/>
      <w:sz w:val="24"/>
      <w:color w:val="00000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imes New Roman" w:asciiTheme="majorHAnsi" w:cstheme="majorBidi" w:eastAsiaTheme="majorEastAsia" w:hAnsi="Times New Roman" w:hAnsiTheme="majorHAnsi"/>
      <w:b/>
      <w:bCs/>
      <w:i/>
      <w:iCs/>
      <w:color w:val="000000"/>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imes New Roman" w:asciiTheme="majorHAnsi" w:cstheme="majorBidi" w:eastAsiaTheme="majorEastAsia" w:hAnsi="Times New Roman" w:hAnsiTheme="majorHAnsi"/>
      <w:color w:val="00000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imes New Roman" w:asciiTheme="majorHAnsi" w:cstheme="majorBidi" w:eastAsiaTheme="majorEastAsia" w:hAnsi="Times New Roman" w:hAnsiTheme="majorHAnsi"/>
      <w:i/>
      <w:iCs/>
      <w:color w:val="00000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imes New Roman" w:asciiTheme="majorHAnsi" w:cstheme="majorBidi" w:eastAsiaTheme="majorEastAsia" w:hAnsi="Times New Roman" w:hAnsiTheme="majorHAnsi"/>
      <w:i/>
      <w:iCs/>
      <w:color w:val="00000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imes New Roman" w:asciiTheme="majorHAnsi" w:cstheme="majorBidi" w:eastAsiaTheme="majorEastAsia" w:hAnsi="Times New Roman" w:hAnsiTheme="majorHAnsi"/>
      <w:sz w:val="20"/>
      <w:szCs w:val="20"/>
      <w:color w:val="00000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imes New Roman" w:asciiTheme="majorHAnsi" w:cstheme="majorBidi" w:eastAsiaTheme="majorEastAsia" w:hAnsi="Times New Roman" w:hAnsiTheme="majorHAnsi"/>
      <w:i/>
      <w:iCs/>
      <w:sz w:val="20"/>
      <w:szCs w:val="20"/>
      <w:color w:val="000000"/>
    </w:rPr>
  </w:style>
  <w:style w:default="1" w:styleId="DefaultParagraphFont" w:type="character">
    <w:name w:val="Default Paragraph Font"/>
    <w:uiPriority w:val="1"/>
    <w:semiHidden/>
    <w:unhideWhenUsed/>
    <w:rPr>
      <w:rFonts w:ascii="Times New Roman" w:hAnsi="Times New Roman"/>
    </w:rPr>
  </w:style>
  <w:style w:default="1" w:styleId="TableNormal" w:type="table">
    <w:name w:val="Normal Table"/>
    <w:uiPriority w:val="99"/>
    <w:semiHidden/>
    <w:unhideWhenUsed/>
    <w:rPr>
      <w:rFonts w:ascii="Times New Roman" w:hAnsi="Times New Roman"/>
    </w:rPr>
    <w:tblPr>
      <w:tblInd w:type="dxa" w:w="0"/>
      <w:tblCellMar>
        <w:top w:type="dxa" w:w="0"/>
        <w:left w:type="dxa" w:w="108"/>
        <w:bottom w:type="dxa" w:w="0"/>
        <w:right w:type="dxa" w:w="108"/>
      </w:tblCellMar>
    </w:tblPr>
  </w:style>
  <w:style w:default="1" w:styleId="NoList" w:type="numbering">
    <w:name w:val="No List"/>
    <w:uiPriority w:val="99"/>
    <w:semiHidden/>
    <w:unhideWhenUsed/>
    <w:rPr>
      <w:rFonts w:ascii="Times New Roman" w:hAnsi="Times New Roman"/>
    </w:rPr>
  </w:style>
  <w:style w:styleId="NoSpacing" w:type="paragraph">
    <w:name w:val="No Spacing"/>
    <w:uiPriority w:val="1"/>
    <w:qFormat/>
    <w:rsid w:val="00FC693F"/>
    <w:pPr>
      <w:spacing w:after="0" w:line="240" w:lineRule="auto"/>
      <w:jc w:val="both"/>
    </w:pPr>
    <w:rPr>
      <w:rFonts w:ascii="Times New Roman" w:hAnsi="Times New Roman"/>
    </w:rPr>
  </w:style>
  <w:style w:customStyle="1" w:styleId="Heading1Char" w:type="character">
    <w:name w:val="Heading 1 Char"/>
    <w:basedOn w:val="DefaultParagraphFont"/>
    <w:link w:val="Heading1"/>
    <w:uiPriority w:val="9"/>
    <w:rsid w:val="00FC693F"/>
    <w:rPr>
      <w:rFonts w:ascii="Times New Roman" w:asciiTheme="majorHAnsi" w:cstheme="majorBidi" w:eastAsiaTheme="majorEastAsia" w:hAnsi="Times New Roman" w:hAnsiTheme="majorHAnsi"/>
      <w:b/>
      <w:bCs/>
      <w:sz w:val="28"/>
      <w:szCs w:val="28"/>
    </w:rPr>
  </w:style>
  <w:style w:customStyle="1" w:styleId="Heading2Char" w:type="character">
    <w:name w:val="Heading 2 Char"/>
    <w:basedOn w:val="DefaultParagraphFont"/>
    <w:link w:val="Heading2"/>
    <w:uiPriority w:val="9"/>
    <w:rsid w:val="00FC693F"/>
    <w:rPr>
      <w:rFonts w:ascii="Times New Roman" w:asciiTheme="majorHAnsi" w:cstheme="majorBidi" w:eastAsiaTheme="majorEastAsia" w:hAnsi="Times New Roman" w:hAnsiTheme="majorHAnsi"/>
      <w:b/>
      <w:bCs/>
      <w:sz w:val="26"/>
      <w:szCs w:val="26"/>
    </w:rPr>
  </w:style>
  <w:style w:customStyle="1" w:styleId="Heading3Char" w:type="character">
    <w:name w:val="Heading 3 Char"/>
    <w:basedOn w:val="DefaultParagraphFont"/>
    <w:link w:val="Heading3"/>
    <w:uiPriority w:val="9"/>
    <w:rsid w:val="00FC693F"/>
    <w:rPr>
      <w:rFonts w:ascii="Times New Roman" w:asciiTheme="majorHAnsi" w:cstheme="majorBidi" w:eastAsiaTheme="majorEastAsia" w:hAnsi="Times New Roman" w:hAnsiTheme="majorHAnsi"/>
      <w:b/>
      <w:bCs/>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imes New Roman" w:asciiTheme="majorHAnsi" w:cstheme="majorBidi" w:eastAsiaTheme="majorEastAsia" w:hAnsi="Times New Roman" w:hAnsiTheme="majorHAnsi"/>
      <w:spacing w:val="5"/>
      <w:kern w:val="28"/>
      <w:sz w:val="52"/>
      <w:szCs w:val="52"/>
      <w:color w:val="000000"/>
    </w:rPr>
  </w:style>
  <w:style w:customStyle="1" w:styleId="TitleChar" w:type="character">
    <w:name w:val="Title Char"/>
    <w:basedOn w:val="DefaultParagraphFont"/>
    <w:link w:val="Title"/>
    <w:uiPriority w:val="10"/>
    <w:rsid w:val="00FC693F"/>
    <w:rPr>
      <w:rFonts w:ascii="Times New Roman" w:asciiTheme="majorHAnsi" w:cstheme="majorBidi" w:eastAsiaTheme="majorEastAsia" w:hAnsi="Times New Roman" w:hAnsiTheme="majorHAnsi"/>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imes New Roman" w:asciiTheme="majorHAnsi" w:cstheme="majorBidi" w:eastAsiaTheme="majorEastAsia" w:hAnsi="Times New Roman" w:hAnsiTheme="majorHAnsi"/>
      <w:i/>
      <w:iCs/>
      <w:spacing w:val="15"/>
      <w:sz w:val="24"/>
      <w:szCs w:val="24"/>
      <w:color w:val="000000"/>
    </w:rPr>
  </w:style>
  <w:style w:customStyle="1" w:styleId="SubtitleChar" w:type="character">
    <w:name w:val="Subtitle Char"/>
    <w:basedOn w:val="DefaultParagraphFont"/>
    <w:link w:val="Subtitle"/>
    <w:uiPriority w:val="11"/>
    <w:rsid w:val="00FC693F"/>
    <w:rPr>
      <w:rFonts w:ascii="Times New Roman" w:asciiTheme="majorHAnsi" w:cstheme="majorBidi" w:eastAsiaTheme="majorEastAsia" w:hAnsi="Times New Roman" w:hAnsiTheme="majorHAnsi"/>
      <w:i/>
      <w:iCs/>
      <w:spacing w:val="15"/>
      <w:sz w:val="24"/>
      <w:szCs w:val="24"/>
    </w:rPr>
  </w:style>
  <w:style w:styleId="ListParagraph" w:type="paragraph">
    <w:name w:val="List Paragraph"/>
    <w:basedOn w:val="Normal"/>
    <w:uiPriority w:val="34"/>
    <w:qFormat/>
    <w:rsid w:val="00FC693F"/>
    <w:pPr>
      <w:ind w:left="720"/>
      <w:contextualSpacing/>
      <w:jc w:val="both"/>
    </w:pPr>
    <w:rPr>
      <w:rFonts w:ascii="Times New Roman" w:hAnsi="Times New Roman"/>
    </w:rPr>
  </w:style>
  <w:style w:styleId="BodyText" w:type="paragraph">
    <w:name w:val="Body Text"/>
    <w:basedOn w:val="Normal"/>
    <w:link w:val="BodyTextChar"/>
    <w:uiPriority w:val="99"/>
    <w:unhideWhenUsed/>
    <w:rsid w:val="00AA1D8D"/>
    <w:pPr>
      <w:spacing w:after="120"/>
      <w:jc w:val="both"/>
    </w:pPr>
    <w:rPr>
      <w:rFonts w:ascii="Times New Roman" w:hAnsi="Times New Roman"/>
    </w:rPr>
  </w:style>
  <w:style w:customStyle="1" w:styleId="BodyTextChar" w:type="character">
    <w:name w:val="Body Text Char"/>
    <w:basedOn w:val="DefaultParagraphFont"/>
    <w:link w:val="BodyText"/>
    <w:uiPriority w:val="99"/>
    <w:rsid w:val="00AA1D8D"/>
    <w:rPr>
      <w:rFonts w:ascii="Times New Roman" w:hAnsi="Times New Roman"/>
    </w:rPr>
  </w:style>
  <w:style w:styleId="BodyText2" w:type="paragraph">
    <w:name w:val="Body Text 2"/>
    <w:basedOn w:val="Normal"/>
    <w:link w:val="BodyText2Char"/>
    <w:uiPriority w:val="99"/>
    <w:unhideWhenUsed/>
    <w:rsid w:val="00AA1D8D"/>
    <w:pPr>
      <w:spacing w:after="120" w:line="480" w:lineRule="auto"/>
      <w:jc w:val="both"/>
    </w:pPr>
    <w:rPr>
      <w:rFonts w:ascii="Times New Roman" w:hAnsi="Times New Roman"/>
    </w:rPr>
  </w:style>
  <w:style w:customStyle="1" w:styleId="BodyText2Char" w:type="character">
    <w:name w:val="Body Text 2 Char"/>
    <w:basedOn w:val="DefaultParagraphFont"/>
    <w:link w:val="BodyText2"/>
    <w:uiPriority w:val="99"/>
    <w:rsid w:val="00AA1D8D"/>
    <w:rPr>
      <w:rFonts w:ascii="Times New Roman" w:hAnsi="Times New Roman"/>
    </w:rPr>
  </w:style>
  <w:style w:styleId="BodyText3" w:type="paragraph">
    <w:name w:val="Body Text 3"/>
    <w:basedOn w:val="Normal"/>
    <w:link w:val="BodyText3Char"/>
    <w:uiPriority w:val="99"/>
    <w:unhideWhenUsed/>
    <w:rsid w:val="00AA1D8D"/>
    <w:pPr>
      <w:spacing w:after="120"/>
      <w:jc w:val="both"/>
    </w:pPr>
    <w:rPr>
      <w:rFonts w:ascii="Times New Roman" w:hAnsi="Times New Roman"/>
      <w:sz w:val="16"/>
      <w:szCs w:val="16"/>
    </w:rPr>
  </w:style>
  <w:style w:customStyle="1" w:styleId="BodyText3Char" w:type="character">
    <w:name w:val="Body Text 3 Char"/>
    <w:basedOn w:val="DefaultParagraphFont"/>
    <w:link w:val="BodyText3"/>
    <w:uiPriority w:val="99"/>
    <w:rsid w:val="00AA1D8D"/>
    <w:rPr>
      <w:rFonts w:ascii="Times New Roman" w:hAnsi="Times New Roman"/>
      <w:sz w:val="16"/>
      <w:szCs w:val="16"/>
    </w:rPr>
  </w:style>
  <w:style w:styleId="List" w:type="paragraph">
    <w:name w:val="List"/>
    <w:basedOn w:val="Normal"/>
    <w:uiPriority w:val="99"/>
    <w:unhideWhenUsed/>
    <w:rsid w:val="00AA1D8D"/>
    <w:pPr>
      <w:ind w:hanging="360" w:left="360"/>
      <w:contextualSpacing/>
      <w:jc w:val="both"/>
    </w:pPr>
    <w:rPr>
      <w:rFonts w:ascii="Times New Roman" w:hAnsi="Times New Roman"/>
    </w:rPr>
  </w:style>
  <w:style w:styleId="List2" w:type="paragraph">
    <w:name w:val="List 2"/>
    <w:basedOn w:val="Normal"/>
    <w:uiPriority w:val="99"/>
    <w:unhideWhenUsed/>
    <w:rsid w:val="00326F90"/>
    <w:pPr>
      <w:ind w:hanging="360" w:left="720"/>
      <w:contextualSpacing/>
      <w:jc w:val="both"/>
    </w:pPr>
    <w:rPr>
      <w:rFonts w:ascii="Times New Roman" w:hAnsi="Times New Roman"/>
    </w:rPr>
  </w:style>
  <w:style w:styleId="List3" w:type="paragraph">
    <w:name w:val="List 3"/>
    <w:basedOn w:val="Normal"/>
    <w:uiPriority w:val="99"/>
    <w:unhideWhenUsed/>
    <w:rsid w:val="00326F90"/>
    <w:pPr>
      <w:ind w:hanging="360" w:left="1080"/>
      <w:contextualSpacing/>
      <w:jc w:val="both"/>
    </w:pPr>
    <w:rPr>
      <w:rFonts w:ascii="Times New Roman" w:hAnsi="Times New Roman"/>
    </w:rPr>
  </w:style>
  <w:style w:styleId="ListBullet" w:type="paragraph">
    <w:name w:val="List Bullet"/>
    <w:basedOn w:val="Normal"/>
    <w:uiPriority w:val="99"/>
    <w:unhideWhenUsed/>
    <w:rsid w:val="00326F90"/>
    <w:pPr>
      <w:numPr>
        <w:numId w:val="1"/>
      </w:numPr>
      <w:contextualSpacing/>
      <w:jc w:val="both"/>
    </w:pPr>
    <w:rPr>
      <w:rFonts w:ascii="Times New Roman" w:hAnsi="Times New Roman"/>
    </w:rPr>
  </w:style>
  <w:style w:styleId="ListBullet2" w:type="paragraph">
    <w:name w:val="List Bullet 2"/>
    <w:basedOn w:val="Normal"/>
    <w:uiPriority w:val="99"/>
    <w:unhideWhenUsed/>
    <w:rsid w:val="00326F90"/>
    <w:pPr>
      <w:numPr>
        <w:numId w:val="2"/>
      </w:numPr>
      <w:contextualSpacing/>
      <w:jc w:val="both"/>
    </w:pPr>
    <w:rPr>
      <w:rFonts w:ascii="Times New Roman" w:hAnsi="Times New Roman"/>
    </w:rPr>
  </w:style>
  <w:style w:styleId="ListBullet3" w:type="paragraph">
    <w:name w:val="List Bullet 3"/>
    <w:basedOn w:val="Normal"/>
    <w:uiPriority w:val="99"/>
    <w:unhideWhenUsed/>
    <w:rsid w:val="00326F90"/>
    <w:pPr>
      <w:numPr>
        <w:numId w:val="3"/>
      </w:numPr>
      <w:contextualSpacing/>
      <w:jc w:val="both"/>
    </w:pPr>
    <w:rPr>
      <w:rFonts w:ascii="Times New Roman" w:hAnsi="Times New Roman"/>
    </w:rPr>
  </w:style>
  <w:style w:styleId="ListNumber" w:type="paragraph">
    <w:name w:val="List Number"/>
    <w:basedOn w:val="Normal"/>
    <w:uiPriority w:val="99"/>
    <w:unhideWhenUsed/>
    <w:rsid w:val="00326F90"/>
    <w:pPr>
      <w:numPr>
        <w:numId w:val="5"/>
      </w:numPr>
      <w:contextualSpacing/>
      <w:jc w:val="both"/>
    </w:pPr>
    <w:rPr>
      <w:rFonts w:ascii="Times New Roman" w:hAnsi="Times New Roman"/>
    </w:rPr>
  </w:style>
  <w:style w:styleId="ListNumber2" w:type="paragraph">
    <w:name w:val="List Number 2"/>
    <w:basedOn w:val="Normal"/>
    <w:uiPriority w:val="99"/>
    <w:unhideWhenUsed/>
    <w:rsid w:val="0029639D"/>
    <w:pPr>
      <w:numPr>
        <w:numId w:val="6"/>
      </w:numPr>
      <w:contextualSpacing/>
      <w:jc w:val="both"/>
    </w:pPr>
    <w:rPr>
      <w:rFonts w:ascii="Times New Roman" w:hAnsi="Times New Roman"/>
    </w:rPr>
  </w:style>
  <w:style w:styleId="ListNumber3" w:type="paragraph">
    <w:name w:val="List Number 3"/>
    <w:basedOn w:val="Normal"/>
    <w:uiPriority w:val="99"/>
    <w:unhideWhenUsed/>
    <w:rsid w:val="0029639D"/>
    <w:pPr>
      <w:numPr>
        <w:numId w:val="7"/>
      </w:numPr>
      <w:contextualSpacing/>
      <w:jc w:val="both"/>
    </w:pPr>
    <w:rPr>
      <w:rFonts w:ascii="Times New Roman" w:hAnsi="Times New Roman"/>
    </w:rPr>
  </w:style>
  <w:style w:styleId="ListContinue" w:type="paragraph">
    <w:name w:val="List Continue"/>
    <w:basedOn w:val="Normal"/>
    <w:uiPriority w:val="99"/>
    <w:unhideWhenUsed/>
    <w:rsid w:val="0029639D"/>
    <w:pPr>
      <w:spacing w:after="120"/>
      <w:ind w:left="360"/>
      <w:contextualSpacing/>
      <w:jc w:val="both"/>
    </w:pPr>
    <w:rPr>
      <w:rFonts w:ascii="Times New Roman" w:hAnsi="Times New Roman"/>
    </w:rPr>
  </w:style>
  <w:style w:styleId="ListContinue2" w:type="paragraph">
    <w:name w:val="List Continue 2"/>
    <w:basedOn w:val="Normal"/>
    <w:uiPriority w:val="99"/>
    <w:unhideWhenUsed/>
    <w:rsid w:val="0029639D"/>
    <w:pPr>
      <w:spacing w:after="120"/>
      <w:ind w:left="720"/>
      <w:contextualSpacing/>
      <w:jc w:val="both"/>
    </w:pPr>
    <w:rPr>
      <w:rFonts w:ascii="Times New Roman" w:hAnsi="Times New Roman"/>
    </w:rPr>
  </w:style>
  <w:style w:styleId="ListContinue3" w:type="paragraph">
    <w:name w:val="List Continue 3"/>
    <w:basedOn w:val="Normal"/>
    <w:uiPriority w:val="99"/>
    <w:unhideWhenUsed/>
    <w:rsid w:val="0029639D"/>
    <w:pPr>
      <w:spacing w:after="120"/>
      <w:ind w:left="1080"/>
      <w:contextualSpacing/>
      <w:jc w:val="both"/>
    </w:pPr>
    <w:rPr>
      <w:rFonts w:ascii="Times New Roman" w:hAnsi="Times New Roman"/>
    </w:r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jc w:val="both"/>
    </w:pPr>
    <w:rPr>
      <w:rFonts w:ascii="Times New Roman" w:hAnsi="Times New Roman"/>
      <w:sz w:val="20"/>
      <w:szCs w:val="20"/>
    </w:rPr>
  </w:style>
  <w:style w:customStyle="1" w:styleId="MacroTextChar" w:type="character">
    <w:name w:val="Macro Text Char"/>
    <w:basedOn w:val="DefaultParagraphFont"/>
    <w:link w:val="MacroText"/>
    <w:uiPriority w:val="99"/>
    <w:rsid w:val="0029639D"/>
    <w:rPr>
      <w:rFonts w:ascii="Times New Roman" w:hAnsi="Times New Roman"/>
      <w:sz w:val="20"/>
      <w:szCs w:val="20"/>
    </w:rPr>
  </w:style>
  <w:style w:styleId="Quote" w:type="paragraph">
    <w:pPr>
      <w:jc w:val="both"/>
    </w:pPr>
    <w:name w:val="Quote"/>
    <w:basedOn w:val="Normal"/>
    <w:next w:val="Normal"/>
    <w:link w:val="QuoteChar"/>
    <w:uiPriority w:val="29"/>
    <w:qFormat/>
    <w:rsid w:val="00FC693F"/>
    <w:rPr>
      <w:rFonts w:ascii="Times New Roman" w:hAnsi="Times New Roman"/>
      <w:i/>
      <w:iCs/>
    </w:rPr>
  </w:style>
  <w:style w:customStyle="1" w:styleId="QuoteChar" w:type="character">
    <w:name w:val="Quote Char"/>
    <w:basedOn w:val="DefaultParagraphFont"/>
    <w:link w:val="Quote"/>
    <w:uiPriority w:val="29"/>
    <w:rsid w:val="00FC693F"/>
    <w:rPr>
      <w:rFonts w:ascii="Times New Roman" w:hAnsi="Times New Roman"/>
      <w:i/>
      <w:iCs/>
    </w:rPr>
  </w:style>
  <w:style w:customStyle="1" w:styleId="Heading4Char" w:type="character">
    <w:name w:val="Heading 4 Char"/>
    <w:basedOn w:val="DefaultParagraphFont"/>
    <w:link w:val="Heading4"/>
    <w:uiPriority w:val="9"/>
    <w:semiHidden/>
    <w:rsid w:val="00FC693F"/>
    <w:rPr>
      <w:rFonts w:ascii="Times New Roman" w:asciiTheme="majorHAnsi" w:cstheme="majorBidi" w:eastAsiaTheme="majorEastAsia" w:hAnsi="Times New Roman" w:hAnsiTheme="majorHAnsi"/>
      <w:b/>
      <w:bCs/>
      <w:i/>
      <w:iCs/>
    </w:rPr>
  </w:style>
  <w:style w:customStyle="1" w:styleId="Heading5Char" w:type="character">
    <w:name w:val="Heading 5 Char"/>
    <w:basedOn w:val="DefaultParagraphFont"/>
    <w:link w:val="Heading5"/>
    <w:uiPriority w:val="9"/>
    <w:semiHidden/>
    <w:rsid w:val="00FC693F"/>
    <w:rPr>
      <w:rFonts w:ascii="Times New Roman" w:asciiTheme="majorHAnsi" w:cstheme="majorBidi" w:eastAsiaTheme="majorEastAsia" w:hAnsi="Times New Roman" w:hAnsiTheme="majorHAnsi"/>
    </w:rPr>
  </w:style>
  <w:style w:customStyle="1" w:styleId="Heading6Char" w:type="character">
    <w:name w:val="Heading 6 Char"/>
    <w:basedOn w:val="DefaultParagraphFont"/>
    <w:link w:val="Heading6"/>
    <w:uiPriority w:val="9"/>
    <w:semiHidden/>
    <w:rsid w:val="00FC693F"/>
    <w:rPr>
      <w:rFonts w:ascii="Times New Roman" w:asciiTheme="majorHAnsi" w:cstheme="majorBidi" w:eastAsiaTheme="majorEastAsia" w:hAnsi="Times New Roman" w:hAnsiTheme="majorHAnsi"/>
      <w:i/>
      <w:iCs/>
    </w:rPr>
  </w:style>
  <w:style w:customStyle="1" w:styleId="Heading7Char" w:type="character">
    <w:name w:val="Heading 7 Char"/>
    <w:basedOn w:val="DefaultParagraphFont"/>
    <w:link w:val="Heading7"/>
    <w:uiPriority w:val="9"/>
    <w:semiHidden/>
    <w:rsid w:val="00FC693F"/>
    <w:rPr>
      <w:rFonts w:ascii="Times New Roman" w:asciiTheme="majorHAnsi" w:cstheme="majorBidi" w:eastAsiaTheme="majorEastAsia" w:hAnsi="Times New Roman" w:hAnsiTheme="majorHAnsi"/>
      <w:i/>
      <w:iCs/>
    </w:rPr>
  </w:style>
  <w:style w:customStyle="1" w:styleId="Heading8Char" w:type="character">
    <w:name w:val="Heading 8 Char"/>
    <w:basedOn w:val="DefaultParagraphFont"/>
    <w:link w:val="Heading8"/>
    <w:uiPriority w:val="9"/>
    <w:semiHidden/>
    <w:rsid w:val="00FC693F"/>
    <w:rPr>
      <w:rFonts w:ascii="Times New Roman" w:asciiTheme="majorHAnsi" w:cstheme="majorBidi" w:eastAsiaTheme="majorEastAsia" w:hAnsi="Times New Roman" w:hAnsiTheme="majorHAnsi"/>
      <w:sz w:val="20"/>
      <w:szCs w:val="20"/>
    </w:rPr>
  </w:style>
  <w:style w:customStyle="1" w:styleId="Heading9Char" w:type="character">
    <w:name w:val="Heading 9 Char"/>
    <w:basedOn w:val="DefaultParagraphFont"/>
    <w:link w:val="Heading9"/>
    <w:uiPriority w:val="9"/>
    <w:semiHidden/>
    <w:rsid w:val="00FC693F"/>
    <w:rPr>
      <w:rFonts w:ascii="Times New Roman" w:asciiTheme="majorHAnsi" w:cstheme="majorBidi" w:eastAsiaTheme="majorEastAsia" w:hAnsi="Times New Roman" w:hAnsiTheme="majorHAnsi"/>
      <w:i/>
      <w:iCs/>
      <w:sz w:val="20"/>
      <w:szCs w:val="20"/>
    </w:rPr>
  </w:style>
  <w:style w:styleId="Caption" w:type="paragraph">
    <w:name w:val="caption"/>
    <w:basedOn w:val="Normal"/>
    <w:next w:val="Normal"/>
    <w:uiPriority w:val="35"/>
    <w:semiHidden/>
    <w:unhideWhenUsed/>
    <w:qFormat/>
    <w:rsid w:val="00FC693F"/>
    <w:pPr>
      <w:spacing w:line="240" w:lineRule="auto"/>
      <w:jc w:val="both"/>
    </w:pPr>
    <w:rPr>
      <w:rFonts w:ascii="Times New Roman" w:hAnsi="Times New Roman"/>
      <w:b/>
      <w:bCs/>
      <w:sz w:val="18"/>
      <w:szCs w:val="18"/>
    </w:rPr>
  </w:style>
  <w:style w:styleId="Strong" w:type="character">
    <w:name w:val="Strong"/>
    <w:basedOn w:val="DefaultParagraphFont"/>
    <w:uiPriority w:val="22"/>
    <w:qFormat/>
    <w:rsid w:val="00FC693F"/>
    <w:rPr>
      <w:rFonts w:ascii="Times New Roman" w:hAnsi="Times New Roman"/>
      <w:b/>
      <w:bCs/>
    </w:rPr>
  </w:style>
  <w:style w:styleId="Emphasis" w:type="character">
    <w:name w:val="Emphasis"/>
    <w:basedOn w:val="DefaultParagraphFont"/>
    <w:uiPriority w:val="20"/>
    <w:qFormat/>
    <w:rsid w:val="00FC693F"/>
    <w:rPr>
      <w:rFonts w:ascii="Times New Roman" w:hAnsi="Times New Roman"/>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jc w:val="both"/>
    </w:pPr>
    <w:rPr>
      <w:rFonts w:ascii="Times New Roman" w:hAnsi="Times New Roman"/>
      <w:b/>
      <w:bCs/>
      <w:i/>
      <w:iCs/>
    </w:rPr>
  </w:style>
  <w:style w:customStyle="1" w:styleId="IntenseQuoteChar" w:type="character">
    <w:name w:val="Intense Quote Char"/>
    <w:basedOn w:val="DefaultParagraphFont"/>
    <w:link w:val="IntenseQuote"/>
    <w:uiPriority w:val="30"/>
    <w:rsid w:val="00FC693F"/>
    <w:rPr>
      <w:rFonts w:ascii="Times New Roman" w:hAnsi="Times New Roman"/>
      <w:b/>
      <w:bCs/>
      <w:i/>
      <w:iCs/>
    </w:rPr>
  </w:style>
  <w:style w:styleId="SubtleEmphasis" w:type="character">
    <w:name w:val="Subtle Emphasis"/>
    <w:basedOn w:val="DefaultParagraphFont"/>
    <w:uiPriority w:val="19"/>
    <w:qFormat/>
    <w:rsid w:val="00FC693F"/>
    <w:rPr>
      <w:rFonts w:ascii="Times New Roman" w:hAnsi="Times New Roman"/>
      <w:i/>
      <w:iCs/>
    </w:rPr>
  </w:style>
  <w:style w:styleId="IntenseEmphasis" w:type="character">
    <w:name w:val="Intense Emphasis"/>
    <w:basedOn w:val="DefaultParagraphFont"/>
    <w:uiPriority w:val="21"/>
    <w:qFormat/>
    <w:rsid w:val="00FC693F"/>
    <w:rPr>
      <w:rFonts w:ascii="Times New Roman" w:hAnsi="Times New Roman"/>
      <w:b/>
      <w:bCs/>
      <w:i/>
      <w:iCs/>
    </w:rPr>
  </w:style>
  <w:style w:styleId="SubtleReference" w:type="character">
    <w:name w:val="Subtle Reference"/>
    <w:basedOn w:val="DefaultParagraphFont"/>
    <w:uiPriority w:val="31"/>
    <w:qFormat/>
    <w:rsid w:val="00FC693F"/>
    <w:rPr>
      <w:rFonts w:ascii="Times New Roman" w:hAnsi="Times New Roman"/>
      <w:smallCaps/>
      <w:u w:val="single"/>
    </w:rPr>
  </w:style>
  <w:style w:styleId="IntenseReference" w:type="character">
    <w:name w:val="Intense Reference"/>
    <w:basedOn w:val="DefaultParagraphFont"/>
    <w:uiPriority w:val="32"/>
    <w:qFormat/>
    <w:rsid w:val="00FC693F"/>
    <w:rPr>
      <w:rFonts w:ascii="Times New Roman" w:hAnsi="Times New Roman"/>
      <w:b/>
      <w:bCs/>
      <w:smallCaps/>
      <w:spacing w:val="5"/>
      <w:u w:val="single"/>
    </w:rPr>
  </w:style>
  <w:style w:styleId="BookTitle" w:type="character">
    <w:name w:val="Book Title"/>
    <w:basedOn w:val="DefaultParagraphFont"/>
    <w:uiPriority w:val="33"/>
    <w:qFormat/>
    <w:rsid w:val="00FC693F"/>
    <w:rPr>
      <w:rFonts w:ascii="Times New Roman" w:hAnsi="Times New Roman"/>
      <w:b/>
      <w:bCs/>
      <w:smallCaps/>
      <w:spacing w:val="5"/>
    </w:rPr>
  </w:style>
  <w:style w:styleId="TOCHeading" w:type="paragraph">
    <w:name w:val="TOC Heading"/>
    <w:basedOn w:val="Heading1"/>
    <w:next w:val="Normal"/>
    <w:uiPriority w:val="39"/>
    <w:semiHidden/>
    <w:unhideWhenUsed/>
    <w:qFormat/>
    <w:rsid w:val="00FC693F"/>
    <w:pPr>
      <w:outlineLvl w:val="9"/>
    </w:pPr>
    <w:rPr>
      <w:rFonts w:ascii="Times New Roman" w:hAnsi="Times New Roman"/>
      <w:color w:val="000000"/>
    </w:rPr>
  </w:style>
  <w:style w:styleId="TableGrid" w:type="table">
    <w:name w:val="Table Grid"/>
    <w:basedOn w:val="TableNormal"/>
    <w:uiPriority w:val="59"/>
    <w:rsid w:val="00FC693F"/>
    <w:pPr>
      <w:spacing w:after="0" w:line="240" w:lineRule="auto"/>
    </w:pPr>
    <w:rPr>
      <w:rFonts w:ascii="Times New Roman" w:hAnsi="Times New Roman"/>
    </w:r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rFonts w:ascii="Times New Roman" w:hAnsi="Times New Roman"/>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rFonts w:ascii="Times New Roman" w:hAnsi="Times New Roman"/>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rFonts w:ascii="Times New Roman" w:hAnsi="Times New Roman"/>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rFonts w:ascii="Times New Roman" w:hAnsi="Times New Roman"/>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rFonts w:ascii="Times New Roman" w:hAnsi="Times New Roman"/>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rFonts w:ascii="Times New Roman" w:hAnsi="Times New Roman"/>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rFonts w:ascii="Times New Roman" w:hAnsi="Times New Roman"/>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rPr>
      <w:rFonts w:ascii="Times New Roman" w:hAnsi="Times New Roman"/>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rPr>
      <w:rFonts w:ascii="Times New Roman" w:hAnsi="Times New Roman"/>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rPr>
      <w:rFonts w:ascii="Times New Roman" w:hAnsi="Times New Roman"/>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rPr>
      <w:rFonts w:ascii="Times New Roman" w:hAnsi="Times New Roman"/>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rPr>
      <w:rFonts w:ascii="Times New Roman" w:hAnsi="Times New Roman"/>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rPr>
      <w:rFonts w:ascii="Times New Roman" w:hAnsi="Times New Roman"/>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rPr>
      <w:rFonts w:ascii="Times New Roman" w:hAnsi="Times New Roman"/>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rPr>
      <w:rFonts w:ascii="Times New Roman" w:hAnsi="Times New Roman"/>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rPr>
      <w:rFonts w:ascii="Times New Roman" w:hAnsi="Times New Roman"/>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rPr>
      <w:rFonts w:ascii="Times New Roman" w:hAnsi="Times New Roman"/>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rPr>
      <w:rFonts w:ascii="Times New Roman" w:hAnsi="Times New Roman"/>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rPr>
      <w:rFonts w:ascii="Times New Roman" w:hAnsi="Times New Roman"/>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rPr>
      <w:rFonts w:ascii="Times New Roman" w:hAnsi="Times New Roman"/>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rPr>
      <w:rFonts w:ascii="Times New Roman" w:hAnsi="Times New Roman"/>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rPr>
      <w:rFonts w:ascii="Times New Roman" w:hAnsi="Times New Roman"/>
    </w:r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rPr>
      <w:rFonts w:ascii="Times New Roman" w:hAnsi="Times New Roman"/>
    </w:r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rPr>
      <w:rFonts w:ascii="Times New Roman" w:hAnsi="Times New Roman"/>
    </w:r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rPr>
      <w:rFonts w:ascii="Times New Roman" w:hAnsi="Times New Roman"/>
    </w:r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rPr>
      <w:rFonts w:ascii="Times New Roman" w:hAnsi="Times New Roman"/>
    </w:r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rPr>
      <w:rFonts w:ascii="Times New Roman" w:hAnsi="Times New Roman"/>
    </w:r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rPr>
      <w:rFonts w:ascii="Times New Roman" w:hAnsi="Times New Roman"/>
    </w:r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rPr>
      <w:rFonts w:ascii="Times New Roman" w:hAnsi="Times New Roman"/>
    </w:r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rPr>
      <w:rFonts w:ascii="Times New Roman" w:hAnsi="Times New Roman"/>
    </w:r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rPr>
      <w:rFonts w:ascii="Times New Roman" w:hAnsi="Times New Roman"/>
    </w:r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rPr>
      <w:rFonts w:ascii="Times New Roman" w:hAnsi="Times New Roman"/>
    </w:r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rPr>
      <w:rFonts w:ascii="Times New Roman" w:hAnsi="Times New Roman"/>
    </w:r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rPr>
      <w:rFonts w:ascii="Times New Roman" w:hAnsi="Times New Roman"/>
    </w:r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rPr>
      <w:rFonts w:ascii="Times New Roman" w:hAnsi="Times New Roman"/>
    </w:r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rFonts w:ascii="Times New Roman" w:hAnsi="Times New Roman"/>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rFonts w:ascii="Times New Roman" w:hAnsi="Times New Roman"/>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rFonts w:ascii="Times New Roman" w:hAnsi="Times New Roman"/>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rFonts w:ascii="Times New Roman" w:hAnsi="Times New Roman"/>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rFonts w:ascii="Times New Roman" w:hAnsi="Times New Roman"/>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rFonts w:ascii="Times New Roman" w:hAnsi="Times New Roman"/>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rFonts w:ascii="Times New Roman" w:hAnsi="Times New Roman"/>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imes New Roman" w:asciiTheme="majorHAnsi" w:cstheme="majorBidi" w:eastAsiaTheme="majorEastAsia" w:hAnsi="Times New Roman" w:hAnsiTheme="majorHAnsi"/>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imes New Roman" w:asciiTheme="majorHAnsi" w:cstheme="majorBidi" w:eastAsiaTheme="majorEastAsia" w:hAnsi="Times New Roman" w:hAnsiTheme="majorHAnsi"/>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imes New Roman" w:asciiTheme="majorHAnsi" w:cstheme="majorBidi" w:eastAsiaTheme="majorEastAsia" w:hAnsi="Times New Roman" w:hAnsiTheme="majorHAnsi"/>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imes New Roman" w:asciiTheme="majorHAnsi" w:cstheme="majorBidi" w:eastAsiaTheme="majorEastAsia" w:hAnsi="Times New Roman" w:hAnsiTheme="majorHAnsi"/>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imes New Roman" w:asciiTheme="majorHAnsi" w:cstheme="majorBidi" w:eastAsiaTheme="majorEastAsia" w:hAnsi="Times New Roman" w:hAnsiTheme="majorHAnsi"/>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imes New Roman" w:asciiTheme="majorHAnsi" w:cstheme="majorBidi" w:eastAsiaTheme="majorEastAsia" w:hAnsi="Times New Roman" w:hAnsiTheme="majorHAnsi"/>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imes New Roman" w:asciiTheme="majorHAnsi" w:cstheme="majorBidi" w:eastAsiaTheme="majorEastAsia" w:hAnsi="Times New Roman" w:hAnsiTheme="majorHAnsi"/>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rPr>
      <w:rFonts w:ascii="Times New Roman" w:hAnsi="Times New Roman"/>
    </w:r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rPr>
      <w:rFonts w:ascii="Times New Roman" w:hAnsi="Times New Roman"/>
    </w:r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rPr>
      <w:rFonts w:ascii="Times New Roman" w:hAnsi="Times New Roman"/>
    </w:r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rPr>
      <w:rFonts w:ascii="Times New Roman" w:hAnsi="Times New Roman"/>
    </w:r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rPr>
      <w:rFonts w:ascii="Times New Roman" w:hAnsi="Times New Roman"/>
    </w:r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rPr>
      <w:rFonts w:ascii="Times New Roman" w:hAnsi="Times New Roman"/>
    </w:r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rPr>
      <w:rFonts w:ascii="Times New Roman" w:hAnsi="Times New Roman"/>
    </w:r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imes New Roman" w:asciiTheme="majorHAnsi" w:cstheme="majorBidi" w:eastAsiaTheme="majorEastAsia" w:hAnsi="Times New Roman" w:hAnsiTheme="majorHAnsi"/>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imes New Roman" w:asciiTheme="majorHAnsi" w:cstheme="majorBidi" w:eastAsiaTheme="majorEastAsia" w:hAnsi="Times New Roman" w:hAnsiTheme="majorHAnsi"/>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imes New Roman" w:asciiTheme="majorHAnsi" w:cstheme="majorBidi" w:eastAsiaTheme="majorEastAsia" w:hAnsi="Times New Roman" w:hAnsiTheme="majorHAnsi"/>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imes New Roman" w:asciiTheme="majorHAnsi" w:cstheme="majorBidi" w:eastAsiaTheme="majorEastAsia" w:hAnsi="Times New Roman" w:hAnsiTheme="majorHAnsi"/>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imes New Roman" w:asciiTheme="majorHAnsi" w:cstheme="majorBidi" w:eastAsiaTheme="majorEastAsia" w:hAnsi="Times New Roman" w:hAnsiTheme="majorHAnsi"/>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imes New Roman" w:asciiTheme="majorHAnsi" w:cstheme="majorBidi" w:eastAsiaTheme="majorEastAsia" w:hAnsi="Times New Roman" w:hAnsiTheme="majorHAnsi"/>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imes New Roman" w:asciiTheme="majorHAnsi" w:cstheme="majorBidi" w:eastAsiaTheme="majorEastAsia" w:hAnsi="Times New Roman" w:hAnsiTheme="majorHAnsi"/>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rPr>
      <w:rFonts w:ascii="Times New Roman" w:hAnsi="Times New Roman"/>
    </w:r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rPr>
      <w:rFonts w:ascii="Times New Roman" w:hAnsi="Times New Roman"/>
    </w:r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rPr>
      <w:rFonts w:ascii="Times New Roman" w:hAnsi="Times New Roman"/>
    </w:r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rPr>
      <w:rFonts w:ascii="Times New Roman" w:hAnsi="Times New Roman"/>
    </w:r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rPr>
      <w:rFonts w:ascii="Times New Roman" w:hAnsi="Times New Roman"/>
    </w:r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rPr>
      <w:rFonts w:ascii="Times New Roman" w:hAnsi="Times New Roman"/>
    </w:r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rPr>
      <w:rFonts w:ascii="Times New Roman" w:hAnsi="Times New Roman"/>
    </w:r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rFonts w:ascii="Times New Roman" w:hAnsi="Times New Roman"/>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rFonts w:ascii="Times New Roman" w:hAnsi="Times New Roman"/>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rFonts w:ascii="Times New Roman" w:hAnsi="Times New Roman"/>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rFonts w:ascii="Times New Roman" w:hAnsi="Times New Roman"/>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rFonts w:ascii="Times New Roman" w:hAnsi="Times New Roman"/>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rFonts w:ascii="Times New Roman" w:hAnsi="Times New Roman"/>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rFonts w:ascii="Times New Roman" w:hAnsi="Times New Roman"/>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rFonts w:ascii="Times New Roman" w:hAnsi="Times New Roman"/>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rFonts w:ascii="Times New Roman" w:hAnsi="Times New Roman"/>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rFonts w:ascii="Times New Roman" w:hAnsi="Times New Roman"/>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rFonts w:ascii="Times New Roman" w:hAnsi="Times New Roman"/>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rFonts w:ascii="Times New Roman" w:hAnsi="Times New Roman"/>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rFonts w:ascii="Times New Roman" w:hAnsi="Times New Roman"/>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rFonts w:ascii="Times New Roman" w:hAnsi="Times New Roman"/>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rFonts w:ascii="Times New Roman" w:hAnsi="Times New Roman"/>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rFonts w:ascii="Times New Roman" w:hAnsi="Times New Roman"/>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rFonts w:ascii="Times New Roman" w:hAnsi="Times New Roman"/>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rFonts w:ascii="Times New Roman" w:hAnsi="Times New Roman"/>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rFonts w:ascii="Times New Roman" w:hAnsi="Times New Roman"/>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rFonts w:ascii="Times New Roman" w:hAnsi="Times New Roman"/>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rFonts w:ascii="Times New Roman" w:hAnsi="Times New Roman"/>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rFonts w:ascii="Times New Roman" w:hAnsi="Times New Roman"/>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rFonts w:ascii="Times New Roman" w:hAnsi="Times New Roman"/>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rFonts w:ascii="Times New Roman" w:hAnsi="Times New Roman"/>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rFonts w:ascii="Times New Roman" w:hAnsi="Times New Roman"/>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rFonts w:ascii="Times New Roman" w:hAnsi="Times New Roman"/>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rFonts w:ascii="Times New Roman" w:hAnsi="Times New Roman"/>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rFonts w:ascii="Times New Roman" w:hAnsi="Times New Roman"/>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jc w:val="both"/>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2026-06-16T15:03:59Z</dcterms:created>
  <dcterms:modified xsi:type="dcterms:W3CDTF">2026-06-16T15:03:59Z</dcterms:modified>
</cp:coreProperties>
</file>

<file path=docProps/custom.xml><?xml version="1.0" encoding="utf-8"?>
<Properties xmlns="http://schemas.openxmlformats.org/officeDocument/2006/custom-properties" xmlns:vt="http://schemas.openxmlformats.org/officeDocument/2006/docPropsVTypes"/>
</file>