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t xml:space="preserve">Counselorbot: un</w:t>
      </w:r>
      <w:r>
        <w:t xml:space="preserve"> </w:t>
      </w:r>
      <w:r>
        <w:rPr>
          <w:iCs/>
          <w:i/>
        </w:rPr>
        <w:t xml:space="preserve">chatbot</w:t>
      </w:r>
      <w:r>
        <w:t xml:space="preserve"> </w:t>
      </w:r>
      <w:r>
        <w:t xml:space="preserve">per l’orientamento</w:t>
      </w:r>
    </w:p>
    <w:p>
      <w:pPr>
        <w:pStyle w:val="FirstParagraph"/>
      </w:pPr>
      <w:r>
        <w:t xml:space="preserve">Abstract (italiano)</w:t>
      </w:r>
    </w:p>
    <w:p>
      <w:pPr>
        <w:pStyle w:val="BodyText"/>
      </w:pPr>
      <w:r>
        <w:t xml:space="preserve">L’articolo presenta Counselorbot, un</w:t>
      </w:r>
      <w:r>
        <w:t xml:space="preserve"> </w:t>
      </w:r>
      <w:r>
        <w:rPr>
          <w:iCs/>
          <w:i/>
        </w:rPr>
        <w:t xml:space="preserve">chatbot</w:t>
      </w:r>
      <w:r>
        <w:t xml:space="preserve"> </w:t>
      </w:r>
      <w:r>
        <w:t xml:space="preserve">basato su LLM a supporto della riflessione assistita sui risultati dell’autovalutazione delle competenze strategiche degli studenti. Il lavoro descrive l’architettura ibrida del sistema — che combina passi guidati deterministici con la flessibilità di un LLM — e il framework delle competenze strategiche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pPr>
        <w:pStyle w:val="BodyText"/>
      </w:pPr>
      <w:r>
        <w:t xml:space="preserve">Abstract (inglese)</w:t>
      </w:r>
    </w:p>
    <w:p>
      <w:pPr>
        <w:pStyle w:val="BodyText"/>
      </w:pPr>
      <w:r>
        <w:t xml:space="preserve">This paper presents Counselorbot, an LLM-based conversational assistant supporting students’ assisted reflection on their strategic-competences self-assessment. The paper describes the hybrid architecture — combining deterministic guided steps with LLM flexibility — and the strategic competences framework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pPr>
        <w:pStyle w:val="BodyText"/>
      </w:pPr>
      <w:r>
        <w:t xml:space="preserve">Parole chiave: autovalutazione; competenze strategiche; LLM;</w:t>
      </w:r>
      <w:r>
        <w:t xml:space="preserve"> </w:t>
      </w:r>
      <w:r>
        <w:rPr>
          <w:iCs/>
          <w:i/>
        </w:rPr>
        <w:t xml:space="preserve">chatbot</w:t>
      </w:r>
      <w:r>
        <w:t xml:space="preserve"> </w:t>
      </w:r>
      <w:r>
        <w:t xml:space="preserve">educativo; QSA; intelligenza artificiale generativa; ADDIE</w:t>
      </w:r>
    </w:p>
    <w:p>
      <w:pPr>
        <w:pStyle w:val="BodyText"/>
      </w:pPr>
      <w:r>
        <w:t xml:space="preserve">Keywords: self-assessment; strategic competences; LLM; educational</w:t>
      </w:r>
      <w:r>
        <w:t xml:space="preserve"> </w:t>
      </w:r>
      <w:r>
        <w:rPr>
          <w:iCs/>
          <w:i/>
        </w:rPr>
        <w:t xml:space="preserve">chatbot</w:t>
      </w:r>
      <w:r>
        <w:t xml:space="preserve">; QSA; generative AI; ADDIE</w:t>
      </w:r>
    </w:p>
    <w:p>
      <w:pPr>
        <w:pStyle w:val="BodyText"/>
      </w:pPr>
      <w:r>
        <w:t xml:space="preserve">Nota biografica [da completare: max 300 battute]</w:t>
      </w:r>
    </w:p>
    <w:bookmarkStart w:id="20" w:name="introduzione"/>
    <w:p>
      <w:pPr>
        <w:pStyle w:val="Heading2"/>
      </w:pPr>
      <w:r>
        <w:t xml:space="preserve">Introduzione</w:t>
      </w:r>
    </w:p>
    <w:p>
      <w:pPr>
        <w:pStyle w:val="FirstParagrap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pPr>
      <w:r>
        <w:t xml:space="preserve">Per rispondere a questa esigenza, 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svolgendo alcune funzioni finora di esclusiva competenza umana.</w:t>
      </w:r>
    </w:p>
    <w:p>
      <w:pPr>
        <w:pStyle w:val="BodyText"/>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Counselorbot-Conversation</w:t>
      </w:r>
      <w:r>
        <w:t xml:space="preserve"> </w:t>
      </w:r>
      <w:r>
        <w:t xml:space="preserve">(CB-C), adotta un approccio puramente conversazionale; la seconda, denominata</w:t>
      </w:r>
      <w:r>
        <w:t xml:space="preserve"> </w:t>
      </w:r>
      <w:r>
        <w:rPr>
          <w:iCs/>
          <w:i/>
        </w:rPr>
        <w:t xml:space="preserve">Counselorbot-Step-by-Step</w:t>
      </w:r>
      <w:r>
        <w:t xml:space="preserve"> </w:t>
      </w:r>
      <w:r>
        <w:t xml:space="preserve">(CB-SBS), presenta un’architettura strutturata in passi prestabiliti.</w:t>
      </w:r>
    </w:p>
    <w:p>
      <w:pPr>
        <w:pStyle w:val="BodyText"/>
      </w:pPr>
      <w:r>
        <w:t xml:space="preserve">Le domande di ricerca sono due: D1) si può costruire un</w:t>
      </w:r>
      <w:r>
        <w:t xml:space="preserve"> </w:t>
      </w:r>
      <w:r>
        <w:rPr>
          <w:iCs/>
          <w:i/>
        </w:rPr>
        <w:t xml:space="preserve">chatbot mentoring</w:t>
      </w:r>
      <w:r>
        <w:t xml:space="preserve"> </w:t>
      </w:r>
      <w:r>
        <w:t xml:space="preserve">— assistente che sostiene lo studente in un percorso riflessivo e formativo — efficace? D2) quale architettura conversazionale è più efficace, una guidata o una libera? La ricerca ha tuttavia carattere ancora esplorativo.</w:t>
      </w:r>
    </w:p>
    <w:p>
      <w:pPr>
        <w:pStyle w:val="BodyText"/>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mentre il §6 conclude con i limiti dello studio e le direzioni di sviluppo futuro.</w:t>
      </w:r>
    </w:p>
    <w:bookmarkEnd w:id="20"/>
    <w:bookmarkStart w:id="24" w:name="quadro-teorico-e-stato-dellarte"/>
    <w:p>
      <w:pPr>
        <w:pStyle w:val="Heading2"/>
      </w:pPr>
      <w:r>
        <w:t xml:space="preserve">1. Quadro teorico e stato dell’arte</w:t>
      </w:r>
    </w:p>
    <w:bookmarkStart w:id="21" w:name="Xbd16a6b799e5d341a161fc0a5f7041e984aa183"/>
    <w:p>
      <w:pPr>
        <w:pStyle w:val="Heading3"/>
      </w:pPr>
      <w:r>
        <w:t xml:space="preserve">1.1 Large Language Models in educazione: potenzialità e rischi</w:t>
      </w:r>
    </w:p>
    <w:p>
      <w:pPr>
        <w:pStyle w:val="FirstParagrap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Grazie alla capacità di produrre output adattivi e coerenti in linguaggio naturale, essi permettono di superare i limiti dei sistemi del passato basati su regole (</w:t>
      </w:r>
      <w:r>
        <w:rPr>
          <w:iCs/>
          <w:i/>
        </w:rPr>
        <w:t xml:space="preserve">rule-based</w:t>
      </w:r>
      <w:r>
        <w:t xml:space="preserve">), come ELIZA (Weizenbaum, 1966), e di rispondere a domande non previste dalla programmazione (Brown et al., 2020; Kasneci et al., 2023).</w:t>
      </w:r>
    </w:p>
    <w:p>
      <w:pPr>
        <w:pStyle w:val="BodyText"/>
      </w:pPr>
      <w:r>
        <w:t xml:space="preserve">Tuttavia, l’integrazione di queste tecnologie introduce una serie di rischi di natura tecnica, contenutistica, di accettazione e di dipendenza. Sul piano tecnico, l’esecuzione di questi modelli pone vincoli di affidabilità, latenza e ampiezza del contesto, che possono incidere sulla continuità e sulla tempestività delle risposte. Sul piano dei contenuti, gli LLM possono produrre risposte inaccurate o inventate — le cosiddette</w:t>
      </w:r>
      <w:r>
        <w:t xml:space="preserve"> </w:t>
      </w:r>
      <w:r>
        <w:rPr>
          <w:iCs/>
          <w:i/>
        </w:rPr>
        <w:t xml:space="preserve">allucinazioni</w:t>
      </w:r>
      <w:r>
        <w:t xml:space="preserve"> </w:t>
      </w:r>
      <w:r>
        <w:t xml:space="preserve">— e riprodurre bias di genere e demografici o veicolare informazioni stereotipate (Bender et al., 2021; Tankelevitch et al., 2024). Sul piano dell’accettazione,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t xml:space="preserve">1.2 Chatbot educativi e tutoraggio socratico: autoregolazione, metacognizione e agency epistemica</w:t>
      </w:r>
    </w:p>
    <w:p>
      <w:pPr>
        <w:pStyle w:val="FirstParagrap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 recupero semantico, è possibile integrare nei prompt informazioni pertinenti estratte da documenti validati, migliorando l’accuratezza e l’affidabilità delle risposte (Kasneci et al., 2023). Tali sistemi sono dunque in grado di svolgere compiti finora di esclusiva competenza dell’operatore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pPr>
      <w:r>
        <w:t xml:space="preserve">Tuttavia, è necessario che gli studenti sviluppino un senso critico verso l’AI che permetta loro di valutarne l’attendibilità e la pertinenza, al fine di integrare in modo proficuo questa interazione nel proprio percorso di apprendimento (Tankelevitch et al., 2024).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t xml:space="preserve">1.3 Il framework delle competenze strategiche come impalcatura semantica</w:t>
      </w:r>
    </w:p>
    <w:p>
      <w:pPr>
        <w:pStyle w:val="FirstParagraph"/>
      </w:pPr>
      <w:r>
        <w:t xml:space="preserve">Per comprendere meglio l’idea di</w:t>
      </w:r>
      <w:r>
        <w:t xml:space="preserve"> </w:t>
      </w:r>
      <w:r>
        <w:rPr>
          <w:iCs/>
          <w:i/>
        </w:rPr>
        <w:t xml:space="preserve">Counselorbot</w:t>
      </w:r>
      <w:r>
        <w:t xml:space="preserve"> </w:t>
      </w:r>
      <w:r>
        <w:t xml:space="preserve">è opportuno accennare al portale</w:t>
      </w:r>
      <w:r>
        <w:t xml:space="preserve"> </w:t>
      </w:r>
      <w:r>
        <w:rPr>
          <w:iCs/>
          <w:i/>
        </w:rPr>
        <w:t xml:space="preserve">Competenze strategiche</w:t>
      </w:r>
      <w:r>
        <w:t xml:space="preserve">. Il sito raccoglie strumenti di autovalutazione rivolti a studenti, docenti, ricercatori e operatori dell’orientamento e della formazione. Questi strumenti aiutano a riflettere sulle proprie modalità di apprendimento, sulle strategie di studio, sulla motivazione, sulla gestione delle emozioni e sulla progettualità personale.</w:t>
      </w:r>
    </w:p>
    <w:p>
      <w:pPr>
        <w:pStyle w:val="BodyText"/>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pPr>
      <w:r>
        <w:t xml:space="preserve">Tale costrutto si declina operativamente in una batteria di questionari disponibili nel portale: il</w:t>
      </w:r>
      <w:r>
        <w:t xml:space="preserve"> </w:t>
      </w:r>
      <w:r>
        <w:rPr>
          <w:iCs/>
          <w:i/>
        </w:rPr>
        <w:t xml:space="preserve">Questionario sulle Strategie di Apprendimento</w:t>
      </w:r>
      <w:r>
        <w:t xml:space="preserve"> </w:t>
      </w:r>
      <w:r>
        <w:t xml:space="preserve">(QSA); il QSAr, versione ridotta del QSA; il</w:t>
      </w:r>
      <w:r>
        <w:t xml:space="preserve"> </w:t>
      </w:r>
      <w:r>
        <w:rPr>
          <w:iCs/>
          <w:i/>
        </w:rPr>
        <w:t xml:space="preserve">Questionario sulla Percezione delle proprie Competenze Strategiche</w:t>
      </w:r>
      <w:r>
        <w:t xml:space="preserve"> </w:t>
      </w:r>
      <w:r>
        <w:t xml:space="preserve">(QPCS); il</w:t>
      </w:r>
      <w:r>
        <w:t xml:space="preserve"> </w:t>
      </w:r>
      <w:r>
        <w:rPr>
          <w:iCs/>
          <w:i/>
        </w:rPr>
        <w:t xml:space="preserve">Questionario di Percezione delle proprie Competenze e Convinzioni</w:t>
      </w:r>
      <w:r>
        <w:t xml:space="preserve"> </w:t>
      </w:r>
      <w:r>
        <w:t xml:space="preserve">(QPCC); lo</w:t>
      </w:r>
      <w:r>
        <w:t xml:space="preserve"> </w:t>
      </w:r>
      <w:r>
        <w:rPr>
          <w:iCs/>
          <w:i/>
        </w:rPr>
        <w:t xml:space="preserve">Zimbardo Time Perspective Inventory</w:t>
      </w:r>
      <w:r>
        <w:t xml:space="preserve"> </w:t>
      </w:r>
      <w:r>
        <w:t xml:space="preserve">(ZTPI), dedicato alla prospettiva temporale; e il</w:t>
      </w:r>
      <w:r>
        <w:t xml:space="preserve"> </w:t>
      </w:r>
      <w:r>
        <w:rPr>
          <w:iCs/>
          <w:i/>
        </w:rPr>
        <w:t xml:space="preserve">Questionario di Adattabilità Professionale</w:t>
      </w:r>
      <w:r>
        <w:t xml:space="preserve"> </w:t>
      </w:r>
      <w:r>
        <w:t xml:space="preserve">(QAP).</w:t>
      </w:r>
    </w:p>
    <w:bookmarkEnd w:id="23"/>
    <w:bookmarkEnd w:id="24"/>
    <w:bookmarkStart w:id="33" w:name="progettazione-di-counselorbot"/>
    <w:p>
      <w:pPr>
        <w:pStyle w:val="Heading2"/>
      </w:pPr>
      <w:r>
        <w:t xml:space="preserve">2. Progettazione di Counselorbot</w:t>
      </w:r>
    </w:p>
    <w:p>
      <w:pPr>
        <w:pStyle w:val="FirstParagraph"/>
      </w:pPr>
      <w:r>
        <w:t xml:space="preserve">Counselorbot prende avvio dal framework delle competenze strategiche illustrato nel §1.3 e ne integra gli strumenti in un sistema multifunzionale dedicato all’orientamento formativo e professionale e alla riflessione assistita sui risultati dell’autovalutazione. La piattaforma accomuna strumenti differenti mediante un’interazione conversazionale strutturata, attraverso la quale l’utente viene accompagnato nell’interpretazione del proprio profilo, nella riflessione sulle esperienze e nell’individuazione di strategie utili al proprio percorso.</w:t>
      </w:r>
    </w:p>
    <w:bookmarkStart w:id="25" w:name="strumenti-disponibili-in-counselorbot"/>
    <w:p>
      <w:pPr>
        <w:pStyle w:val="Heading3"/>
      </w:pPr>
      <w:r>
        <w:t xml:space="preserve">2.1 Strumenti disponibili in Counselorbot</w:t>
      </w:r>
    </w:p>
    <w:p>
      <w:pPr>
        <w:pStyle w:val="FirstParagraph"/>
      </w:pPr>
      <w:r>
        <w:t xml:space="preserve">Nella schermata iniziale, Counselorbot presenta un selettore attraverso il quale l’utente può scegliere uno dei questionari del portale</w:t>
      </w:r>
      <w:r>
        <w:t xml:space="preserve"> </w:t>
      </w:r>
      <w:r>
        <w:rPr>
          <w:iCs/>
          <w:i/>
        </w:rPr>
        <w:t xml:space="preserve">Competenze strategiche</w:t>
      </w:r>
      <w:r>
        <w:t xml:space="preserve"> </w:t>
      </w:r>
      <w:r>
        <w:t xml:space="preserve">(QSA, QSAr, QPCS, QPCC, ZTPI, QAP), la</w:t>
      </w:r>
      <w:r>
        <w:t xml:space="preserve"> </w:t>
      </w:r>
      <w:r>
        <w:rPr>
          <w:iCs/>
          <w:i/>
        </w:rPr>
        <w:t xml:space="preserve">Career Counseling Interview</w:t>
      </w:r>
      <w:r>
        <w:t xml:space="preserve"> </w:t>
      </w:r>
      <w:r>
        <w:t xml:space="preserve">di Savickas (2018) oppure il modulo di</w:t>
      </w:r>
      <w:r>
        <w:t xml:space="preserve"> </w:t>
      </w:r>
      <w:r>
        <w:rPr>
          <w:iCs/>
          <w:i/>
        </w:rPr>
        <w:t xml:space="preserve">Pure Question-Based Learning</w:t>
      </w:r>
      <w:r>
        <w:t xml:space="preserve"> </w:t>
      </w:r>
      <w:r>
        <w:t xml:space="preserve">(PQBL; Jemstedt et al., 2024). La scelta determina l’interfaccia e il percorso di interazione che il sistema attiva.</w:t>
      </w:r>
    </w:p>
    <w:p>
      <w:pPr>
        <w:pStyle w:val="BodyText"/>
      </w:pPr>
      <w:r>
        <w:t xml:space="preserve">Il QSA, finalizzato ad analizzare le modalità attraverso cui lo studente affronta, organizza e regola il proprio percorso formativo, è il primo degli strumenti integrati.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pPr>
      <w:r>
        <w:t xml:space="preserve">Accanto al QSA è disponibile anche il QSAr, una versione ridotta a 46 item (contro i 100 del QSA) che offre una rappresentazione più sintetica delle principali modalità di apprendimento (Pellerey et al., 2013). Anche per il QSAr, Counselorbot restituisce il profilo in forma comprensibile, evidenzia i punti di forza e le aree di miglioramento e guida l’utente nella riflessione sulle strategie possibili.</w:t>
      </w:r>
    </w:p>
    <w:p>
      <w:pPr>
        <w:pStyle w:val="BodyText"/>
      </w:pPr>
      <w:r>
        <w:t xml:space="preserve">Lo</w:t>
      </w:r>
      <w:r>
        <w:t xml:space="preserve"> </w:t>
      </w:r>
      <w:r>
        <w:rPr>
          <w:iCs/>
          <w:i/>
        </w:rPr>
        <w:t xml:space="preserve">Zimbardo Time Perspective Inventory</w:t>
      </w:r>
      <w:r>
        <w:t xml:space="preserve"> </w:t>
      </w:r>
      <w:r>
        <w:t xml:space="preserve">(ZTPI; Zimbardo &amp; Boyd, 1999) analizza il rapporto dell’individuo con le dimensioni temporali di passato, presente e futuro. Le prospettive temporali incidono sulla capacità progettuale, sulle decisioni e sull’atteggiamento verso il percorso formativo e professionale. Counselorbot supporta l’utente nell’interpretazione del proprio profilo temporale, aiutandolo a connettere l’orientamento temporale emerso con gli obiettivi personali e le scelte future.</w:t>
      </w:r>
    </w:p>
    <w:p>
      <w:pPr>
        <w:pStyle w:val="BodyText"/>
      </w:pPr>
      <w:r>
        <w:t xml:space="preserve">Per QSA, QSAr e ZTPI, l’interfaccia richiede l’inserimento dei risultati e restituisce il profilo nello stesso formato del portale</w:t>
      </w:r>
      <w:r>
        <w:t xml:space="preserve"> </w:t>
      </w:r>
      <w:r>
        <w:rPr>
          <w:iCs/>
          <w:i/>
        </w:rPr>
        <w:t xml:space="preserve">Competenze strategiche</w:t>
      </w:r>
      <w:r>
        <w:t xml:space="preserve">: un grafico a barre con codifica cromatica in cui il verde identifica i punti di forza, il giallo i risultati intermedi e il rosso le possibili aree di crescita. Questa visualizzazione offre una prima sintesi che viene utilizzata per il dialogo assistito.</w:t>
      </w:r>
    </w:p>
    <w:p>
      <w:pPr>
        <w:pStyle w:val="BodyText"/>
      </w:pPr>
      <w:r>
        <w:t xml:space="preserve">Ai questionari si affiancano due strumenti di natura differente. Il primo è la</w:t>
      </w:r>
      <w:r>
        <w:t xml:space="preserve"> </w:t>
      </w:r>
      <w:r>
        <w:rPr>
          <w:iCs/>
          <w:i/>
        </w:rPr>
        <w:t xml:space="preserve">Career Counseling Interview</w:t>
      </w:r>
      <w:r>
        <w:t xml:space="preserve"> </w:t>
      </w:r>
      <w:r>
        <w:t xml:space="preserve">di Savickas (2018), un colloquio narrativo che esplora esperienze, interessi, modelli di riferimento e aspirazioni dell’utente. Dopo la selezione, il sistema avvia il colloquio proponendo cinque domande qualitative, alle quali il modello linguistico può far seguire richieste di approfondimento. Al termine, Counselorbot elabora una sintesi narrativa che ricostruisce l’identità professionale e individua i principali temi di vita emersi.</w:t>
      </w:r>
    </w:p>
    <w:p>
      <w:pPr>
        <w:pStyle w:val="BodyText"/>
      </w:pPr>
      <w:r>
        <w:t xml:space="preserve">Il secondo è il modulo di</w:t>
      </w:r>
      <w:r>
        <w:t xml:space="preserve"> </w:t>
      </w:r>
      <w:r>
        <w:rPr>
          <w:iCs/>
          <w:i/>
        </w:rPr>
        <w:t xml:space="preserve">Pure Question-Based Learning</w:t>
      </w:r>
      <w:r>
        <w:t xml:space="preserve"> </w:t>
      </w:r>
      <w:r>
        <w:t xml:space="preserve">(PQBL; Jemstedt et al., 2024). L’interfaccia richiede il caricamento di un documento didattico in formato PDF. Il sistema trasforma il contenuto in un percorso interattivo fondato su domande e feedback, trasformando il testo da materiale di lettura passiva a base per un’attività nella quale l’utente recupera, rielabora e applica le informazioni.</w:t>
      </w:r>
    </w:p>
    <w:p>
      <w:pPr>
        <w:pStyle w:val="BodyText"/>
      </w:pPr>
      <w:r>
        <w:t xml:space="preserve">L’architettura modulare di Counselorbot consente l’integrazione futura di ulteriori questionari, interviste e strumenti per l’orientamento e l’apprendimento.</w:t>
      </w:r>
    </w:p>
    <w:bookmarkEnd w:id="25"/>
    <w:bookmarkStart w:id="26" w:name="passi-guidati-e-flussi-di-interazione"/>
    <w:p>
      <w:pPr>
        <w:pStyle w:val="Heading3"/>
      </w:pPr>
      <w:r>
        <w:t xml:space="preserve">2.2 Passi guidati e flussi di interazione</w:t>
      </w:r>
    </w:p>
    <w:p>
      <w:pPr>
        <w:pStyle w:val="FirstParagraph"/>
      </w:pPr>
      <w:r>
        <w:t xml:space="preserve">Il principio organizzativo centrale di Counselorbot è rappresentato dai passi guidati (</w:t>
      </w:r>
      <w:r>
        <w:rPr>
          <w:iCs/>
          <w:i/>
        </w:rPr>
        <w:t xml:space="preserve">guided steps</w:t>
      </w:r>
      <w: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pPr>
        <w:pStyle w:val="BodyText"/>
      </w:pPr>
      <w: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pPr>
        <w:pStyle w:val="BodyText"/>
      </w:pPr>
      <w:r>
        <w:t xml:space="preserve">Poiché gli strumenti integrati presentano caratteristiche differenti, il sistema non applica un unico flusso indistinto, ma adotta percorsi specifici per i questionari, per la</w:t>
      </w:r>
      <w:r>
        <w:t xml:space="preserve"> </w:t>
      </w:r>
      <w:r>
        <w:rPr>
          <w:iCs/>
          <w:i/>
        </w:rPr>
        <w:t xml:space="preserve">Career Counseling Interview</w:t>
      </w:r>
      <w:r>
        <w:t xml:space="preserve"> </w:t>
      </w:r>
      <w:r>
        <w:t xml:space="preserve">e per il</w:t>
      </w:r>
      <w:r>
        <w:t xml:space="preserve"> </w:t>
      </w:r>
      <w:r>
        <w:rPr>
          <w:iCs/>
          <w:i/>
        </w:rPr>
        <w:t xml:space="preserve">Question-Based Learning</w:t>
      </w:r>
      <w: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pPr>
        <w:pStyle w:val="BodyText"/>
      </w:pPr>
      <w:r>
        <w:t xml:space="preserve">La</w:t>
      </w:r>
      <w:r>
        <w:t xml:space="preserve"> </w:t>
      </w:r>
      <w:r>
        <w:rPr>
          <w:iCs/>
          <w:i/>
        </w:rPr>
        <w:t xml:space="preserve">Career Counseling Interview</w:t>
      </w:r>
      <w:r>
        <w:t xml:space="preserve"> </w:t>
      </w:r>
      <w:r>
        <w:t xml:space="preserve">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pPr>
        <w:pStyle w:val="BodyText"/>
      </w:pPr>
      <w:r>
        <w:t xml:space="preserve">Il modulo di</w:t>
      </w:r>
      <w:r>
        <w:t xml:space="preserve"> </w:t>
      </w:r>
      <w:r>
        <w:rPr>
          <w:iCs/>
          <w:i/>
        </w:rPr>
        <w:t xml:space="preserve">Question-Based Learning</w:t>
      </w:r>
      <w:r>
        <w:t xml:space="preserve"> </w:t>
      </w:r>
      <w:r>
        <w:t xml:space="preserve">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End w:id="26"/>
    <w:bookmarkStart w:id="27" w:name="infrastruttura-hardware"/>
    <w:p>
      <w:pPr>
        <w:pStyle w:val="Heading3"/>
      </w:pPr>
      <w:r>
        <w:t xml:space="preserve">2.3 Infrastruttura hardware</w:t>
      </w:r>
    </w:p>
    <w:p>
      <w:pPr>
        <w:pStyle w:val="FirstParagraph"/>
      </w:pPr>
      <w: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End w:id="27"/>
    <w:bookmarkStart w:id="31" w:name="software"/>
    <w:p>
      <w:pPr>
        <w:pStyle w:val="Heading3"/>
      </w:pPr>
      <w:r>
        <w:t xml:space="preserve">2.4 Software</w:t>
      </w:r>
    </w:p>
    <w:p>
      <w:pPr>
        <w:pStyle w:val="FirstParagraph"/>
      </w:pPr>
      <w:r>
        <w:t xml:space="preserve">Il software di Counselorbot comprende il sistema di gestione dei modelli linguistici, i meccanismi di recupero delle conoscenze e della memoria e le funzioni di registrazione e analisi delle interazioni.</w:t>
      </w:r>
    </w:p>
    <w:bookmarkStart w:id="28" w:name="modelli-linguistici"/>
    <w:p>
      <w:pPr>
        <w:pStyle w:val="Heading4"/>
      </w:pPr>
      <w:r>
        <w:t xml:space="preserve">2.4.1 Modelli linguistici</w:t>
      </w:r>
    </w:p>
    <w:p>
      <w:pPr>
        <w:pStyle w:val="FirstParagraph"/>
      </w:pPr>
      <w: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End w:id="28"/>
    <w:bookmarkStart w:id="29" w:name="Xc64cd9a05b3a0c767b472b6f7103b658ac68a3e"/>
    <w:p>
      <w:pPr>
        <w:pStyle w:val="Heading4"/>
      </w:pPr>
      <w:r>
        <w:t xml:space="preserve">2.4.2 Recupero delle conoscenze e gestione della memoria</w:t>
      </w:r>
    </w:p>
    <w:p>
      <w:pPr>
        <w:pStyle w:val="FirstParagraph"/>
      </w:pPr>
      <w: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t xml:space="preserve">2.4.3 Gestione delle interazioni e anonimizzazione</w:t>
      </w:r>
    </w:p>
    <w:p>
      <w:pPr>
        <w:pStyle w:val="FirstParagraph"/>
      </w:pPr>
      <w: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t xml:space="preserve">2.5 Struttura del sistema</w:t>
      </w:r>
    </w:p>
    <w:p>
      <w:pPr>
        <w:pStyle w:val="FirstParagraph"/>
      </w:pPr>
      <w: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End w:id="32"/>
    <w:bookmarkEnd w:id="33"/>
    <w:bookmarkStart w:id="38" w:name="metodologia-di-valutazione"/>
    <w:p>
      <w:pPr>
        <w:pStyle w:val="Heading2"/>
      </w:pPr>
      <w:r>
        <w:t xml:space="preserve">3. Metodologia di valutazione</w:t>
      </w:r>
    </w:p>
    <w:bookmarkStart w:id="34" w:name="disegno-della-ricerca"/>
    <w:p>
      <w:pPr>
        <w:pStyle w:val="Heading3"/>
      </w:pPr>
      <w:r>
        <w:t xml:space="preserve">3.1 Disegno della ricerca</w:t>
      </w:r>
    </w:p>
    <w:p>
      <w:pPr>
        <w:pStyle w:val="FirstParagraph"/>
      </w:pPr>
      <w:r>
        <w:t xml:space="preserve">Per valutare il sistema descritto nel § 2 è stato adottato un disegno di ricerca articolato secondo il modello ADDIE (Branch, 2009). L’acronimo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del sistema; ed</w:t>
      </w:r>
      <w:r>
        <w:t xml:space="preserve"> </w:t>
      </w:r>
      <w:r>
        <w:rPr>
          <w:iCs/>
          <w:i/>
        </w:rPr>
        <w:t xml:space="preserve">Evaluation</w:t>
      </w:r>
      <w:r>
        <w:t xml:space="preserve">, finalizzata alla valutazione del suo funzionamento e dei risultati ottenuti. Il lavoro presentato in questo articolo si colloca nella fase di</w:t>
      </w:r>
      <w:r>
        <w:t xml:space="preserve"> </w:t>
      </w:r>
      <w:r>
        <w:rPr>
          <w:iCs/>
          <w:i/>
        </w:rPr>
        <w:t xml:space="preserve">Evaluation</w:t>
      </w:r>
      <w:r>
        <w:t xml:space="preserve"> </w:t>
      </w:r>
      <w:r>
        <w:t xml:space="preserve">del secondo ciclo di sviluppo. Il primo ciclo ha portato alla realizzazione di CB-C, una versione basata su un’architettura RAG (</w:t>
      </w:r>
      <w:r>
        <w:rPr>
          <w:iCs/>
          <w:i/>
        </w:rPr>
        <w:t xml:space="preserve">Retrieval-Augmented Generation</w:t>
      </w:r>
      <w:r>
        <w:t xml:space="preserve">) e su un</w:t>
      </w:r>
      <w:r>
        <w:t xml:space="preserve"> </w:t>
      </w:r>
      <w:r>
        <w:rPr>
          <w:iCs/>
          <w:i/>
        </w:rPr>
        <w:t xml:space="preserve">system prompt</w:t>
      </w:r>
      <w: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CB-SBS, che introduce una procedura guidata per passi, un grafo della conoscenza, l’indicizzazione semantica delle strategie e un’interfaccia ottimizzata per l’inserimento e la visualizzazione dei profili. In particolare, l’inserimento manuale dei punteggi — segnalato come critico nella prima fase — è stato sostituito da un form iniziale e dal caricamento diretto dei PDF degli esiti; la memoria di sessione è stata rivista tramite sintesi dinamica del dialogo e iniezione costante dei punteggi a ogni turno; ed è stato introdotto un limite di token per contenere l’estensione degli interventi del LLM. La valutazione presentata in questo studio adotta un disegno comparativo</w:t>
      </w:r>
      <w:r>
        <w:t xml:space="preserve"> </w:t>
      </w:r>
      <w:r>
        <w:rPr>
          <w:iCs/>
          <w:i/>
        </w:rPr>
        <w:t xml:space="preserve">between-subjects</w:t>
      </w:r>
      <w:r>
        <w:t xml:space="preserve"> </w:t>
      </w:r>
      <w:r>
        <w:t xml:space="preserve">tra le due versioni, CB-C e CB-SBS. Ciascun partecipante ha utilizzato una sola versione di Counselorbot e, al termine dell’interazione, ha compilato il questionario di gradimento descritto nel § 3.3.</w:t>
      </w:r>
    </w:p>
    <w:bookmarkEnd w:id="34"/>
    <w:bookmarkStart w:id="35" w:name="partecipanti-e-procedura"/>
    <w:p>
      <w:pPr>
        <w:pStyle w:val="Heading3"/>
      </w:pPr>
      <w:r>
        <w:t xml:space="preserve">3.2 Partecipanti e procedura</w:t>
      </w:r>
    </w:p>
    <w:p>
      <w:pPr>
        <w:pStyle w:val="FirstParagraph"/>
      </w:pPr>
      <w: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End w:id="35"/>
    <w:bookmarkStart w:id="36" w:name="strumenti-e-metriche"/>
    <w:p>
      <w:pPr>
        <w:pStyle w:val="Heading3"/>
      </w:pPr>
      <w:r>
        <w:t xml:space="preserve">3.3 Strumenti e metriche</w:t>
      </w:r>
    </w:p>
    <w:p>
      <w:pPr>
        <w:pStyle w:val="FirstParagraph"/>
      </w:pPr>
      <w: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End w:id="36"/>
    <w:bookmarkStart w:id="37" w:name="X1d084be663d85380af5191c3e6a80ea49fe58f6"/>
    <w:p>
      <w:pPr>
        <w:pStyle w:val="Heading3"/>
      </w:pPr>
      <w:r>
        <w:t xml:space="preserve">3.4 Selezione e valutazione del modello linguistico locale</w:t>
      </w:r>
    </w:p>
    <w:p>
      <w:pPr>
        <w:pStyle w:val="FirstParagraph"/>
      </w:pPr>
      <w: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left"/>
            </w:pPr>
            <w:r>
              <w:rPr>
                <w:bCs/>
                <w:b/>
              </w:rPr>
              <w:t xml:space="preserve">Modello</w:t>
            </w:r>
          </w:p>
        </w:tc>
        <w:tc>
          <w:tcPr/>
          <w:p>
            <w:pPr>
              <w:pStyle w:val="Compact"/>
              <w:jc w:val="left"/>
            </w:pPr>
            <w:r>
              <w:rPr>
                <w:bCs/>
                <w:b/>
              </w:rPr>
              <w:t xml:space="preserve">Parametri</w:t>
            </w:r>
          </w:p>
        </w:tc>
        <w:tc>
          <w:tcPr/>
          <w:p>
            <w:pPr>
              <w:pStyle w:val="Compact"/>
              <w:jc w:val="left"/>
            </w:pPr>
            <w:r>
              <w:rPr>
                <w:bCs/>
                <w:b/>
              </w:rPr>
              <w:t xml:space="preserve">MMLU-Pro</w:t>
            </w:r>
          </w:p>
        </w:tc>
        <w:tc>
          <w:tcPr/>
          <w:p>
            <w:pPr>
              <w:pStyle w:val="Compact"/>
              <w:jc w:val="left"/>
            </w:pPr>
            <w:r>
              <w:rPr>
                <w:bCs/>
                <w:b/>
              </w:rPr>
              <w:t xml:space="preserve">GPQA Diamond</w:t>
            </w:r>
          </w:p>
        </w:tc>
        <w:tc>
          <w:tcPr/>
          <w:p>
            <w:pPr>
              <w:pStyle w:val="Compact"/>
              <w:jc w:val="left"/>
            </w:pPr>
            <w:r>
              <w:rPr>
                <w:bCs/>
                <w:b/>
              </w:rPr>
              <w:t xml:space="preserve">LiveCodeBench</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69,4%</w:t>
            </w:r>
          </w:p>
        </w:tc>
        <w:tc>
          <w:tcPr/>
          <w:p>
            <w:pPr>
              <w:pStyle w:val="Compact"/>
              <w:jc w:val="left"/>
            </w:pPr>
            <w:r>
              <w:t xml:space="preserve">58,6%</w:t>
            </w:r>
          </w:p>
        </w:tc>
        <w:tc>
          <w:tcPr/>
          <w:p>
            <w:pPr>
              <w:pStyle w:val="Compact"/>
              <w:jc w:val="left"/>
            </w:pPr>
            <w:r>
              <w:t xml:space="preserve">52,0%</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60,0%</w:t>
            </w:r>
          </w:p>
        </w:tc>
        <w:tc>
          <w:tcPr/>
          <w:p>
            <w:pPr>
              <w:pStyle w:val="Compact"/>
              <w:jc w:val="left"/>
            </w:pPr>
            <w:r>
              <w:t xml:space="preserve">43,4%</w:t>
            </w:r>
          </w:p>
        </w:tc>
        <w:tc>
          <w:tcPr/>
          <w:p>
            <w:pPr>
              <w:pStyle w:val="Compact"/>
              <w:jc w:val="left"/>
            </w:pPr>
            <w:r>
              <w:t xml:space="preserve">44,0%</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77,2%</w:t>
            </w:r>
          </w:p>
        </w:tc>
        <w:tc>
          <w:tcPr/>
          <w:p>
            <w:pPr>
              <w:pStyle w:val="Compact"/>
              <w:jc w:val="left"/>
            </w:pPr>
            <w:r>
              <w:t xml:space="preserve">78,8%</w:t>
            </w:r>
          </w:p>
        </w:tc>
        <w:tc>
          <w:tcPr/>
          <w:p>
            <w:pPr>
              <w:pStyle w:val="Compact"/>
              <w:jc w:val="left"/>
            </w:pPr>
            <w:r>
              <w:t xml:space="preserve">72,0%</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w:t>
            </w:r>
          </w:p>
        </w:tc>
        <w:tc>
          <w:tcPr/>
          <w:p>
            <w:pPr>
              <w:pStyle w:val="Compact"/>
              <w:jc w:val="left"/>
            </w:pPr>
            <w:r>
              <w:t xml:space="preserve">49,0%</w:t>
            </w:r>
          </w:p>
        </w:tc>
        <w:tc>
          <w:tcPr/>
          <w:p>
            <w:pPr>
              <w:pStyle w:val="Compact"/>
              <w:jc w:val="left"/>
            </w:pPr>
            <w:r>
              <w:t xml:space="preserve">39,6%</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82,5%</w:t>
            </w:r>
          </w:p>
        </w:tc>
        <w:tc>
          <w:tcPr/>
          <w:p>
            <w:pPr>
              <w:pStyle w:val="Compact"/>
              <w:jc w:val="left"/>
            </w:pPr>
            <w:r>
              <w:t xml:space="preserve">81,7%</w:t>
            </w:r>
          </w:p>
        </w:tc>
        <w:tc>
          <w:tcPr/>
          <w:p>
            <w:pPr>
              <w:pStyle w:val="Compact"/>
              <w:jc w:val="left"/>
            </w:pPr>
            <w:r>
              <w:t xml:space="preserve">65,6%</w:t>
            </w:r>
          </w:p>
        </w:tc>
      </w:tr>
    </w:tbl>
    <w:p>
      <w:pPr>
        <w:pStyle w:val="BodyText"/>
      </w:pPr>
      <w: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pPr>
        <w:pStyle w:val="BodyText"/>
      </w:pPr>
      <w: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pPr>
        <w:pStyle w:val="BodyText"/>
      </w:pPr>
      <w:r>
        <w:t xml:space="preserve">Per ciascun modello sono state esaminate la capacità di rispettare la sequenza prestabilita, la copertura di tutti i fattori del questionario, la coerenza delle interpretazioni formulate e la pertinenza pedagogica delle strategie proposte. Tali criteri sono stati aggregati in un punteggio complessivo di qualità (da 0 a 1) che sintetizza copertura dei fattori, correttezza interpretativa rispetto ai punteggi, pertinenza pedagogica dei consigli e aderenza al formato richiesto. Sono stati inoltre rilevati due indicatori tecnici: la velocità media di generazione, espressa in token al secondo, e il Time to First Token (TTFT), corrispondente al tempo intercorrente tra l’invio della richiesta e la produzione del primo token della risposta. La valutazione dei criteri qualitativi e l’attribuzione del punteggio di qualità sono state eseguite in modalità automatica tramite Opus 4.8.</w:t>
      </w:r>
    </w:p>
    <w:bookmarkEnd w:id="37"/>
    <w:bookmarkEnd w:id="38"/>
    <w:bookmarkStart w:id="42" w:name="risultati"/>
    <w:p>
      <w:pPr>
        <w:pStyle w:val="Heading2"/>
      </w:pPr>
      <w:r>
        <w:t xml:space="preserve">4. Risultati</w:t>
      </w:r>
    </w:p>
    <w:bookmarkStart w:id="39" w:name="selezione-del-modello-locale"/>
    <w:p>
      <w:pPr>
        <w:pStyle w:val="Heading3"/>
      </w:pPr>
      <w:r>
        <w:t xml:space="preserve">4.1 Selezione del modello locale</w:t>
      </w:r>
    </w:p>
    <w:p>
      <w:pPr>
        <w:pStyle w:val="FirstParagraph"/>
      </w:pPr>
      <w:r>
        <w:t xml:space="preserve">La tabella seguente presenta i risultati della valutazione locale dei modelli, condotta riproducendo l’intero flusso degli undici passi del QSA con gli stessi</w:t>
      </w:r>
      <w:r>
        <w:t xml:space="preserve"> </w:t>
      </w:r>
      <w:r>
        <w:rPr>
          <w:iCs/>
          <w:i/>
        </w:rPr>
        <w:t xml:space="preserve">prompt</w:t>
      </w:r>
      <w:r>
        <w:t xml:space="preserve"> </w:t>
      </w:r>
      <w:r>
        <w:t xml:space="preserve">e direttive impiegati in produzione.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Modello</w:t>
            </w:r>
          </w:p>
        </w:tc>
        <w:tc>
          <w:tcPr/>
          <w:p>
            <w:pPr>
              <w:pStyle w:val="Compact"/>
              <w:jc w:val="left"/>
            </w:pPr>
            <w:r>
              <w:t xml:space="preserve">Parametri</w:t>
            </w:r>
          </w:p>
        </w:tc>
        <w:tc>
          <w:tcPr/>
          <w:p>
            <w:pPr>
              <w:pStyle w:val="Compact"/>
              <w:jc w:val="left"/>
            </w:pPr>
            <w:r>
              <w:t xml:space="preserve">Qualità</w:t>
            </w:r>
          </w:p>
        </w:tc>
        <w:tc>
          <w:tcPr/>
          <w:p>
            <w:pPr>
              <w:pStyle w:val="Compact"/>
              <w:jc w:val="left"/>
            </w:pPr>
            <w:r>
              <w:t xml:space="preserve">Token/s</w:t>
            </w:r>
          </w:p>
        </w:tc>
        <w:tc>
          <w:tcPr/>
          <w:p>
            <w:pPr>
              <w:pStyle w:val="Compact"/>
              <w:jc w:val="left"/>
            </w:pPr>
            <w:r>
              <w:t xml:space="preserve">TTFT</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0,83</w:t>
            </w:r>
          </w:p>
        </w:tc>
        <w:tc>
          <w:tcPr/>
          <w:p>
            <w:pPr>
              <w:pStyle w:val="Compact"/>
              <w:jc w:val="left"/>
            </w:pPr>
            <w:r>
              <w:t xml:space="preserve">472</w:t>
            </w:r>
          </w:p>
        </w:tc>
        <w:tc>
          <w:tcPr/>
          <w:p>
            <w:pPr>
              <w:pStyle w:val="Compact"/>
              <w:jc w:val="left"/>
            </w:pPr>
            <w:r>
              <w:t xml:space="preserve">4,5 s</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0,76</w:t>
            </w:r>
          </w:p>
        </w:tc>
        <w:tc>
          <w:tcPr/>
          <w:p>
            <w:pPr>
              <w:pStyle w:val="Compact"/>
              <w:jc w:val="left"/>
            </w:pPr>
            <w:r>
              <w:t xml:space="preserve">768</w:t>
            </w:r>
          </w:p>
        </w:tc>
        <w:tc>
          <w:tcPr/>
          <w:p>
            <w:pPr>
              <w:pStyle w:val="Compact"/>
              <w:jc w:val="left"/>
            </w:pPr>
            <w:r>
              <w:t xml:space="preserve">3,4 s</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0,74</w:t>
            </w:r>
          </w:p>
        </w:tc>
        <w:tc>
          <w:tcPr/>
          <w:p>
            <w:pPr>
              <w:pStyle w:val="Compact"/>
              <w:jc w:val="left"/>
            </w:pPr>
            <w:r>
              <w:t xml:space="preserve">374</w:t>
            </w:r>
          </w:p>
        </w:tc>
        <w:tc>
          <w:tcPr/>
          <w:p>
            <w:pPr>
              <w:pStyle w:val="Compact"/>
              <w:jc w:val="left"/>
            </w:pPr>
            <w:r>
              <w:t xml:space="preserve">12,3 s</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0,62</w:t>
            </w:r>
          </w:p>
        </w:tc>
        <w:tc>
          <w:tcPr/>
          <w:p>
            <w:pPr>
              <w:pStyle w:val="Compact"/>
              <w:jc w:val="left"/>
            </w:pPr>
            <w:r>
              <w:t xml:space="preserve">555</w:t>
            </w:r>
          </w:p>
        </w:tc>
        <w:tc>
          <w:tcPr/>
          <w:p>
            <w:pPr>
              <w:pStyle w:val="Compact"/>
              <w:jc w:val="left"/>
            </w:pPr>
            <w:r>
              <w:t xml:space="preserve">7,9 s</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0,45</w:t>
            </w:r>
          </w:p>
        </w:tc>
        <w:tc>
          <w:tcPr/>
          <w:p>
            <w:pPr>
              <w:pStyle w:val="Compact"/>
              <w:jc w:val="left"/>
            </w:pPr>
            <w:r>
              <w:t xml:space="preserve">186</w:t>
            </w:r>
          </w:p>
        </w:tc>
        <w:tc>
          <w:tcPr/>
          <w:p>
            <w:pPr>
              <w:pStyle w:val="Compact"/>
              <w:jc w:val="left"/>
            </w:pPr>
            <w:r>
              <w:t xml:space="preserve">11,3 s</w:t>
            </w:r>
          </w:p>
        </w:tc>
      </w:tr>
    </w:tbl>
    <w:p>
      <w:pPr>
        <w:pStyle w:val="BodyText"/>
      </w:pPr>
      <w: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t xml:space="preserve">4.2 Esperienza utente</w:t>
      </w:r>
    </w:p>
    <w:p>
      <w:pPr>
        <w:pStyle w:val="FirstParagraph"/>
      </w:pPr>
      <w: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left"/>
            </w:pPr>
            <w:r>
              <w:t xml:space="preserve">Dimensione</w:t>
            </w:r>
          </w:p>
        </w:tc>
        <w:tc>
          <w:tcPr/>
          <w:p>
            <w:pPr>
              <w:pStyle w:val="Compact"/>
              <w:jc w:val="left"/>
            </w:pPr>
            <w:r>
              <w:t xml:space="preserve">CB-SBS (n=6)</w:t>
            </w:r>
          </w:p>
        </w:tc>
        <w:tc>
          <w:tcPr/>
          <w:p>
            <w:pPr>
              <w:pStyle w:val="Compact"/>
              <w:jc w:val="left"/>
            </w:pPr>
            <w:r>
              <w:t xml:space="preserve">CB-C (n=16)</w:t>
            </w:r>
          </w:p>
        </w:tc>
        <w:tc>
          <w:tcPr/>
          <w:p>
            <w:pPr>
              <w:pStyle w:val="Compact"/>
              <w:jc w:val="left"/>
            </w:pPr>
            <w:r>
              <w:t xml:space="preserve">Δ</w:t>
            </w:r>
          </w:p>
        </w:tc>
      </w:tr>
      <w:tr>
        <w:tc>
          <w:tcPr/>
          <w:p>
            <w:pPr>
              <w:pStyle w:val="Compact"/>
              <w:jc w:val="left"/>
            </w:pPr>
            <w:r>
              <w:t xml:space="preserve">Facilità d’uso</w:t>
            </w:r>
          </w:p>
        </w:tc>
        <w:tc>
          <w:tcPr/>
          <w:p>
            <w:pPr>
              <w:pStyle w:val="Compact"/>
              <w:jc w:val="left"/>
            </w:pPr>
            <w:r>
              <w:t xml:space="preserve">4,17</w:t>
            </w:r>
          </w:p>
        </w:tc>
        <w:tc>
          <w:tcPr/>
          <w:p>
            <w:pPr>
              <w:pStyle w:val="Compact"/>
              <w:jc w:val="left"/>
            </w:pPr>
            <w:r>
              <w:t xml:space="preserve">3,38</w:t>
            </w:r>
          </w:p>
        </w:tc>
        <w:tc>
          <w:tcPr/>
          <w:p>
            <w:pPr>
              <w:pStyle w:val="Compact"/>
              <w:jc w:val="left"/>
            </w:pPr>
            <w:r>
              <w:t xml:space="preserve">+0,79</w:t>
            </w:r>
          </w:p>
        </w:tc>
      </w:tr>
      <w:tr>
        <w:tc>
          <w:tcPr/>
          <w:p>
            <w:pPr>
              <w:pStyle w:val="Compact"/>
              <w:jc w:val="left"/>
            </w:pPr>
            <w:r>
              <w:t xml:space="preserve">Pertinenza delle risposte</w:t>
            </w:r>
          </w:p>
        </w:tc>
        <w:tc>
          <w:tcPr/>
          <w:p>
            <w:pPr>
              <w:pStyle w:val="Compact"/>
              <w:jc w:val="left"/>
            </w:pPr>
            <w:r>
              <w:t xml:space="preserve">4,17</w:t>
            </w:r>
          </w:p>
        </w:tc>
        <w:tc>
          <w:tcPr/>
          <w:p>
            <w:pPr>
              <w:pStyle w:val="Compact"/>
              <w:jc w:val="left"/>
            </w:pPr>
            <w:r>
              <w:t xml:space="preserve">3,56</w:t>
            </w:r>
          </w:p>
        </w:tc>
        <w:tc>
          <w:tcPr/>
          <w:p>
            <w:pPr>
              <w:pStyle w:val="Compact"/>
              <w:jc w:val="left"/>
            </w:pPr>
            <w:r>
              <w:t xml:space="preserve">+0,60</w:t>
            </w:r>
          </w:p>
        </w:tc>
      </w:tr>
      <w:tr>
        <w:tc>
          <w:tcPr/>
          <w:p>
            <w:pPr>
              <w:pStyle w:val="Compact"/>
              <w:jc w:val="left"/>
            </w:pPr>
            <w:r>
              <w:t xml:space="preserve">Fiducia nelle informazioni</w:t>
            </w:r>
          </w:p>
        </w:tc>
        <w:tc>
          <w:tcPr/>
          <w:p>
            <w:pPr>
              <w:pStyle w:val="Compact"/>
              <w:jc w:val="left"/>
            </w:pPr>
            <w:r>
              <w:t xml:space="preserve">3,83</w:t>
            </w:r>
          </w:p>
        </w:tc>
        <w:tc>
          <w:tcPr/>
          <w:p>
            <w:pPr>
              <w:pStyle w:val="Compact"/>
              <w:jc w:val="left"/>
            </w:pPr>
            <w:r>
              <w:t xml:space="preserve">3,19</w:t>
            </w:r>
          </w:p>
        </w:tc>
        <w:tc>
          <w:tcPr/>
          <w:p>
            <w:pPr>
              <w:pStyle w:val="Compact"/>
              <w:jc w:val="left"/>
            </w:pPr>
            <w:r>
              <w:t xml:space="preserve">+0,65</w:t>
            </w:r>
          </w:p>
        </w:tc>
      </w:tr>
      <w:tr>
        <w:tc>
          <w:tcPr/>
          <w:p>
            <w:pPr>
              <w:pStyle w:val="Compact"/>
              <w:jc w:val="left"/>
            </w:pPr>
            <w:r>
              <w:t xml:space="preserve">Coinvolgimento</w:t>
            </w:r>
          </w:p>
        </w:tc>
        <w:tc>
          <w:tcPr/>
          <w:p>
            <w:pPr>
              <w:pStyle w:val="Compact"/>
              <w:jc w:val="left"/>
            </w:pPr>
            <w:r>
              <w:t xml:space="preserve">3,67</w:t>
            </w:r>
          </w:p>
        </w:tc>
        <w:tc>
          <w:tcPr/>
          <w:p>
            <w:pPr>
              <w:pStyle w:val="Compact"/>
              <w:jc w:val="left"/>
            </w:pPr>
            <w:r>
              <w:t xml:space="preserve">3,06</w:t>
            </w:r>
          </w:p>
        </w:tc>
        <w:tc>
          <w:tcPr/>
          <w:p>
            <w:pPr>
              <w:pStyle w:val="Compact"/>
              <w:jc w:val="left"/>
            </w:pPr>
            <w:r>
              <w:t xml:space="preserve">+0,60</w:t>
            </w:r>
          </w:p>
        </w:tc>
      </w:tr>
      <w:tr>
        <w:tc>
          <w:tcPr/>
          <w:p>
            <w:pPr>
              <w:pStyle w:val="Compact"/>
              <w:jc w:val="left"/>
            </w:pPr>
            <w:r>
              <w:t xml:space="preserve">Capacità di stimolare la riflessione</w:t>
            </w:r>
          </w:p>
        </w:tc>
        <w:tc>
          <w:tcPr/>
          <w:p>
            <w:pPr>
              <w:pStyle w:val="Compact"/>
              <w:jc w:val="left"/>
            </w:pPr>
            <w:r>
              <w:t xml:space="preserve">3,83</w:t>
            </w:r>
          </w:p>
        </w:tc>
        <w:tc>
          <w:tcPr/>
          <w:p>
            <w:pPr>
              <w:pStyle w:val="Compact"/>
              <w:jc w:val="left"/>
            </w:pPr>
            <w:r>
              <w:t xml:space="preserve">3,25</w:t>
            </w:r>
          </w:p>
        </w:tc>
        <w:tc>
          <w:tcPr/>
          <w:p>
            <w:pPr>
              <w:pStyle w:val="Compact"/>
              <w:jc w:val="left"/>
            </w:pPr>
            <w:r>
              <w:t xml:space="preserve">+0,58</w:t>
            </w:r>
          </w:p>
        </w:tc>
      </w:tr>
      <w:tr>
        <w:tc>
          <w:tcPr/>
          <w:p>
            <w:pPr>
              <w:pStyle w:val="Compact"/>
              <w:jc w:val="left"/>
            </w:pPr>
            <w:r>
              <w:t xml:space="preserve">Chiarezza</w:t>
            </w:r>
          </w:p>
        </w:tc>
        <w:tc>
          <w:tcPr/>
          <w:p>
            <w:pPr>
              <w:pStyle w:val="Compact"/>
              <w:jc w:val="left"/>
            </w:pPr>
            <w:r>
              <w:t xml:space="preserve">4,00</w:t>
            </w:r>
          </w:p>
        </w:tc>
        <w:tc>
          <w:tcPr/>
          <w:p>
            <w:pPr>
              <w:pStyle w:val="Compact"/>
              <w:jc w:val="left"/>
            </w:pPr>
            <w:r>
              <w:t xml:space="preserve">3,69</w:t>
            </w:r>
          </w:p>
        </w:tc>
        <w:tc>
          <w:tcPr/>
          <w:p>
            <w:pPr>
              <w:pStyle w:val="Compact"/>
              <w:jc w:val="left"/>
            </w:pPr>
            <w:r>
              <w:t xml:space="preserve">+0,31</w:t>
            </w:r>
          </w:p>
        </w:tc>
      </w:tr>
      <w:tr>
        <w:tc>
          <w:tcPr/>
          <w:p>
            <w:pPr>
              <w:pStyle w:val="Compact"/>
              <w:jc w:val="left"/>
            </w:pPr>
            <w:r>
              <w:t xml:space="preserve">Velocità di risposta</w:t>
            </w:r>
          </w:p>
        </w:tc>
        <w:tc>
          <w:tcPr/>
          <w:p>
            <w:pPr>
              <w:pStyle w:val="Compact"/>
              <w:jc w:val="left"/>
            </w:pPr>
            <w:r>
              <w:t xml:space="preserve">3,83</w:t>
            </w:r>
          </w:p>
        </w:tc>
        <w:tc>
          <w:tcPr/>
          <w:p>
            <w:pPr>
              <w:pStyle w:val="Compact"/>
              <w:jc w:val="left"/>
            </w:pPr>
            <w:r>
              <w:t xml:space="preserve">3,44</w:t>
            </w:r>
          </w:p>
        </w:tc>
        <w:tc>
          <w:tcPr/>
          <w:p>
            <w:pPr>
              <w:pStyle w:val="Compact"/>
              <w:jc w:val="left"/>
            </w:pPr>
            <w:r>
              <w:t xml:space="preserve">+0,40</w:t>
            </w:r>
          </w:p>
        </w:tc>
      </w:tr>
      <w:tr>
        <w:tc>
          <w:tcPr/>
          <w:p>
            <w:pPr>
              <w:pStyle w:val="Compact"/>
              <w:jc w:val="left"/>
            </w:pPr>
            <w:r>
              <w:t xml:space="preserve">Dettaglio delle risposte</w:t>
            </w:r>
          </w:p>
        </w:tc>
        <w:tc>
          <w:tcPr/>
          <w:p>
            <w:pPr>
              <w:pStyle w:val="Compact"/>
              <w:jc w:val="left"/>
            </w:pPr>
            <w:r>
              <w:t xml:space="preserve">3,67</w:t>
            </w:r>
          </w:p>
        </w:tc>
        <w:tc>
          <w:tcPr/>
          <w:p>
            <w:pPr>
              <w:pStyle w:val="Compact"/>
              <w:jc w:val="left"/>
            </w:pPr>
            <w:r>
              <w:t xml:space="preserve">3,56</w:t>
            </w:r>
          </w:p>
        </w:tc>
        <w:tc>
          <w:tcPr/>
          <w:p>
            <w:pPr>
              <w:pStyle w:val="Compact"/>
              <w:jc w:val="left"/>
            </w:pPr>
            <w:r>
              <w:t xml:space="preserve">+0,10</w:t>
            </w:r>
          </w:p>
        </w:tc>
      </w:tr>
      <w:tr>
        <w:tc>
          <w:tcPr/>
          <w:p>
            <w:pPr>
              <w:pStyle w:val="Compact"/>
              <w:jc w:val="left"/>
            </w:pPr>
            <w:r>
              <w:t xml:space="preserve">Utilità percepita</w:t>
            </w:r>
          </w:p>
        </w:tc>
        <w:tc>
          <w:tcPr/>
          <w:p>
            <w:pPr>
              <w:pStyle w:val="Compact"/>
              <w:jc w:val="left"/>
            </w:pPr>
            <w:r>
              <w:t xml:space="preserve">3,17</w:t>
            </w:r>
          </w:p>
        </w:tc>
        <w:tc>
          <w:tcPr/>
          <w:p>
            <w:pPr>
              <w:pStyle w:val="Compact"/>
              <w:jc w:val="left"/>
            </w:pPr>
            <w:r>
              <w:t xml:space="preserve">3,31</w:t>
            </w:r>
          </w:p>
        </w:tc>
        <w:tc>
          <w:tcPr/>
          <w:p>
            <w:pPr>
              <w:pStyle w:val="Compact"/>
              <w:jc w:val="left"/>
            </w:pPr>
            <w:r>
              <w:t xml:space="preserve">−0,15</w:t>
            </w:r>
          </w:p>
        </w:tc>
      </w:tr>
      <w:tr>
        <w:tc>
          <w:tcPr/>
          <w:p>
            <w:pPr>
              <w:pStyle w:val="Compact"/>
              <w:jc w:val="left"/>
            </w:pPr>
            <w:r>
              <w:t xml:space="preserve">Intenzione di riutilizzo</w:t>
            </w:r>
          </w:p>
        </w:tc>
        <w:tc>
          <w:tcPr/>
          <w:p>
            <w:pPr>
              <w:pStyle w:val="Compact"/>
              <w:jc w:val="left"/>
            </w:pPr>
            <w:r>
              <w:t xml:space="preserve">3,83</w:t>
            </w:r>
          </w:p>
        </w:tc>
        <w:tc>
          <w:tcPr/>
          <w:p>
            <w:pPr>
              <w:pStyle w:val="Compact"/>
              <w:jc w:val="left"/>
            </w:pPr>
            <w:r>
              <w:t xml:space="preserve">3,12</w:t>
            </w:r>
          </w:p>
        </w:tc>
        <w:tc>
          <w:tcPr/>
          <w:p>
            <w:pPr>
              <w:pStyle w:val="Compact"/>
              <w:jc w:val="left"/>
            </w:pPr>
            <w:r>
              <w:t xml:space="preserve">+0,71</w:t>
            </w:r>
          </w:p>
        </w:tc>
      </w:tr>
    </w:tbl>
    <w:p>
      <w:pPr>
        <w:pStyle w:val="BodyText"/>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40"/>
    <w:bookmarkStart w:id="41" w:name="risposte-aperte"/>
    <w:p>
      <w:pPr>
        <w:pStyle w:val="Heading3"/>
      </w:pPr>
      <w:r>
        <w:t xml:space="preserve">4.3 Risposte aperte</w:t>
      </w:r>
    </w:p>
    <w:p>
      <w:pPr>
        <w:pStyle w:val="FirstParagraph"/>
      </w:pPr>
      <w:r>
        <w:t xml:space="preserve">Undici partecipanti hanno fornito risposte alle domande aperte (tutti della versione CB-C). Dall’analisi tematica emergono quattro aree di criticità.</w:t>
      </w:r>
    </w:p>
    <w:p>
      <w:pPr>
        <w:pStyle w:val="BodyText"/>
      </w:pPr>
      <w: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w:t>
      </w:r>
    </w:p>
    <w:p>
      <w:pPr>
        <w:pStyle w:val="BodyText"/>
      </w:pPr>
      <w:r>
        <w:t xml:space="preserve">Coerenza della memoria di sessione. (ii) Un partecipante riporta «incongruenze molto grandi tra i dati forniti e i riassunti finali» nella prima analisi, pur riconoscendo che una seconda analisi era più coerente.</w:t>
      </w:r>
    </w:p>
    <w:p>
      <w:pPr>
        <w:pStyle w:val="BodyText"/>
      </w:pPr>
      <w:r>
        <w:t xml:space="preserve">Completezza del contesto. (iii) Un partecipante osserva che il</w:t>
      </w:r>
      <w:r>
        <w:t xml:space="preserve"> </w:t>
      </w:r>
      <w:r>
        <w:rPr>
          <w:iCs/>
          <w:i/>
        </w:rPr>
        <w:t xml:space="preserve">chatbot</w:t>
      </w:r>
      <w:r>
        <w:t xml:space="preserve"> </w:t>
      </w:r>
      <w:r>
        <w:t xml:space="preserve">«dimentica alcune informazioni».</w:t>
      </w:r>
    </w:p>
    <w:p>
      <w:pPr>
        <w:pStyle w:val="BodyText"/>
      </w:pPr>
      <w:r>
        <w:t xml:space="preserve">Lunghezza delle risposte. (iv) Un partecipante suggerisce di «sintetizzare le risposte».</w:t>
      </w:r>
    </w:p>
    <w:p>
      <w:pPr>
        <w:pStyle w:val="BodyText"/>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t xml:space="preserve">5. Discussione</w:t>
      </w:r>
    </w:p>
    <w:p>
      <w:pPr>
        <w:pStyle w:val="FirstParagraph"/>
      </w:pPr>
      <w:r>
        <w:t xml:space="preserve">I risultati presentati in §4 indicano una tendenza favorevole alla versione CB-SBS rispetto alla CB-C. Le criticità emerse dalle risposte aperte della versione CB-C — inserimento manuale dei dati e coerenza delle analisi — trovano riscontro nei punteggi più alti registrati da CB-SBS in facilità d’uso e fiducia; la loro risoluzione conferma che le scelte progettuali hanno prodotto un effetto positivo sull’esperienza utente. Rimane da verificare, su un campione più ampio, se anche le altre dimensioni — in particolare l’utilità percepita, sostanzialmente invariata — possano beneficiare delle stesse modifiche.</w:t>
      </w:r>
    </w:p>
    <w:p>
      <w:pPr>
        <w:pStyle w:val="BodyText"/>
      </w:pPr>
      <w:r>
        <w:t xml:space="preserve">Sul piano più generale, l’architettura ibrida di Counselorbot — che combina passi guidati deterministici con la flessibilità di un LLM — si dimostra praticabile per la riflessione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l’impiego di modelli aperti di dimensioni contenute, eseguibili anche su infrastrutture locali — come Gemma 4 4B, selezionato tramite benchmark sistematico per l’istanza CB-SBS — indica una via percorribile per contenere i costi di esercizio.</w:t>
      </w:r>
    </w:p>
    <w:bookmarkEnd w:id="43"/>
    <w:bookmarkStart w:id="44" w:name="conclusioni"/>
    <w:p>
      <w:pPr>
        <w:pStyle w:val="Heading2"/>
      </w:pPr>
      <w:r>
        <w:t xml:space="preserve">6. Conclusioni</w:t>
      </w:r>
    </w:p>
    <w:p>
      <w:pPr>
        <w:pStyle w:val="FirstParagraph"/>
      </w:pPr>
      <w:r>
        <w:t xml:space="preserve">Rispondendo alla prima domanda di ricerca (D1), i risultati indicano che è possibile realizzare un</w:t>
      </w:r>
      <w:r>
        <w:t xml:space="preserve"> </w:t>
      </w:r>
      <w:r>
        <w:rPr>
          <w:iCs/>
          <w:i/>
        </w:rPr>
        <w:t xml:space="preserve">chatbot mentoring</w:t>
      </w:r>
      <w:r>
        <w:t xml:space="preserve"> </w:t>
      </w:r>
      <w:r>
        <w:t xml:space="preserve">efficace con un investimento infrastrutturale rapportato ai costi ricorrenti delle API commerciali, a condizione di disporre di hardware adeguato (cfr. §2.3). Quanto alla seconda (D2), i dati comparativi suggeriscono che l’architettura step-by-step (CB-SBS) sia più efficace di quella puramente conversazionale (CB-C) per la riflessione assistita (cfr. Liu et al., 2025; Wollny et al., 2021). La qualità di uno strumento di questo tipo non dipende tuttavia da un singolo elemento, ma dalla configurazione complessiva di diversi fattori: la scelta del modello linguistico, la progettazione dell’esperienza d’uso, la gestione della memoria, la formulazione delle istruzioni e i tempi della loro somministrazione, le conoscenze integrate nel sistema, le modalità di recupero delle informazioni e un processo di miglioramento continuo. Le prestazioni possono variare sensibilmente in funzione del design adottato: il passaggio da un’architettura conversazionale a una struttura step-by-step, così come l’impiego di modelli differenti, incide non solo sulla coerenza e la completezza delle risposte, ma anche sulla percezione complessiva dell’esperienza d’uso (Kasneci et al., 2023; Antunes et al., 2025).</w:t>
      </w:r>
    </w:p>
    <w:p>
      <w:pPr>
        <w:pStyle w:val="BodyText"/>
      </w:pPr>
      <w:r>
        <w:t xml:space="preserve">I risultati vanno tuttavia interpretati alla luce dei limiti dello studio. Il presente lavoro si colloca nella fase di test del modello ADDIE (Branch, 2009): i dati raccolti informano il ciclo iterativo di sviluppo più che costituire una validazione conclusiva. Il campione è ridotto (n=6 per CB-SBS, n=16 per CB-C con dati numerici) e non probabilistico; la differenza tra le due versioni potrebbe risentire di fattori confondenti, quali la diversa composizione demografica o la maturità del percorso di sviluppo. Il dato disponibile è inoltre esclusivamente basato sulle valutazione degli studenti, che potrebbe risentire di effetti di desiderabilità sociale; restano da acquisire metriche oggettive — quali tempi di risposta e tassi di completamento — per una valutazione più completa. Per queste ragioni, i risultati vanno letti come indicatori di tendenza, non come evidenza definitiva.</w:t>
      </w:r>
    </w:p>
    <w:p>
      <w:pPr>
        <w:pStyle w:val="BodyText"/>
      </w:pPr>
      <w:r>
        <w:t xml:space="preserve">Per quanto riguarda lo sviluppo futuro, le direzioni di lavoro possono essere articolate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pPr>
      <w:r>
        <w:t xml:space="preserve">A lungo termine, si prospettano studi longitudinali per valutare l’impatto del sistema sulle strategie di apprendimento, sui processi di riflessione assistita e sulle capacità di orientamento degli studenti. Sarà inoltre necessario proseguire la valutazione con gruppi di utenti più ampi e differenziati, analizzando le modalità con cui studenti, tutor e orientatori possono integrare lo strumento nelle rispettive pratiche. Infine, bisognerà tenere sempre sotto osservazione l’evoluzione dei modelli con meno di 15 miliardi di parametri — soglia che ha orientato la selezione per l’infrastruttura locale. Tale evoluzione amplia continuamente lo spazio delle opzioni disponibili.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t xml:space="preserve">Bibliografia</w:t>
      </w:r>
    </w:p>
    <w:p>
      <w:pPr>
        <w:pStyle w:val="FirstParagraph"/>
      </w:pPr>
      <w:r>
        <w:t xml:space="preserve">Gemma Team, Google DeepMind. (2025). Gemma 4: Advancing open language models. https://ai.google.dev/gemma</w:t>
      </w:r>
    </w:p>
    <w:p>
      <w:pPr>
        <w:pStyle w:val="BodyText"/>
      </w:pPr>
      <w:r>
        <w:t xml:space="preserve">Pellerey, M., Epifani, F., Grządziel, D., Margottini, M., &amp; Ottone, E. (2013).</w:t>
      </w:r>
      <w:r>
        <w:t xml:space="preserve"> </w:t>
      </w:r>
      <w:r>
        <w:rPr>
          <w:iCs/>
          <w:i/>
        </w:rPr>
        <w:t xml:space="preserve">Imparare a dirigere se stessi</w:t>
      </w:r>
      <w:r>
        <w:t xml:space="preserve">. CNOS-FAP, Roma.</w:t>
      </w:r>
    </w:p>
    <w:p>
      <w:pPr>
        <w:pStyle w:val="BodyText"/>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pPr>
      <w:r>
        <w:t xml:space="preserve">Branch, R. M. (2009).</w:t>
      </w:r>
      <w:r>
        <w:t xml:space="preserve"> </w:t>
      </w:r>
      <w:r>
        <w:rPr>
          <w:iCs/>
          <w:i/>
        </w:rPr>
        <w:t xml:space="preserve">Instructional design: The ADDIE approach</w:t>
      </w:r>
      <w:r>
        <w:t xml:space="preserve">. Springer. https://doi.org/10.1007/978-0-387-09506-6</w:t>
      </w:r>
    </w:p>
    <w:p>
      <w:pPr>
        <w:pStyle w:val="BodyText"/>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pPr>
    <w:rPr>
      <w:rFonts w:ascii="Times New Roman" w:hAnsi="Times New Roman"/>
    </w:rPr>
  </w:style>
  <w:style w:styleId="BodyText" w:type="paragraph">
    <w:name w:val="Body Text"/>
    <w:basedOn w:val="Normal"/>
    <w:link w:val="BodyTextChar"/>
    <w:uiPriority w:val="99"/>
    <w:unhideWhenUsed/>
    <w:rsid w:val="00AA1D8D"/>
    <w:pPr>
      <w:spacing w:after="120"/>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pPr>
    <w:rPr>
      <w:rFonts w:ascii="Times New Roman" w:hAnsi="Times New Roman"/>
    </w:rPr>
  </w:style>
  <w:style w:styleId="List2" w:type="paragraph">
    <w:name w:val="List 2"/>
    <w:basedOn w:val="Normal"/>
    <w:uiPriority w:val="99"/>
    <w:unhideWhenUsed/>
    <w:rsid w:val="00326F90"/>
    <w:pPr>
      <w:ind w:hanging="360" w:left="720"/>
      <w:contextualSpacing/>
    </w:pPr>
    <w:rPr>
      <w:rFonts w:ascii="Times New Roman" w:hAnsi="Times New Roman"/>
    </w:rPr>
  </w:style>
  <w:style w:styleId="List3" w:type="paragraph">
    <w:name w:val="List 3"/>
    <w:basedOn w:val="Normal"/>
    <w:uiPriority w:val="99"/>
    <w:unhideWhenUsed/>
    <w:rsid w:val="00326F90"/>
    <w:pPr>
      <w:ind w:hanging="360" w:left="1080"/>
      <w:contextualSpacing/>
    </w:pPr>
    <w:rPr>
      <w:rFonts w:ascii="Times New Roman" w:hAnsi="Times New Roman"/>
    </w:rPr>
  </w:style>
  <w:style w:styleId="ListBullet" w:type="paragraph">
    <w:name w:val="List Bullet"/>
    <w:basedOn w:val="Normal"/>
    <w:uiPriority w:val="99"/>
    <w:unhideWhenUsed/>
    <w:rsid w:val="00326F90"/>
    <w:pPr>
      <w:numPr>
        <w:numId w:val="1"/>
      </w:numPr>
      <w:contextualSpacing/>
    </w:pPr>
    <w:rPr>
      <w:rFonts w:ascii="Times New Roman" w:hAnsi="Times New Roman"/>
    </w:rPr>
  </w:style>
  <w:style w:styleId="ListBullet2" w:type="paragraph">
    <w:name w:val="List Bullet 2"/>
    <w:basedOn w:val="Normal"/>
    <w:uiPriority w:val="99"/>
    <w:unhideWhenUsed/>
    <w:rsid w:val="00326F90"/>
    <w:pPr>
      <w:numPr>
        <w:numId w:val="2"/>
      </w:numPr>
      <w:contextualSpacing/>
    </w:pPr>
    <w:rPr>
      <w:rFonts w:ascii="Times New Roman" w:hAnsi="Times New Roman"/>
    </w:rPr>
  </w:style>
  <w:style w:styleId="ListBullet3" w:type="paragraph">
    <w:name w:val="List Bullet 3"/>
    <w:basedOn w:val="Normal"/>
    <w:uiPriority w:val="99"/>
    <w:unhideWhenUsed/>
    <w:rsid w:val="00326F90"/>
    <w:pPr>
      <w:numPr>
        <w:numId w:val="3"/>
      </w:numPr>
      <w:contextualSpacing/>
    </w:pPr>
    <w:rPr>
      <w:rFonts w:ascii="Times New Roman" w:hAnsi="Times New Roman"/>
    </w:rPr>
  </w:style>
  <w:style w:styleId="ListNumber" w:type="paragraph">
    <w:name w:val="List Number"/>
    <w:basedOn w:val="Normal"/>
    <w:uiPriority w:val="99"/>
    <w:unhideWhenUsed/>
    <w:rsid w:val="00326F90"/>
    <w:pPr>
      <w:numPr>
        <w:numId w:val="5"/>
      </w:numPr>
      <w:contextualSpacing/>
    </w:pPr>
    <w:rPr>
      <w:rFonts w:ascii="Times New Roman" w:hAnsi="Times New Roman"/>
    </w:rPr>
  </w:style>
  <w:style w:styleId="ListNumber2" w:type="paragraph">
    <w:name w:val="List Number 2"/>
    <w:basedOn w:val="Normal"/>
    <w:uiPriority w:val="99"/>
    <w:unhideWhenUsed/>
    <w:rsid w:val="0029639D"/>
    <w:pPr>
      <w:numPr>
        <w:numId w:val="6"/>
      </w:numPr>
      <w:contextualSpacing/>
    </w:pPr>
    <w:rPr>
      <w:rFonts w:ascii="Times New Roman" w:hAnsi="Times New Roman"/>
    </w:rPr>
  </w:style>
  <w:style w:styleId="ListNumber3" w:type="paragraph">
    <w:name w:val="List Number 3"/>
    <w:basedOn w:val="Normal"/>
    <w:uiPriority w:val="99"/>
    <w:unhideWhenUsed/>
    <w:rsid w:val="0029639D"/>
    <w:pPr>
      <w:numPr>
        <w:numId w:val="7"/>
      </w:numPr>
      <w:contextualSpacing/>
    </w:pPr>
    <w:rPr>
      <w:rFonts w:ascii="Times New Roman" w:hAnsi="Times New Roman"/>
    </w:rPr>
  </w:style>
  <w:style w:styleId="ListContinue" w:type="paragraph">
    <w:name w:val="List Continue"/>
    <w:basedOn w:val="Normal"/>
    <w:uiPriority w:val="99"/>
    <w:unhideWhenUsed/>
    <w:rsid w:val="0029639D"/>
    <w:pPr>
      <w:spacing w:after="120"/>
      <w:ind w:left="360"/>
      <w:contextualSpacing/>
    </w:pPr>
    <w:rPr>
      <w:rFonts w:ascii="Times New Roman" w:hAnsi="Times New Roman"/>
    </w:rPr>
  </w:style>
  <w:style w:styleId="ListContinue2" w:type="paragraph">
    <w:name w:val="List Continue 2"/>
    <w:basedOn w:val="Normal"/>
    <w:uiPriority w:val="99"/>
    <w:unhideWhenUsed/>
    <w:rsid w:val="0029639D"/>
    <w:pPr>
      <w:spacing w:after="120"/>
      <w:ind w:left="720"/>
      <w:contextualSpacing/>
    </w:pPr>
    <w:rPr>
      <w:rFonts w:ascii="Times New Roman" w:hAnsi="Times New Roman"/>
    </w:rPr>
  </w:style>
  <w:style w:styleId="ListContinue3" w:type="paragraph">
    <w:name w:val="List Continue 3"/>
    <w:basedOn w:val="Normal"/>
    <w:uiPriority w:val="99"/>
    <w:unhideWhenUsed/>
    <w:rsid w:val="0029639D"/>
    <w:pPr>
      <w:spacing w:after="120"/>
      <w:ind w:left="1080"/>
      <w:contextualSpacing/>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2026-06-18T19:41:56Z</dcterms:created>
  <dcterms:modified xsi:type="dcterms:W3CDTF">2026-06-18T19:41:56Z</dcterms:modified>
</cp:coreProperties>
</file>

<file path=docProps/custom.xml><?xml version="1.0" encoding="utf-8"?>
<Properties xmlns="http://schemas.openxmlformats.org/officeDocument/2006/custom-properties" xmlns:vt="http://schemas.openxmlformats.org/officeDocument/2006/docPropsVTypes"/>
</file>