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bookmark=id.40thjynem2r4" w:id="0"/>
    <w:bookmarkEnd w:id="0"/>
    <w:p w:rsidR="00000000" w:rsidDel="00000000" w:rsidP="00000000" w:rsidRDefault="00000000" w:rsidRPr="00000000" w14:paraId="00000001">
      <w:pPr>
        <w:pStyle w:val="Heading1"/>
        <w:rPr/>
      </w:pPr>
      <w:r w:rsidDel="00000000" w:rsidR="00000000" w:rsidRPr="00000000">
        <w:rPr>
          <w:color w:val="000000"/>
          <w:rtl w:val="0"/>
        </w:rPr>
        <w:t xml:space="preserve">Counselorbot: un </w:t>
      </w:r>
      <w:r w:rsidDel="00000000" w:rsidR="00000000" w:rsidRPr="00000000">
        <w:rPr>
          <w:i w:val="1"/>
          <w:iCs w:val="1"/>
          <w:color w:val="000000"/>
          <w:rtl w:val="0"/>
        </w:rPr>
        <w:t xml:space="preserve">chatbot</w:t>
      </w:r>
      <w:r w:rsidDel="00000000" w:rsidR="00000000" w:rsidRPr="00000000">
        <w:rPr>
          <w:color w:val="000000"/>
          <w:rtl w:val="0"/>
        </w:rPr>
        <w:t xml:space="preserve"> per l’orientamento</w:t>
      </w:r>
      <w:r w:rsidDel="00000000" w:rsidR="00000000" w:rsidRPr="00000000">
        <w:rPr>
          <w:rtl w:val="0"/>
          <w:color w:val="00000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Abstract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(italiano)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L’articolo presenta Counselorbot, un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assistente conversazionale) basato su LLM per l’autovalutazione guidata delle competenze strategiche degli studenti. Il lavoro descrive l’architettura ibrida del sistema — che combina passi guidati deterministici con la flessibilità di un LLM — e il framework delle competenze strategiche (QSA) su cui si basa. La valutazione, condotta su 34 partecipanti confrontando due versioni (SBS e ai4educ), suggerisce tendenze positive in 9 dimensioni su 10, con incrementi in facilità d’uso (Δ = +0,79) e fiducia (Δ = +0,65). Il lavoro si colloca nella fase di test del modello ADDIE e discute limiti e direzioni di sviluppo.</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Abstract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(inglese)</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paper presents Counselorbot, an LLM-based conversational assistant for guided self-assessment of students’ strategic competences. The paper describes the hybrid architecture — combining deterministic guided steps with LLM flexibility — and the strategic competences framework (QSA) it builds on. The evaluation, carried out on 34 participants comparing two versions (SBS and ai4educ), suggests positive trends in 9 out of 10 dimensions, with increases in ease of use (Δ = +0.79) and trust (Δ = +0.65). The study is positioned within the test phase of the ADDIE model and discusses limitations and future directions.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Parole chiave: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autovalutazione; competenze strategiche; LLM;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educativo; QSA; intelligenza artificiale generativa; ADDIE </w:t>
      </w: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Keywords: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self-assessment; strategic competences; LLM; educational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QSA; generative AI; ADDIE</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Nota biografica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[da completare: max 300 battute]</w:t>
      </w:r>
    </w:p>
    <w:bookmarkStart w:colFirst="0" w:colLast="0" w:name="bookmark=id.wiiq2m8q9jri" w:id="1"/>
    <w:bookmarkEnd w:id="1"/>
    <w:p w:rsidR="00000000" w:rsidDel="00000000" w:rsidP="00000000" w:rsidRDefault="00000000" w:rsidRPr="00000000" w14:paraId="00000008">
      <w:pPr>
        <w:pStyle w:val="Heading2"/>
        <w:rPr/>
      </w:pPr>
      <w:r w:rsidDel="00000000" w:rsidR="00000000" w:rsidRPr="00000000">
        <w:rPr>
          <w:color w:val="000000"/>
          <w:rtl w:val="0"/>
        </w:rPr>
        <w:t xml:space="preserve">Introduzione</w:t>
      </w:r>
      <w:r w:rsidDel="00000000" w:rsidR="00000000" w:rsidRPr="00000000">
        <w:rPr>
          <w:rtl w:val="0"/>
          <w:color w:val="00000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Nel panorama dell’orientamento scolastico e professionale, i questionari occupano un ruolo consolidato (Pellerey et al. 2013). Presentano allo studente una serie di affermazioni — su stili di studio, strategie, concentrazione, emozioni, studio in gruppo — chiedendo il grado di accordo. Al termine, restituiscono un profilo che sintetizza i risultati in fattori o brevi commenti. Questo esito può essere oggetto di riflessione personale o discusso con tutor, docente o orientatore; tale accompagnamento trova però un limite strutturale nella disponibilità di chi lo svolge. Inoltre, </w:t>
      </w:r>
      <w:r w:rsidDel="00000000" w:rsidR="00000000" w:rsidRPr="00000000">
        <w:rPr>
          <w:rtl w:val="0"/>
        </w:rPr>
        <w:t xml:space="preserve">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letteratura evidenzia come la mancanza di supporto umano riduca l’efficacia dei feedback prodot</w:t>
      </w:r>
      <w:r w:rsidDel="00000000" w:rsidR="00000000" w:rsidRPr="00000000">
        <w:rPr>
          <w:rtl w:val="0"/>
        </w:rPr>
        <w:t xml:space="preserve">ti da questi strumenti</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 la capacità di tradurre i risultati in azioni concrete (Wollny et al. 2021). I recenti modelli conversazionali basati su Large Language Model (LLM) possono costituire un’alternativa scalabile a questo accompagnamento. L’articolo verifica se le tecnologie basate su LLM consentano di costruire un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mentoring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per </w:t>
      </w:r>
      <w:r w:rsidDel="00000000" w:rsidR="00000000" w:rsidRPr="00000000">
        <w:rPr>
          <w:rtl w:val="0"/>
        </w:rPr>
        <w:t xml:space="preserve">accompagnare l’utente nella riflessione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delle competenze strategiche e, </w:t>
      </w:r>
      <w:r w:rsidDel="00000000" w:rsidR="00000000" w:rsidRPr="00000000">
        <w:rPr>
          <w:rtl w:val="0"/>
        </w:rPr>
        <w:t xml:space="preserve">in seconda battuta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 un’architettura ibrida — in cui passi guidati vincolano la flessibilità del modello — produca un’esperienza utente superiore rispetto a un’architettura </w:t>
      </w:r>
      <w:r w:rsidDel="00000000" w:rsidR="00000000" w:rsidRPr="00000000">
        <w:rPr>
          <w:rtl w:val="0"/>
        </w:rPr>
        <w:t xml:space="preserve">basata solo sulle classiche interfacce conversazionali botta e risposta.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questo fine, confronta due versioni di Counselorbot su 34 partecipanti. Il sistema è testato sul Questionario sulle Strategie di Apprendimento (QSA), ma è già predisposto per essere usato con altri strumenti.</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 lavoro si articola in sei paragrafi. Il §1 presenta il quadro teorico e lo stato dell’arte sui LLM in educazione; il §2 descrive la progettazione e l’architettura di Counselorbot. Il §3 illustra la metodologia di valutazione del sistema, i cui risultati sono presentati al §4. Il §5 discute le implicazioni dei risultati e i limiti dello studio, mentre il §6 conclude tracciando le direzioni di sviluppo futuro.</w:t>
      </w:r>
    </w:p>
    <w:bookmarkStart w:colFirst="0" w:colLast="0" w:name="bookmark=id.ybta88b9iabp" w:id="2"/>
    <w:bookmarkEnd w:id="2"/>
    <w:p w:rsidR="00000000" w:rsidDel="00000000" w:rsidP="00000000" w:rsidRDefault="00000000" w:rsidRPr="00000000" w14:paraId="0000000B">
      <w:pPr>
        <w:pStyle w:val="Heading2"/>
        <w:rPr/>
      </w:pPr>
      <w:r w:rsidDel="00000000" w:rsidR="00000000" w:rsidRPr="00000000">
        <w:rPr>
          <w:color w:val="000000"/>
          <w:rtl w:val="0"/>
        </w:rPr>
        <w:t xml:space="preserve">1. Quadro teorico e stato dell’arte</w:t>
      </w:r>
      <w:r w:rsidDel="00000000" w:rsidR="00000000" w:rsidRPr="00000000">
        <w:rPr>
          <w:rtl w:val="0"/>
          <w:color w:val="000000"/>
        </w:rPr>
      </w:r>
    </w:p>
    <w:bookmarkStart w:colFirst="0" w:colLast="0" w:name="bookmark=id.76z9ok41c649" w:id="3"/>
    <w:bookmarkEnd w:id="3"/>
    <w:p w:rsidR="00000000" w:rsidDel="00000000" w:rsidP="00000000" w:rsidRDefault="00000000" w:rsidRPr="00000000" w14:paraId="0000000C">
      <w:pPr>
        <w:pStyle w:val="Heading3"/>
        <w:rPr/>
      </w:pPr>
      <w:r w:rsidDel="00000000" w:rsidR="00000000" w:rsidRPr="00000000">
        <w:rPr>
          <w:color w:val="000000"/>
          <w:rtl w:val="0"/>
        </w:rPr>
        <w:t xml:space="preserve">1.1 LLM e autovalutazione in educazione</w:t>
      </w:r>
      <w:r w:rsidDel="00000000" w:rsidR="00000000" w:rsidRPr="00000000">
        <w:rPr>
          <w:rtl w:val="0"/>
          <w:color w:val="00000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Large Language Model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(LLM) — grandi reti neurali specializzate nel linguaggio (Brown et al. 2020) — costituiscono la famiglia più diffusa dell’intelligenza artificiale generativa (GenAI). Questi modelli si estendono dal tutoring al mentoring. Gli LLM permettono agli attuali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le interfacce su cui accediamo a questi modelli — di superare i limiti dei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del passato basati su regole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rule-based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(ELIZA, Weizenbaum 1966). Sono infatti in grado di produrre output adattivi e coerenti in linguaggio naturale, rendendo l’interazione più fluida e aperta a casi non previsti dal programmatore (Brown et al. 2020; Kasneci et al. 2023). Introducono tuttavia nuovi problemi tecnici — bias, allucinazioni, comportamenti non in linea con la richiesta — che richiedono un’attenta gestione (Bender et al. 2021). Nel contesto educativo questi rischi assumono forme specifiche: inaccuratezza contenutistica, valutazioni fuorvianti del profilo degli studenti, bias demografici nella generazione dei feedback, e tendenza a creare dipendenza eccessiva dal supporto AI (Bender et al. 2021; Tankelevitch et al. 2024). A questi si aggiunge un problema di accettazione: a parità di contenuto, le indicazioni fornite da un sistema artificiale tendono a essere percepite come meno credibili rispetto a quelle di un operatore umano (Cukurova et al. 2020).</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Gli LLM, per la loro flessibilità, cambiano questo quadro. Possono essere istruiti con direttive specifiche — 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system prompt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 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meta prompt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che ne vincolano il comportamento a un ruolo e a uno scopo, e generano linguaggio naturale coerente anche in risposta a input imprevisti (Kasneci et al. 2023). A questa istruibilità si aggiunge la possibilità di richiamare conoscenze contestuali — strategie approvate, dati del profilo dello studente, frammenti di letteratura — migliorando l’accuratezza e la pertinenza delle risposte rispetto al contesto. Inoltre, l’architettura ibrida che combina flessibilità LLM con vincoli progettuali (guardrail) permette di mitigare i rischi identificati in precedenza, contenendo allucinazioni e bias demografici. Istruibilità e richiamo di conoscenze contestuali forniscono ingredienti promettenti per costruire un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mentoring 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che accompagna lo studente in un percorso di riflessione guidata, adattandosi alle sue esigenze. Per questi motivi, l’architettura di Counselorbot integra diversi tipi di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guardrail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vincoli progettuali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system prompt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filtri, validazione output) che impediscono al modello di discostarsi dallo scopo dell’interazione e riducono la probabilità di generare contenuti inappropriati o fuorvianti (Bender et al. 2021). Di conseguenza, le revisioni della letteratura confermano il potenziale dei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educativi per il supporto allo studio e al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mentoring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(Kuhail et al. 2022; Zawacki-Richter et al. 2019), e questi sistemi possono rendere scalabili processi di orientamento altrimenti non sostenibili (Neumann et al. 2021). Impiegati come tutor socratici — un modello dialogico in cui l’AI guida lo studente alla scoperta attraverso domande, non risposte dirette — possono sostenere lo sviluppo metacognitivo e l’</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agency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epistemica, ossia la capacità dello studente di porsi come agente attivo nella costruzione della propria conoscenza (Antunes et al. 2025). Perché lo sviluppo metacognitivo e l’</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agency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epistemica si realizzino, il dialogo va progettato attorno a principi di autoregolazione (Chang et al. 2023). Tuttavia, per beneficiare pienamente di questi strumenti, gli studenti devono sviluppare una consapevolezza metacognitiva specifica: la capacità di valutare criticamente le risposte dell’AI e integrarle nel proprio processo di apprendimento (Tankelevitch et al. 2024). Le strategie di autovalutazione supportate dall’AI risultano ancora tra le meno utilizzate dagli studenti (Liu et al. 2025). Il framework delle competenze strategiche, descritto nel paragrafo successivo, è uno strumento pensato proprio per rilevare e sostenere queste strategie.</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 costrutto di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competenza strategica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sviluppato dal gruppo di ricerca coordinato da Pellerey nell’ambito del CNOS-FAP (Pellerey et al., 2013) — affonda le sue radici nel concetto aristotelico-tomista di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abito</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(habitus), inteso come disposizione stabile della persona che integra dimensioni intellettuali, operative e morali. Nel contesto educativo, designa l’insieme delle abilità cognitive, metacognitive, affettivo-motivazionali e volitive che uno studente attiva per pianificare, monitorare e regolare il proprio apprendimento, riconoscendo e mobilitando le risorse personali a disposizione. Il framework articola il costrutto in nove aree — che spaziano dalle strategie di studio alla collaborazione, dalla percezione di competenza all’autoregolazione, dal coping alla progettualità — e costituisce il riferimento teorico della piattaforma competenzestrategiche.it.</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partire da questo costrutto è stato sviluppato il Questionario sulle Strategie di Apprendimento (QSA), che ne traduce le aree in fattori misurabili e ne restituisce un profilo individuale. Sulla piattaforma competenzestrategiche.it sono disponibili anche altri strumenti basati sul medesimo framework — tra cui lo ZTPI per la prospettiva temporale, il QAP per l’adattabilità professionale, il QPCS e il QPCC per diversi target di età — oltre a una forma ridotta del QSA (QSAr).</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Nonostante queste premesse, la letteratura e gli strumenti esistenti evidenzia uno scarto. Da un lato, i sistemi basati su LLM per il dialogo in contesti educativi sono ancora prevalentemente orientati al supporto emotivo o al tutoring disciplinare. Esistono lavori che esplorano l’uso degli LLM per generare feedback personalizzati — Susnjak (2023), ad esempio, usa un LLM per tradurre in linguaggio naturale le indicazioni emerse da un modello predittivo: «se aumenti la tua media del 10% e studi a tempo pieno, il tuo rischio di abbandono si riduce» — ma questi casi restano slegati da strumenti strutturati di autovalutazione. Dall’altro, gli strumenti di autovalutazione — come il QSA — restituiscono un profilo senza offrire uno strumento di accompagnamento che aiuti lo studente a interpretarlo e a tradurlo in azioni concrete.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Counselorbot si inserisce in questa lacuna.</w:t>
      </w:r>
    </w:p>
    <w:bookmarkStart w:colFirst="0" w:colLast="0" w:name="bookmark=id.3kam8a5bue9y" w:id="4"/>
    <w:bookmarkEnd w:id="4"/>
    <w:p w:rsidR="00000000" w:rsidDel="00000000" w:rsidP="00000000" w:rsidRDefault="00000000" w:rsidRPr="00000000" w14:paraId="00000013">
      <w:pPr>
        <w:pStyle w:val="Heading2"/>
        <w:rPr/>
      </w:pPr>
      <w:r w:rsidDel="00000000" w:rsidR="00000000" w:rsidRPr="00000000">
        <w:rPr>
          <w:color w:val="000000"/>
          <w:rtl w:val="0"/>
        </w:rPr>
        <w:t xml:space="preserve">2. Progettazione di Counselorbot</w:t>
      </w:r>
      <w:r w:rsidDel="00000000" w:rsidR="00000000" w:rsidRPr="00000000">
        <w:rPr>
          <w:rtl w:val="0"/>
          <w:color w:val="000000"/>
        </w:rPr>
      </w:r>
    </w:p>
    <w:bookmarkStart w:colFirst="0" w:colLast="0" w:name="bookmark=id.o5fcww5aqbtz" w:id="5"/>
    <w:bookmarkEnd w:id="5"/>
    <w:p w:rsidR="00000000" w:rsidDel="00000000" w:rsidP="00000000" w:rsidRDefault="00000000" w:rsidRPr="00000000" w14:paraId="00000014">
      <w:pPr>
        <w:pStyle w:val="Heading3"/>
        <w:rPr/>
      </w:pPr>
      <w:r w:rsidDel="00000000" w:rsidR="00000000" w:rsidRPr="00000000">
        <w:rPr>
          <w:color w:val="000000"/>
          <w:rtl w:val="0"/>
        </w:rPr>
        <w:t xml:space="preserve">2.1 Obiettivi di design e requisiti</w:t>
      </w:r>
      <w:r w:rsidDel="00000000" w:rsidR="00000000" w:rsidRPr="00000000">
        <w:rPr>
          <w:rtl w:val="0"/>
          <w:color w:val="00000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 sistema è progettato per accompagnare lo studente in un percorso di autovalutazione e riflessione su strumenti di orientamento già validati e utilizzati, in particolare i questionari del sito competenzestrategiche.it menzionati poc’anzi. È aperto anche ad altri strumenti: al momento include la simulazione del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counseling interview</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 Savickas (Savickas 2018) e il sistema PQBL di Jemstedt e Bälter (2024), e altri strumenti potranno essere integrati in futuro. Il dialogo si fonda su un piano pedagogico predefinito (Puech et al. 2025) in cui la flessibilità dell’LLM è guidata da una sequenza strutturata di passi.</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 sistema è multi-strumento ed estensibile: supporta diversi strumenti di orientamento, ciascuno con la propria logica di calcolo e modalità di interazione, con la possibilità di integrarne altri. La conversazione segue una sequenza di passi predefiniti (chat guidata); all’interno di ciascun passo, l’LLM adatta il linguaggio e le risposte agli input dello studente. Prompt, sequenze e messaggi sono memorizzati nel database e modificabili dal pannello amministrativo senza intervento sul codice. Il sistema supporta molteplici provider AI, remoti e locali, intercambiabili senza modifiche all’architettura. Una base di conoscenza condivisa conserva strategie editorialmente approvate, recuperate dinamicamente tramite embedding semantici e keyword per fornire all’LLM i suggerimenti più pertinenti al profilo dello studente; un grafo della conoscenza connette strumenti, fattori e strategie, arricchendo la ricerca documentale e permettendo al sistema di navigare concettualmente il dominio orientativo. L’interfaccia è disponibile in sei lingue (italiano, inglese, spagnolo, francese, tedesco, svedese).</w:t>
      </w:r>
    </w:p>
    <w:bookmarkStart w:colFirst="0" w:colLast="0" w:name="bookmark=id.3tela93cvwxq" w:id="6"/>
    <w:bookmarkEnd w:id="6"/>
    <w:p w:rsidR="00000000" w:rsidDel="00000000" w:rsidP="00000000" w:rsidRDefault="00000000" w:rsidRPr="00000000" w14:paraId="00000017">
      <w:pPr>
        <w:pStyle w:val="Heading3"/>
        <w:rPr/>
      </w:pPr>
      <w:r w:rsidDel="00000000" w:rsidR="00000000" w:rsidRPr="00000000">
        <w:rPr>
          <w:color w:val="000000"/>
          <w:rtl w:val="0"/>
        </w:rPr>
        <w:t xml:space="preserve">2.2 Architettura</w:t>
      </w:r>
      <w:r w:rsidDel="00000000" w:rsidR="00000000" w:rsidRPr="00000000">
        <w:rPr>
          <w:rtl w:val="0"/>
          <w:color w:val="00000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L’architettura di Counselorbot si fonda su tre componenti. Un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backend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espone i servizi di chat, amministrazione, gestione dei questionari e memoria di sessione; un livello di astrazione verso i provider AI rende il sistema indipendente dal modello linguistico sottostante, permettendo di commutare tra provider remoti e locali senza interruzioni. Un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frontend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modulare offre all’utente un selettore di strumenti, un modulo di inserimento punteggi, una visualizzazione del profilo e l’interfaccia di chat guidata. Un database relazionale conserva le configurazioni (prompt, passi guidati, strategie) e la memoria di sessione.</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 sistema non si limita a ricevere punteggi esterni: conosce la struttura di ciascun questionario — fattori, item, scale, stanine — e genera interpretazioni coerenti con le proprietà psicometriche del test. Le strategie editorialmente approvate sono indicizzate per contenuto semantico e parole chiave, e il sistema le recupera automaticamente in base al fattore corrente e al profilo dello studente, integrandole nella risposta dell’LLM senza richiedere all’amministratore di aggiornare manualmente il prompt. Un grafo della conoscenza — che collega strumenti, fattori, strategie e riferimenti — estende la ricerca documentale alle voci concettualmente vicine, consentendo al sistema di attingere a contenuti correlati anche quando non corrispondono esattamente ai termini della query. Si aggiunga che una memoria condivisa delle risposte: quando uno studente valuta positivamente una risposta dell’assistente, questa viene conservata e riproposta come riferimento in sessioni successive per domande analoghe, creando un meccanismo di apprendimento collettivo che migliora la qualità del supporto nel tempo.</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Tutte le interazioni sono registrate in un archivio consultabile dagli amministratori per monitorare l’uso del sistema e identificare aree di miglioramento. È in fase di progettazione un sistema di anonimizzazione che consenta di analizzare i contenuti delle conversazioni — strategie discusse, fattori critici, efficacia percepita — senza esporre i dati personali degli studenti, in modo da poter studiare l’impatto del sistema su scala più ampia.</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L’elemento centrale dell’interazione è la sequenza di passi guidati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guided steps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una serie di fasi predefinite che determinano l’ordine del dialogo e il prompt di sistema per ciascuna fase, garantendo che la conversazione copra tutti gli ambiti del profilo. All’interno di ogni passo, l’LLM dispone della flessibilità necessaria per adattare linguaggio e risposte agli input dello studente, realizzando la forma ibrida tra controllo deterministico e adattività conversazionale.</w:t>
      </w:r>
    </w:p>
    <w:bookmarkStart w:colFirst="0" w:colLast="0" w:name="bookmark=id.87uoigfrc0e" w:id="7"/>
    <w:bookmarkEnd w:id="7"/>
    <w:p w:rsidR="00000000" w:rsidDel="00000000" w:rsidP="00000000" w:rsidRDefault="00000000" w:rsidRPr="00000000" w14:paraId="0000001C">
      <w:pPr>
        <w:pStyle w:val="Heading3"/>
        <w:rPr/>
      </w:pPr>
      <w:r w:rsidDel="00000000" w:rsidR="00000000" w:rsidRPr="00000000">
        <w:rPr>
          <w:color w:val="000000"/>
          <w:rtl w:val="0"/>
        </w:rPr>
        <w:t xml:space="preserve">2.3 Flusso di interazione</w:t>
      </w:r>
      <w:r w:rsidDel="00000000" w:rsidR="00000000" w:rsidRPr="00000000">
        <w:rPr>
          <w:rtl w:val="0"/>
          <w:color w:val="00000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 percorso tipo si articola in quattro fasi.</w:t>
      </w:r>
    </w:p>
    <w:p w:rsidR="00000000" w:rsidDel="00000000" w:rsidP="00000000" w:rsidRDefault="00000000" w:rsidRPr="00000000" w14:paraId="0000001E">
      <w:pPr>
        <w:numPr>
          <w:ilvl w:val="0"/>
          <w:numId w:val="1"/>
        </w:numPr>
        <w:ind w:left="720" w:hanging="480"/>
        <w:jc w:val="both"/>
        <w:rPr/>
      </w:pPr>
      <w:r w:rsidDel="00000000" w:rsidR="00000000" w:rsidRPr="00000000">
        <w:rPr>
          <w:rtl w:val="0"/>
        </w:rPr>
        <w:t xml:space="preserve">Selezione dello strumento. L’utente sceglie tra QSA, QSAr, ZTPI, PQBL o intervista Savickas. Ciascuno strumento attiva una propria sequenza di passi guidati e un set di </w:t>
      </w:r>
      <w:r w:rsidDel="00000000" w:rsidR="00000000" w:rsidRPr="00000000">
        <w:rPr>
          <w:i w:val="1"/>
          <w:iCs w:val="1"/>
          <w:rtl w:val="0"/>
        </w:rPr>
        <w:t xml:space="preserve">prompt</w:t>
      </w:r>
      <w:r w:rsidDel="00000000" w:rsidR="00000000" w:rsidRPr="00000000">
        <w:rPr>
          <w:rtl w:val="0"/>
        </w:rPr>
        <w:t xml:space="preserve"> specifici.</w:t>
      </w:r>
    </w:p>
    <w:p w:rsidR="00000000" w:rsidDel="00000000" w:rsidP="00000000" w:rsidRDefault="00000000" w:rsidRPr="00000000" w14:paraId="0000001F">
      <w:pPr>
        <w:numPr>
          <w:ilvl w:val="0"/>
          <w:numId w:val="1"/>
        </w:numPr>
        <w:ind w:left="720" w:hanging="480"/>
        <w:jc w:val="both"/>
        <w:rPr/>
      </w:pPr>
      <w:r w:rsidDel="00000000" w:rsidR="00000000" w:rsidRPr="00000000">
        <w:rPr>
          <w:rtl w:val="0"/>
        </w:rPr>
        <w:t xml:space="preserve">Inserimento del profilo. Per QSA, QSAr, ZTPI e PQBL, l’utente inserisce i risultati del questionario; per Savickas, il sistema avvia un’intervista qualitativa a cinque domande, in cui l’LLM conduce la conversazione e genera una sintesi narrativa al termine.</w:t>
      </w:r>
    </w:p>
    <w:p w:rsidR="00000000" w:rsidDel="00000000" w:rsidP="00000000" w:rsidRDefault="00000000" w:rsidRPr="00000000" w14:paraId="00000020">
      <w:pPr>
        <w:numPr>
          <w:ilvl w:val="0"/>
          <w:numId w:val="1"/>
        </w:numPr>
        <w:ind w:left="720" w:hanging="480"/>
        <w:jc w:val="both"/>
        <w:rPr/>
      </w:pPr>
      <w:r w:rsidDel="00000000" w:rsidR="00000000" w:rsidRPr="00000000">
        <w:rPr>
          <w:rtl w:val="0"/>
        </w:rPr>
        <w:t xml:space="preserve">Visualizzazione. Il profilo è mostrato come grafico a barre con codifica cromatica (verde per punti di forza, giallo per fascia media, rosso per aree di crescita).</w:t>
      </w:r>
    </w:p>
    <w:p w:rsidR="00000000" w:rsidDel="00000000" w:rsidP="00000000" w:rsidRDefault="00000000" w:rsidRPr="00000000" w14:paraId="00000021">
      <w:pPr>
        <w:numPr>
          <w:ilvl w:val="0"/>
          <w:numId w:val="1"/>
        </w:numPr>
        <w:ind w:left="720" w:hanging="480"/>
        <w:jc w:val="both"/>
        <w:rPr/>
      </w:pPr>
      <w:r w:rsidDel="00000000" w:rsidR="00000000" w:rsidRPr="00000000">
        <w:rPr>
          <w:rtl w:val="0"/>
        </w:rPr>
        <w:t xml:space="preserve">Chat guidata. Il sistema propone una lettura fattore per fattore. Per ciascun fattore, l’LLM presenta l’esito, ne discute il significato e suggerisce strategie, attingendo alla </w:t>
      </w:r>
      <w:r w:rsidDel="00000000" w:rsidR="00000000" w:rsidRPr="00000000">
        <w:rPr>
          <w:i w:val="1"/>
          <w:iCs w:val="1"/>
          <w:rtl w:val="0"/>
        </w:rPr>
        <w:t xml:space="preserve">knowledge base</w:t>
      </w:r>
      <w:r w:rsidDel="00000000" w:rsidR="00000000" w:rsidRPr="00000000">
        <w:rPr>
          <w:rtl w:val="0"/>
        </w:rPr>
        <w:t xml:space="preserve"> quando pertinente. L’utente può approfondire liberamente prima di passare al fattore successivo. Oltre alla lettura dei singoli esiti, il sistema ne evidenzia le connessioni — ad esempio tra l’ambito cognitivo e quello affettivo-motivazionale — aiutando lo studente a costruire una visione d’insieme del proprio profilo. Al termine viene offerta una sintesi complessiva e la possibilità di condividere le strategie ritenute più utili.</w:t>
      </w:r>
    </w:p>
    <w:bookmarkStart w:colFirst="0" w:colLast="0" w:name="bookmark=id.flrjca1cszzc" w:id="8"/>
    <w:bookmarkEnd w:id="8"/>
    <w:p w:rsidR="00000000" w:rsidDel="00000000" w:rsidP="00000000" w:rsidRDefault="00000000" w:rsidRPr="00000000" w14:paraId="00000022">
      <w:pPr>
        <w:pStyle w:val="Heading2"/>
        <w:rPr/>
      </w:pPr>
      <w:r w:rsidDel="00000000" w:rsidR="00000000" w:rsidRPr="00000000">
        <w:rPr>
          <w:color w:val="000000"/>
          <w:rtl w:val="0"/>
        </w:rPr>
        <w:t xml:space="preserve">3. Metodologia di valutazione</w:t>
      </w:r>
      <w:r w:rsidDel="00000000" w:rsidR="00000000" w:rsidRPr="00000000">
        <w:rPr>
          <w:rtl w:val="0"/>
          <w:color w:val="000000"/>
        </w:rPr>
      </w:r>
    </w:p>
    <w:bookmarkStart w:colFirst="0" w:colLast="0" w:name="bookmark=id.vmqrmovbkbss" w:id="9"/>
    <w:bookmarkEnd w:id="9"/>
    <w:p w:rsidR="00000000" w:rsidDel="00000000" w:rsidP="00000000" w:rsidRDefault="00000000" w:rsidRPr="00000000" w14:paraId="00000023">
      <w:pPr>
        <w:pStyle w:val="Heading3"/>
        <w:rPr/>
      </w:pPr>
      <w:r w:rsidDel="00000000" w:rsidR="00000000" w:rsidRPr="00000000">
        <w:rPr>
          <w:color w:val="000000"/>
          <w:rtl w:val="0"/>
        </w:rPr>
        <w:t xml:space="preserve">3.1 Disegno della ricerca</w:t>
      </w:r>
      <w:r w:rsidDel="00000000" w:rsidR="00000000" w:rsidRPr="00000000">
        <w:rPr>
          <w:rtl w:val="0"/>
          <w:color w:val="00000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 valutare il sistema descritto nel §2, si è adottato il seguente disegno di ricerca. Lo sviluppo di Counselorbot segue il modello ADDIE (Branch 2009), un acronimo che indica cinque fasi: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Analysis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(analisi dei bisogni formativi e del contesto),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Design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(progettazione dell’architettura e dell’interazione),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Development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(realizzazione del sistema),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Implementation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(rilascio e formazione degli utenti) ed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Evaluation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(valutazione dei risultati). Il lavoro descritto in questo articolo si colloca nella fase di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Evaluation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del secondo ciclo di sviluppo.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 primo ciclo ha prodotto una versione basata su un’architettura RAG (Retrieval-Augmented Generation) con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system prompt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(ai4educ), in cui l’LLM rispondeva alle domande dello studente attingendo da documenti caricati in una memoria vettoriale, senza una logica di navigazione predefinita. I risultati di questo primo ciclo — discussi in §4 — hanno evidenziato criticità nella coerenza delle analisi e nell’inserimento manuale dei dati, portando a un secondo ciclo di progettazione. Tra i due cicli sono state condotte prove interne e messe a punto incrementali che hanno guidato la progettazione della versione successiva. Il secondo ciclo ha prodotto la versione Step-by-Step (SBS), che introduce i passi guidati, il grafo della conoscenza, l’indicizzazione semantica delle strategie e l’interfaccia ottimizzata per l’inserimento dei profili.</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 valutazione presentata in questo lavoro adotta un disegno comparativo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between-subjects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tra le due versioni (SBS e ai4educ): ciascun partecipante ha utilizzato una sola versione, al termine della quale ha compilato un questionario di gradimento, descritto nel §3.3.</w:t>
      </w:r>
    </w:p>
    <w:bookmarkStart w:colFirst="0" w:colLast="0" w:name="bookmark=id.mhht03rt1236" w:id="10"/>
    <w:bookmarkEnd w:id="10"/>
    <w:p w:rsidR="00000000" w:rsidDel="00000000" w:rsidP="00000000" w:rsidRDefault="00000000" w:rsidRPr="00000000" w14:paraId="00000027">
      <w:pPr>
        <w:pStyle w:val="Heading3"/>
        <w:rPr/>
      </w:pPr>
      <w:r w:rsidDel="00000000" w:rsidR="00000000" w:rsidRPr="00000000">
        <w:rPr>
          <w:color w:val="000000"/>
          <w:rtl w:val="0"/>
        </w:rPr>
        <w:t xml:space="preserve">3.2 Partecipanti e procedura</w:t>
      </w:r>
      <w:r w:rsidDel="00000000" w:rsidR="00000000" w:rsidRPr="00000000">
        <w:rPr>
          <w:rtl w:val="0"/>
          <w:color w:val="00000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 momento della scrittura — la raccolta è in corso — hanno completato il questionario 34 partecipanti: 7 attraverso la versione SBS e 27 attraverso la versione precedente (ai4educ). Il campione è eterogeneo per età (14–53 anni) e livello di istruzione (dalla scuola secondaria di primo grado alla laurea magistrale). La procedura prevedeva la compilazione del QSA, la visualizzazione del profilo e la chat guidata fattore per fattore, al termine della quale veniva proposto il questionario di gradimento.</w:t>
      </w:r>
    </w:p>
    <w:bookmarkStart w:colFirst="0" w:colLast="0" w:name="bookmark=id.xf2ksm5z8sen" w:id="11"/>
    <w:bookmarkEnd w:id="11"/>
    <w:p w:rsidR="00000000" w:rsidDel="00000000" w:rsidP="00000000" w:rsidRDefault="00000000" w:rsidRPr="00000000" w14:paraId="00000029">
      <w:pPr>
        <w:pStyle w:val="Heading3"/>
        <w:rPr/>
      </w:pPr>
      <w:r w:rsidDel="00000000" w:rsidR="00000000" w:rsidRPr="00000000">
        <w:rPr>
          <w:color w:val="000000"/>
          <w:rtl w:val="0"/>
        </w:rPr>
        <w:t xml:space="preserve">3.3 Strumenti e metriche</w:t>
      </w:r>
      <w:r w:rsidDel="00000000" w:rsidR="00000000" w:rsidRPr="00000000">
        <w:rPr>
          <w:rtl w:val="0"/>
          <w:color w:val="00000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 questionario di gradimento si compone di dieci item su scala Likert a cinque punti (1 = «Per niente», 5 = «Molto»), che coprono le seguenti dimensioni: utilità percepita, pertinenza delle risposte, chiarezza delle spiegazioni, adeguatezza del dettaglio, facilità d’uso dell’interfaccia, velocità di risposta, fiducia nelle informazioni ricevute, capacità di stimolare la riflessione su di sé, coinvolgimento generale e intenzione di riutilizzo o raccomandazione ad altri. Per ciascun item è calcolata la media aritmetica, separatamente per le due versioni del sistema (SBS e ai4educ), senza aggregazioni in sottoscale. Sono inoltre raccolti dati demografici (età, sesso, titolo di studio, tipo di istituto, provenienza geografica) e, nella versione estesa del questionario, due domande aperte per la raccolta di riflessioni libere e suggerimenti, analizzate qualitativamente tramite categorizzazione tematica.</w:t>
      </w:r>
    </w:p>
    <w:bookmarkStart w:colFirst="0" w:colLast="0" w:name="bookmark=id.ixekr6rtthya" w:id="12"/>
    <w:bookmarkEnd w:id="12"/>
    <w:p w:rsidR="00000000" w:rsidDel="00000000" w:rsidP="00000000" w:rsidRDefault="00000000" w:rsidRPr="00000000" w14:paraId="0000002B">
      <w:pPr>
        <w:pStyle w:val="Heading2"/>
        <w:rPr/>
      </w:pPr>
      <w:r w:rsidDel="00000000" w:rsidR="00000000" w:rsidRPr="00000000">
        <w:rPr>
          <w:color w:val="000000"/>
          <w:rtl w:val="0"/>
        </w:rPr>
        <w:t xml:space="preserve">4. Risultati</w:t>
      </w:r>
      <w:r w:rsidDel="00000000" w:rsidR="00000000" w:rsidRPr="00000000">
        <w:rPr>
          <w:rtl w:val="0"/>
          <w:color w:val="000000"/>
        </w:rPr>
      </w:r>
    </w:p>
    <w:bookmarkStart w:colFirst="0" w:colLast="0" w:name="bookmark=id.w928d12x71o8" w:id="13"/>
    <w:bookmarkEnd w:id="13"/>
    <w:p w:rsidR="00000000" w:rsidDel="00000000" w:rsidP="00000000" w:rsidRDefault="00000000" w:rsidRPr="00000000" w14:paraId="0000002C">
      <w:pPr>
        <w:pStyle w:val="Heading3"/>
        <w:rPr/>
      </w:pPr>
      <w:r w:rsidDel="00000000" w:rsidR="00000000" w:rsidRPr="00000000">
        <w:rPr>
          <w:color w:val="000000"/>
          <w:rtl w:val="0"/>
        </w:rPr>
        <w:t xml:space="preserve">4.1 Esperienza utente</w:t>
      </w:r>
      <w:r w:rsidDel="00000000" w:rsidR="00000000" w:rsidRPr="00000000">
        <w:rPr>
          <w:rtl w:val="0"/>
          <w:color w:val="00000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La versione SBS presenta valutazioni tendenzialmente superiori alla precedente in 9 dimensioni su 10. Dei 27 partecipanti della versione ai4educ, 16 hanno fornito valutazioni numeriche e 11 solo commenti aperti; per SBS è stato escluso un record di test, portando il numeratore a 6. La tabella seguente confronta le medie delle due versioni.</w:t>
      </w:r>
    </w:p>
    <w:tbl>
      <w:tblPr>
        <w:tblStyle w:val="Table1"/>
        <w:tblW w:w="7920.0" w:type="dxa"/>
        <w:jc w:val="left"/>
        <w:tblInd w:w="-108.0" w:type="dxa"/>
        <w:tblLayout w:type="fixed"/>
        <w:tblLook w:val="0020"/>
      </w:tblPr>
      <w:tblGrid>
        <w:gridCol w:w="4180"/>
        <w:gridCol w:w="1210"/>
        <w:gridCol w:w="1760"/>
        <w:gridCol w:w="770"/>
        <w:tblGridChange w:id="0">
          <w:tblGrid>
            <w:gridCol w:w="4180"/>
            <w:gridCol w:w="1210"/>
            <w:gridCol w:w="1760"/>
            <w:gridCol w:w="770"/>
          </w:tblGrid>
        </w:tblGridChange>
      </w:tblGrid>
      <w:tr>
        <w:trPr>
          <w:cantSplit w:val="0"/>
          <w:tblHeader w:val="1"/>
        </w:trPr>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Dimensione</w:t>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SBS (n=6)</w:t>
            </w:r>
          </w:p>
        </w:tc>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ai4educ (n=16)</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Δ</w:t>
            </w:r>
          </w:p>
        </w:tc>
      </w:tr>
      <w:tr>
        <w:trPr>
          <w:cantSplit w:val="0"/>
          <w:tblHeader w:val="0"/>
        </w:trPr>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Facilità d’uso</w:t>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4,17</w:t>
            </w:r>
          </w:p>
        </w:tc>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3,38</w:t>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+0,79</w:t>
            </w:r>
          </w:p>
        </w:tc>
      </w:tr>
      <w:tr>
        <w:trPr>
          <w:cantSplit w:val="0"/>
          <w:tblHeader w:val="0"/>
        </w:trPr>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Pertinenza delle risposte</w:t>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4,17</w:t>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3,56</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+0,60</w:t>
            </w:r>
          </w:p>
        </w:tc>
      </w:tr>
      <w:tr>
        <w:trPr>
          <w:cantSplit w:val="0"/>
          <w:tblHeader w:val="0"/>
        </w:trPr>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Fiducia nelle informazioni</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3,83</w:t>
            </w:r>
          </w:p>
        </w:tc>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3,19</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+0,65</w:t>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Coinvolgimento</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3,67</w:t>
            </w:r>
          </w:p>
        </w:tc>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3,06</w:t>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+0,60</w:t>
            </w:r>
          </w:p>
        </w:tc>
      </w:tr>
      <w:tr>
        <w:trPr>
          <w:cantSplit w:val="0"/>
          <w:tblHeader w:val="0"/>
        </w:trPr>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Capacità di stimolare la riflessione</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3,83</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3,25</w:t>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+0,58</w:t>
            </w:r>
          </w:p>
        </w:tc>
      </w:tr>
      <w:tr>
        <w:trPr>
          <w:cantSplit w:val="0"/>
          <w:tblHeader w:val="0"/>
        </w:trPr>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Chiarezza</w:t>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4,00</w:t>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3,69</w:t>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+0,31</w:t>
            </w:r>
          </w:p>
        </w:tc>
      </w:tr>
      <w:tr>
        <w:trPr>
          <w:cantSplit w:val="0"/>
          <w:tblHeader w:val="0"/>
        </w:trPr>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Velocità di risposta</w:t>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3,83</w:t>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3,44</w:t>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+0,40</w:t>
            </w:r>
          </w:p>
        </w:tc>
      </w:tr>
      <w:tr>
        <w:trPr>
          <w:cantSplit w:val="0"/>
          <w:tblHeader w:val="0"/>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Dettaglio delle risposte</w:t>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3,67</w:t>
            </w:r>
          </w:p>
        </w:tc>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3,56</w:t>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+0,10</w:t>
            </w:r>
          </w:p>
        </w:tc>
      </w:tr>
      <w:tr>
        <w:trPr>
          <w:cantSplit w:val="0"/>
          <w:tblHeader w:val="0"/>
        </w:trPr>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Utilità percepita</w:t>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3,17</w:t>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3,31</w:t>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−0,15</w:t>
            </w:r>
          </w:p>
        </w:tc>
      </w:tr>
      <w:tr>
        <w:trPr>
          <w:cantSplit w:val="0"/>
          <w:tblHeader w:val="0"/>
        </w:trPr>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Intenzione di riutilizzo</w:t>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3,83</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3,12</w:t>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+0,71</w:t>
            </w:r>
          </w:p>
        </w:tc>
      </w:tr>
    </w:tbl>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 miglioramenti più marcati riguardano facilità d’uso (Δ = +0,79), intenzione di riutilizzo (Δ = +0,71) e fiducia (Δ = +0,65); l’unica dimensione sostanzialmente invariata è l’utilità percepita (Δ = −0,15, entro il range di variabilità atteso per campioni ridotti).</w:t>
      </w:r>
    </w:p>
    <w:bookmarkStart w:colFirst="0" w:colLast="0" w:name="bookmark=id.brpwhe73b4aa" w:id="14"/>
    <w:bookmarkEnd w:id="14"/>
    <w:p w:rsidR="00000000" w:rsidDel="00000000" w:rsidP="00000000" w:rsidRDefault="00000000" w:rsidRPr="00000000" w14:paraId="0000005B">
      <w:pPr>
        <w:pStyle w:val="Heading3"/>
        <w:rPr/>
      </w:pPr>
      <w:r w:rsidDel="00000000" w:rsidR="00000000" w:rsidRPr="00000000">
        <w:rPr>
          <w:color w:val="000000"/>
          <w:rtl w:val="0"/>
        </w:rPr>
        <w:t xml:space="preserve">4.2 Autovalutazione pedagogica</w:t>
      </w:r>
      <w:r w:rsidDel="00000000" w:rsidR="00000000" w:rsidRPr="00000000">
        <w:rPr>
          <w:rtl w:val="0"/>
          <w:color w:val="00000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Undici partecipanti hanno fornito risposte alle domande aperte (tutti della versione ai4educ). Dall’analisi tematica emergono quattro aree di criticità, affrontate nella versione SBS.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Inserimento dati. (i) Tre partecipanti segnalano difficoltà nel caricamento dei punteggi: «mi ha chiesto di fare una cosa che avevo appena fatto», «inserirli 1 per 1 in chat è stato scomodo», con la richiesta esplicita di poter caricare un PDF per evitare errori di digitazione. Nella versione SBS questa fase è stata sostituita da un form iniziale di inserimento e dal caricamento diretto dei PDF degli esiti.</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Coerenza della memoria di sessione. (ii) Un partecipante riporta «incongruenze molto grandi tra i dati forniti e i riassunti finali» nella prima analisi, pur riconoscendo che una seconda analisi era più coerente. Nella versione SBS la gestione della memoria di sessione è stata rivista per garantire che il riassunto rotante della conversazione rifletta fedelmente il profilo senza perdita di informazioni.</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Completezza del contesto. (iii) Un partecipante osserva che il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«dimentica alcune informazioni». Nella versione SBS la memoria di sessione è stata potenziata per preservare il contesto lungo l’intero dialogo, riducendo i fenomeni di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forgetting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Lunghezza delle risposte. (iv) Un partecipante suggerisce di «sintetizzare le risposte». Nella versione SBS è stato introdotto un limite di token per contenere l’estensione degli interventi del LLM, favorendo risposte più concise.</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queste soluzioni si aggiunge la scelta del modello linguistico per l’istanza SBS, basata su un benchmark sistematico dei modelli Ollama (&lt;15B parametri) sull’intero flusso QSA a 11 passi. Il modello selezionato — Gemma 4 4B (in tag Ollama gemma4:e4b) — ha ottenuto il punteggio di qualità più alto (0.83/1.00), coprendo tutti i fattori con interpretazioni accurate e consigli pratici, con una velocità media di 472 tok/s e un TTFT di 4.5 s. I benchmark ufficiali su conoscenza generale (MMLU-Pro: 69.4%), ragionamento scientifico (GPQA Diamond: 58.6%) e coding (LiveCodeBench: 52.0%) confermano che, pur con soli 4B parametri effettivi (8B totali con MoE), il modello è adeguato per compiti di analisi strutturata (Gemma Team 2025). La tabella seguente riporta i punteggi dei modelli valutati nei benchmark di knowledge work.</w:t>
      </w:r>
    </w:p>
    <w:tbl>
      <w:tblPr>
        <w:tblStyle w:val="Table2"/>
        <w:tblW w:w="7918.0" w:type="dxa"/>
        <w:jc w:val="left"/>
        <w:tblInd w:w="-108.0" w:type="dxa"/>
        <w:tblLayout w:type="fixed"/>
        <w:tblLook w:val="0020"/>
      </w:tblPr>
      <w:tblGrid>
        <w:gridCol w:w="2568"/>
        <w:gridCol w:w="1177"/>
        <w:gridCol w:w="1070"/>
        <w:gridCol w:w="1498"/>
        <w:gridCol w:w="1605"/>
        <w:tblGridChange w:id="0">
          <w:tblGrid>
            <w:gridCol w:w="2568"/>
            <w:gridCol w:w="1177"/>
            <w:gridCol w:w="1070"/>
            <w:gridCol w:w="1498"/>
            <w:gridCol w:w="1605"/>
          </w:tblGrid>
        </w:tblGridChange>
      </w:tblGrid>
      <w:tr>
        <w:trPr>
          <w:cantSplit w:val="0"/>
          <w:tblHeader w:val="1"/>
        </w:trPr>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Modello</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Parametri</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MMLU-Pro</w:t>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GPQA Diamond</w:t>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LiveCodeBench</w:t>
            </w:r>
          </w:p>
        </w:tc>
      </w:tr>
      <w:tr>
        <w:trPr>
          <w:cantSplit w:val="0"/>
          <w:tblHeader w:val="0"/>
        </w:trPr>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Gemma 4 4B</w:t>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4B</w:t>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69.4%</w:t>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58.6%</w:t>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52.0%</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Gemma 4 2B</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2B</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60.0%</w:t>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43.4%</w:t>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44.0%</w:t>
            </w:r>
          </w:p>
        </w:tc>
      </w:tr>
      <w:tr>
        <w:trPr>
          <w:cantSplit w:val="0"/>
          <w:tblHeader w:val="0"/>
        </w:trPr>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Gemma 4 12B</w:t>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12B</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77.2%</w:t>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78.8%</w:t>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72.0%</w:t>
            </w:r>
          </w:p>
        </w:tc>
      </w:tr>
      <w:tr>
        <w:trPr>
          <w:cantSplit w:val="0"/>
          <w:tblHeader w:val="0"/>
        </w:trPr>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DeepSeek-R1-Distill 8B</w:t>
            </w:r>
          </w:p>
        </w:tc>
        <w:tc>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8B</w:t>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tc>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49.0%</w:t>
            </w:r>
          </w:p>
        </w:tc>
        <w:tc>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39.6%</w:t>
            </w:r>
          </w:p>
        </w:tc>
      </w:tr>
      <w:tr>
        <w:trPr>
          <w:cantSplit w:val="0"/>
          <w:tblHeader w:val="0"/>
        </w:trPr>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Qwen 3.5 9B</w:t>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9B</w:t>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82.5%</w:t>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81.7%</w:t>
            </w:r>
          </w:p>
        </w:tc>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65.6%</w:t>
            </w:r>
          </w:p>
        </w:tc>
      </w:tr>
    </w:tbl>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Sei partecipanti hanno espresso valutazioni positive sulla chiarezza, la pertinenza e l’utilità del sistema, descrivendo l’esperienza come «positiva», «interessante» e «il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 risposto alle aspettative in modo esauriente».</w:t>
      </w:r>
    </w:p>
    <w:bookmarkStart w:colFirst="0" w:colLast="0" w:name="bookmark=id.swk1pmiu2q5g" w:id="15"/>
    <w:bookmarkEnd w:id="15"/>
    <w:p w:rsidR="00000000" w:rsidDel="00000000" w:rsidP="00000000" w:rsidRDefault="00000000" w:rsidRPr="00000000" w14:paraId="00000081">
      <w:pPr>
        <w:pStyle w:val="Heading2"/>
        <w:rPr/>
      </w:pPr>
      <w:r w:rsidDel="00000000" w:rsidR="00000000" w:rsidRPr="00000000">
        <w:rPr>
          <w:color w:val="000000"/>
          <w:rtl w:val="0"/>
        </w:rPr>
        <w:t xml:space="preserve">5. Discussione</w:t>
      </w:r>
      <w:r w:rsidDel="00000000" w:rsidR="00000000" w:rsidRPr="00000000">
        <w:rPr>
          <w:rtl w:val="0"/>
          <w:color w:val="00000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Alla luce di questi risultati, si possono formulare le seguenti considerazioni. I risultati mostrano un miglioramento diffuso della versione SBS rispetto alla precedente su 9 dimensioni su 10, con incrementi particolarmente marcati su facilità d’uso (Δ = +0,79), fiducia nelle informazioni (Δ = +0,65) e intenzione di riutilizzo (Δ = +0,71). Questi dati suggeriscono che le modifiche introdotte nella versione SBS (cfr. §4) hanno prodotto un effetto positivo sull’esperienza utente.</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 criticità emerse dalle risposte aperte della versione ai4educ riguardavano principalmente l’inserimento manuale dei dati e la coerenza delle analisi. La loro risoluzione nella versione SBS è coerente con i punteggi più alti registrati in facilità d’uso e fiducia. Rimane da verificare su un campione più ampio se anche le altre dimensioni — in particolare l’utilità percepita, sostanzialmente invariata — beneficino delle stesse modifiche.</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Il presente lavoro si colloca nella fase di test del modello ADDIE: i dati raccolti informano il ciclo iterativo di sviluppo, più che costituire una validazione conclusiva. Il campione è ridotto (n=6 per SBS, n=16 per ai4educ con dati numerici) e non probabilistico, e la differenza tra le due versioni potrebbe risentire di fattori confondenti come la diversa composizione demografica o la maturità del percorso di sviluppo. Per queste ragioni i risultati vanno letti come indicatori di tendenza, non come evidenza definitiva.</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Sul piano più generale, l’architettura ibrida di Counselorbot — che combina passi guidati deterministici con la flessibilità di un LLM — si dimostra praticabile per l’autovalutazione assistita delle competenze strategiche. La possibilità di istruire il modello con direttive specifiche e di richiamare conoscenze contestuali apre la strada a forme di accompagnamento scalabili che la letteratura indica come ancora poco coperte (Wollny et al. 2021; Liu et al. 2025). Quanto alla sostenibilità economica sollevata in apertura, l’impiego di modelli aperti di dimensioni contenute, eseguibili anche su infrastrutture locali — come Gemma 4 4B, selezionato tramite benchmark sistematico per l’istanza SBS — suggerisce una via percorribile per contenere i costi di esercizio.</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 aggiunga che il dato disponibile è esclusivamente basato sull’autovalutazione degli studenti, che potrebbe risentire di effetti di desiderabilità sociale; restano da acquisire metriche oggettive come tempi di risposta e tassi di completamento.</w:t>
      </w:r>
    </w:p>
    <w:bookmarkStart w:colFirst="0" w:colLast="0" w:name="bookmark=id.maqqcql5xouw" w:id="16"/>
    <w:bookmarkEnd w:id="16"/>
    <w:p w:rsidR="00000000" w:rsidDel="00000000" w:rsidP="00000000" w:rsidRDefault="00000000" w:rsidRPr="00000000" w14:paraId="00000087">
      <w:pPr>
        <w:pStyle w:val="Heading2"/>
        <w:rPr/>
      </w:pPr>
      <w:r w:rsidDel="00000000" w:rsidR="00000000" w:rsidRPr="00000000">
        <w:rPr>
          <w:color w:val="000000"/>
          <w:rtl w:val="0"/>
        </w:rPr>
        <w:t xml:space="preserve">6. Conclusioni</w:t>
      </w:r>
      <w:r w:rsidDel="00000000" w:rsidR="00000000" w:rsidRPr="00000000">
        <w:rPr>
          <w:rtl w:val="0"/>
          <w:color w:val="00000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 risultati ottenuti indicano che i modelli conversazionali basati su LLM sono oggi maturi per sostenere compiti riflessivi come l’autovalutazione delle competenze strategiche, a condizione che siano inseriti in un’architettura ibrida che ne guidi il comportamento. Questo lavoro ha presentato Counselorbot, un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che realizza questa architettura. I risultati della fase di test — condotta su 34 partecipanti tra due versioni del sistema — mostrano che l’architettura SBS ottiene valutazioni tendenzialmente superiori alla versione precedente in 9 dimensioni su 10, con miglioramenti rilevanti in facilità d’uso e fiducia.</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Lo studio si inserisce in un processo di sviluppo iterativo di tipo ADDIE e non costituisce una validazione conclusiva. Rimangono i limiti sopra discussi — campione ridotto e non probabilistico, assenza di metriche oggettive — che suggeriscono cautela nell’estensione dei risultati. È necessario un test su scala più ampia, con un disegno controllato e la raccolta di dati sia quantitativi sia qualitativi, per confermare le tendenze emerse.</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 quanto riguarda lo sviluppo del sistema, le prove finora condotte hanno riguardato il solo QSA, sebbene il sistema supporti già molteplici strumenti (QSAr, ZTPI, intervista Savickas, QPCS, QPCC, QAP). Una volta stabilizzata l’usabilità della risorsa, l’architettura a passi guidati potrà essere estesa agli altri questionari. Altre direzioni di sviluppo includono l’integrazione nativa con la piattaforma competenzestrategiche.it per il recupero automatico dei profili, lo studio longitudinale dell’impatto sulle strategie di apprendimento degli studenti e la traduzione dei questionari nelle lingue supportate dall’interfaccia.</w:t>
      </w:r>
    </w:p>
    <w:bookmarkStart w:colFirst="0" w:colLast="0" w:name="bookmark=id.iwjyd4pg0hff" w:id="17"/>
    <w:bookmarkEnd w:id="17"/>
    <w:p w:rsidR="00000000" w:rsidDel="00000000" w:rsidP="00000000" w:rsidRDefault="00000000" w:rsidRPr="00000000" w14:paraId="0000008B">
      <w:pPr>
        <w:pStyle w:val="Heading2"/>
        <w:rPr/>
      </w:pPr>
      <w:r w:rsidDel="00000000" w:rsidR="00000000" w:rsidRPr="00000000">
        <w:rPr>
          <w:color w:val="000000"/>
          <w:rtl w:val="0"/>
        </w:rPr>
        <w:t xml:space="preserve">Bibliografia</w:t>
      </w:r>
      <w:r w:rsidDel="00000000" w:rsidR="00000000" w:rsidRPr="00000000">
        <w:rPr>
          <w:rtl w:val="0"/>
          <w:color w:val="00000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Gemma Team, Google DeepMind. (2025). Gemma 4: Advancing open language models. https://ai.google.dev/gemma</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Pellerey, M., Epifani, F., Grządziel, D., Margottini, M., &amp; Ottone, E. (2013).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Imparare a dirigere se stessi</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CNOS-FAP, Roma.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Puech, R., Mačina, J., Chatain, J., Sachan, M., &amp; Kapur, M. (2025). Towards the pedagogical steering of large language models for tutoring: A case study with modeling productive failure. In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Findings of the Association for Computational Linguistics: ACL 2025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https://doi.org/10.18653/v1/2025.findings-acl.1348</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Antunes, L. G., Passarelli, B., &amp; Claro, S. V. (2025). Large language models as Socratic mentors: Transforming educational approaches for epistemic development.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Aracê, 7</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 24921–24936. https://doi.org/10.56238/arev7n5-229</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Bender, E. M., Gebru, T., McMillan-Major, A., &amp; Shmitchell, S. (2021). On the dangers of stochastic parrots: Can language models be too big? In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Proceedings of the 2021 ACM Conference on Fairness, Accountability, and Transparency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(pp. 610–623). https://doi.org/10.1145/3442188.3445922</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Branch, R. M. (2009).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Instructional design: The ADDIE approach</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Springer. https://doi.org/10.1007/978-0-387-09506-6</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Brown, T. B., Mann, B., Ryder, N., et al. (2020). Language models are few-shot learners.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Advances in Neural Information Processing Systems, 33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1877–1901.</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Chang, D. H., Lin, M. P.-C., Hajian, S., &amp; Wang, Q. Q. (2023). Educational design principles of using AI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that supports self-regulated learning in education: Goal setting, feedback, and personalization.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Sustainability, 15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(17), 12921. https://doi.org/10.3390/su151712921</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Cukurova, M., Luckin, R., &amp; Kent, C. (2020). Impact of an artificial intelligence research frame on the perceived credibility of educational research evidence.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International Journal of Artificial Intelligence in Education, 30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205–235. https://doi.org/10.1007/s40593-019-00188-w</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D’Silva, G. M., Jani, M., Jadhav, V., Bhoir, A., &amp; Amin, P. N. (2020). Career counselling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using cognitive science and artificial intelligence. In H. Vasudevan, A. Michalas, N. Shekokar, &amp; M. Narvekar (Eds.),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Advanced computing technologies and applications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(pp. 1–9). Springer. https://doi.org/10.1007/978-981-15-3242-9_1</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Jemstedt, A., Bälter, O., Gavel, A., Glassey, R., &amp; Bosk, D. (2024). Less to produce and less to consume: The advantage of pure question-based learning.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Interactive Learning Environments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https://doi.org/10.1080/10494820.2024.2362830</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Kasneci, E., Seßler, K., Küchemann, S., et al. (2023). ChatGPT for good? On opportunities and challenges of large language models for education.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Learning and Individual Differences, 103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102274. https://doi.org/10.1016/j.lindif.2023.102274</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Kuhail, M. A., Alturki, N., Alramlawi, S., &amp; Alhejori, K. (2022). Interacting with educational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 A systematic review.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Education and Information Technologies, 28</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973–1018. https://doi.org/10.1007/s10639-022-11177-3</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Lewis, P., Perez, E., Piktus, A., et al. (2020). Retrieval-Augmented Generation for knowledge-intensive NLP tasks.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Advances in Neural Information Processing Systems, 33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9459–9474.</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Liu, X., Xiao, Y., &amp; Li, D. (2025). Assessing strategic use of artificial intelligence in self-regulated learning: Instrument development and evidence from Chinese university students.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International Journal of Educational Technology in Higher Education, 22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69. https://doi.org/10.1186/s41239-025-00567-5</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Mendez, S., Johanson, K., Conley, V. M., et al. (2020).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 A tool to supplement the future faculty mentoring of doctoral engineering students.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International Journal of Doctoral Studies, 15</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373–392. https://doi.org/10.28945/4579</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Neumann, A. T., Arndt, T., Köbis, L., et al. (2021).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 as a tool to scale mentoring processes: Individually supporting self-study in higher education.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Frontiers in Artificial Intelligence, 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668220. https://doi.org/10.3389/frai.2021.668220</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Savickas, M. L. (2018). The career construction interview. In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Career counseling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(2a ed., pp. 57–70). American Psychological Association. https://doi.org/10.1037/0000105-004</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Self, J. A. (1974). Student models in computer-aided instruction.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International Journal of Man-Machine Studies, 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261–276. https://doi.org/10.1016/S0020-7373(74)80005-2</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Su, L. H., Truong, D.-H., Tran, T.-Y.-L., et al. (2020). Development of an AI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to support admissions and career guidance for universities.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International Journal of Emerging Multidisciplinary Research, 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 13–20. https://doi.org/10.22662/IJEMR.2020.4.2.013</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Susnjak, T. (2023). Beyond predictive learning analytics modelling and onto explainable artificial intelligence with prescriptive analytics and ChatGPT.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International Journal of Artificial Intelligence in Education, 34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452–482. https://doi.org/10.1007/s40593-023-00336-3</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Tankelevitch, L., Kewenig, V., Simkute, A., et al. (2024). The metacognitive demands and opportunities of generative AI. In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Proceedings of the 2024 CHI Conference on Human Factors in Computing Systems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(pp. 1–24). https://doi.org/10.1145/3613904.3642902</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Weizenbaum, J. (1966). ELIZA—A computer program for the study of natural language communication between man and machine.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Communications of the ACM, 9</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36–45. https://doi.org/10.1145/365153.365168</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Wollny, S., Schneider, J., Di Mitri, D., et al. (2021). Are we there yet? A systematic literature review on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chatbot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 in education.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Frontiers in Artificial Intelligence, 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654924. https://doi.org/10.3389/frai.2021.654924</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Zawacki-Richter, O., Marín, V. I., Bond, M., &amp; Gouverneur, F. (2019). Systematic review of research on artificial intelligence applications in higher education: Where are the educators?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International Journal of Educational Technology in Higher Education, 16</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39. https://doi.org/10.1186/s41239-019-0171-0</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pPr>
      <w:jc w:val="both"/>
    </w:pPr>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000000"/>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000000"/>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000000"/>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000000"/>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000000"/>
      <w:sz w:val="24"/>
      <w:szCs w:val="24"/>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000000"/>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000000"/>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aFqxDhR5YN8sDbKQmaFFXLnlig==">CgMxLjAyD2lkLjQwdGhqeW5lbTJyNDIPaWQud2lpcTJtOHE5anJpMg9pZC55YnRhODhiOWlhYnAyD2lkLjc2ejlvazQxYzY0OTIPaWQuM2thbThhNWJ1ZTl5Mg9pZC5vNWZjd3c1YXFidHoyD2lkLjN0ZWxhOTNjdnd4cTIOaWQuODd1b2lnZnJjMGUyD2lkLmZscmpjYTFjc3p6YzIPaWQudm1xcm1vdmJrYnNzMg9pZC5taGh0MDNydDEyMzYyD2lkLnhmMmtzbTV6OHNlbjIPaWQuaXhla3I2cnR0aHlhMg9pZC53OTI4ZDEyeDcxbzgyD2lkLmJycHdoZTczYjRhYTIPaWQuc3drMXBtaXUycTVnMg9pZC5tYXFxY3FsNXhvdXcyD2lkLml3anlkNHBnMGhmZjgAciExeXhySVN0NWppWlRCNDdmb1F3ZUxkUUtCTEEzbXZhbV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