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bookmark=id.4deppp4eyz51" w:id="0"/>
    <w:bookmarkEnd w:id="0"/>
    <w:p w:rsidR="00000000" w:rsidDel="00000000" w:rsidP="00000000" w:rsidRDefault="00000000" w:rsidRPr="00000000" w14:paraId="00000001">
      <w:pPr>
        <w:pStyle w:val="Heading1"/>
        <w:rPr/>
      </w:pPr>
      <w:r w:rsidDel="00000000" w:rsidR="00000000" w:rsidRPr="00000000">
        <w:rPr>
          <w:color w:val="000000"/>
          <w:rtl w:val="0"/>
        </w:rPr>
        <w:t xml:space="preserve">Counselorbot: un </w:t>
      </w:r>
      <w:r w:rsidDel="00000000" w:rsidR="00000000" w:rsidRPr="00000000">
        <w:rPr>
          <w:i w:val="1"/>
          <w:iCs w:val="1"/>
          <w:color w:val="000000"/>
          <w:rtl w:val="0"/>
        </w:rPr>
        <w:t xml:space="preserve">chatbot</w:t>
      </w:r>
      <w:r w:rsidDel="00000000" w:rsidR="00000000" w:rsidRPr="00000000">
        <w:rPr>
          <w:color w:val="000000"/>
          <w:rtl w:val="0"/>
        </w:rPr>
        <w:t xml:space="preserve"> per l’orientamento</w:t>
      </w:r>
      <w:r w:rsidDel="00000000" w:rsidR="00000000" w:rsidRPr="00000000">
        <w:rPr>
          <w:rtl w:val="0"/>
          <w:color w:val="000000"/>
        </w:rPr>
      </w:r>
    </w:p>
    <w:p w:rsidR="00000000" w:rsidDel="00000000" w:rsidP="00000000" w:rsidRDefault="00000000" w:rsidRPr="00000000" w14:paraId="00000002">
      <w:pPr>
        <w:jc w:val="both"/>
        <w:rPr/>
      </w:pPr>
      <w:r w:rsidDel="00000000" w:rsidR="00000000" w:rsidRPr="00000000">
        <w:rPr>
          <w:rtl w:val="0"/>
        </w:rPr>
        <w:t xml:space="preserve">Abstract (italiano)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L’articolo presenta Counselorbot, un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basato su LLM per l’autovalutazione guidata delle competenze strategiche degli studenti. Il lavoro descrive l’architettura ibrida del sistema — che combina passi guidati deterministici con la flessibilità di un LLM — e il framework delle competenze strategiche (QSA) su cui si basa. La valutazione, condotta su 34 partecipanti confrontando due versioni (CB-SBS e CB-C), suggerisce tendenze positive in 9 dimensioni su 10, con incrementi in facilità d’uso (Δ = +0,79) e fiducia (Δ = +0,65). Il lavoro si colloca nella fase di test del modello ADDIE e discute limiti e direzioni di sviluppo.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 (inglese)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paper presents Counselorbot, an LLM-based conversational assistant for guided self-assessment of students’ strategic competences. The paper describes the hybrid architecture — combining deterministic guided steps with LLM flexibility — and the strategic competences framework (QSA) it builds on. The evaluation, carried out on 34 participants comparing two versions (CB-SBS and CB-C), suggests positive trends in 9 out of 10 dimensions, with increases in ease of use (Δ = +0.79) and trust (Δ = +0.65). The study is positioned within the test phase of the ADDIE model and discusses limitations and future directions.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Parole chiave: autovalutazione; competenze strategiche; LLM;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educativo; QSA; intelligenza artificiale generativa; ADDIE Keywords: self-assessment; strategic competences; LLM; educational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QSA; generative AI; ADDIE</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Nota biografica [da completare: max 300 battute]</w:t>
      </w:r>
    </w:p>
    <w:bookmarkStart w:colFirst="0" w:colLast="0" w:name="bookmark=id.yl7iiv3qir9k" w:id="1"/>
    <w:bookmarkEnd w:id="1"/>
    <w:p w:rsidR="00000000" w:rsidDel="00000000" w:rsidP="00000000" w:rsidRDefault="00000000" w:rsidRPr="00000000" w14:paraId="00000008">
      <w:pPr>
        <w:pStyle w:val="Heading2"/>
        <w:rPr/>
      </w:pPr>
      <w:r w:rsidDel="00000000" w:rsidR="00000000" w:rsidRPr="00000000">
        <w:rPr>
          <w:color w:val="000000"/>
          <w:rtl w:val="0"/>
        </w:rPr>
        <w:t xml:space="preserve">Introduzione</w:t>
      </w:r>
      <w:r w:rsidDel="00000000" w:rsidR="00000000" w:rsidRPr="00000000">
        <w:rPr>
          <w:rtl w:val="0"/>
          <w:color w:val="000000"/>
        </w:rPr>
      </w:r>
    </w:p>
    <w:p w:rsidR="00000000" w:rsidDel="00000000" w:rsidP="00000000" w:rsidRDefault="00000000" w:rsidRPr="00000000" w14:paraId="00000009">
      <w:pPr>
        <w:jc w:val="both"/>
        <w:rPr/>
      </w:pPr>
      <w:r w:rsidDel="00000000" w:rsidR="00000000" w:rsidRPr="00000000">
        <w:rPr>
          <w:rtl w:val="0"/>
        </w:rPr>
        <w:t xml:space="preserve">Nel panorama dell’orientamento scolastico e professionale, i questionari di autovalutazione occupano un ruolo importante (Pellerey et al. 2013). Presentano allo studente una serie di affermazioni — su stili di studio, strategie, concentrazione, emozioni, studio in gruppo — chiedendo il grado di accordo. Al termine, restituiscono un profilo che sintetizza i risultati in fattori e brevi commenti. Questo esito può essere oggetto di riflessione personale o di discussione con un tutor, con il docente o con un orientatore; tale accompagnamento trova però un limite strutturale nella disponibilità di chi lo svolge. Inoltre, la letteratura evidenzia come la mancanza di supporto riduca l’efficacia di questi strumenti e la capacità di tradurre le indicazioni in azioni concrete (Wollny et al. 2021).</w:t>
      </w:r>
    </w:p>
    <w:p w:rsidR="00000000" w:rsidDel="00000000" w:rsidP="00000000" w:rsidRDefault="00000000" w:rsidRPr="00000000" w14:paraId="0000000A">
      <w:pPr>
        <w:spacing w:after="120" w:line="360" w:lineRule="auto"/>
        <w:jc w:val="both"/>
        <w:rPr/>
      </w:pPr>
      <w:r w:rsidDel="00000000" w:rsidR="00000000" w:rsidRPr="00000000">
        <w:rPr>
          <w:rtl w:val="0"/>
        </w:rPr>
        <w:t xml:space="preserve">I recenti assistenti conversazionali basati su </w:t>
      </w:r>
      <w:r w:rsidDel="00000000" w:rsidR="00000000" w:rsidRPr="00000000">
        <w:rPr>
          <w:i w:val="1"/>
          <w:iCs w:val="1"/>
          <w:rtl w:val="0"/>
        </w:rPr>
        <w:t xml:space="preserve">Large Language Model</w:t>
      </w:r>
      <w:r w:rsidDel="00000000" w:rsidR="00000000" w:rsidRPr="00000000">
        <w:rPr>
          <w:rtl w:val="0"/>
        </w:rPr>
        <w:t xml:space="preserve"> (LLM) possono costituire un nuovo strumento di supporto ricoprendo alcune funzioni che fino ad ora erano competenze degli orientatori, dei docenti o dei tutor, rendendo il processo di orientamento più scalabile e accessibile.</w:t>
      </w:r>
    </w:p>
    <w:p w:rsidR="00000000" w:rsidDel="00000000" w:rsidP="00000000" w:rsidRDefault="00000000" w:rsidRPr="00000000" w14:paraId="0000000B">
      <w:pPr>
        <w:spacing w:after="120" w:line="360" w:lineRule="auto"/>
        <w:jc w:val="both"/>
        <w:rPr/>
      </w:pPr>
      <w:r w:rsidDel="00000000" w:rsidR="00000000" w:rsidRPr="00000000">
        <w:rPr>
          <w:rtl w:val="0"/>
        </w:rPr>
        <w:t xml:space="preserve">Per verificare questa ipotesi è stato sviluppato </w:t>
      </w:r>
      <w:r w:rsidDel="00000000" w:rsidR="00000000" w:rsidRPr="00000000">
        <w:rPr>
          <w:i w:val="1"/>
          <w:iCs w:val="1"/>
          <w:rtl w:val="0"/>
        </w:rPr>
        <w:t xml:space="preserve">Counselorbot</w:t>
      </w:r>
      <w:r w:rsidDel="00000000" w:rsidR="00000000" w:rsidRPr="00000000">
        <w:rPr>
          <w:rtl w:val="0"/>
        </w:rPr>
        <w:t xml:space="preserve">, un </w:t>
      </w:r>
      <w:r w:rsidDel="00000000" w:rsidR="00000000" w:rsidRPr="00000000">
        <w:rPr>
          <w:i w:val="1"/>
          <w:iCs w:val="1"/>
          <w:rtl w:val="0"/>
        </w:rPr>
        <w:t xml:space="preserve">chatbot</w:t>
      </w:r>
      <w:r w:rsidDel="00000000" w:rsidR="00000000" w:rsidRPr="00000000">
        <w:rPr>
          <w:rtl w:val="0"/>
        </w:rPr>
        <w:t xml:space="preserve"> implementato in due versioni. La prima, denominata CB-C, adotta un approccio puramente conversazionale; la seconda, CB-SBS (Step-by-Step), presenta un’architettura più complessa e accompagna l’utente attraverso un percorso strutturato in passi prestabiliti.</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ricerca si colloca tuttavia in una fase ancora esplorativa: i risultati qui presentati documentano lo stato attuale dello sviluppo e della validazione.</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 lavoro si articola in sei paragrafi. Il §1 presenta il quadro teorico e lo stato dell’arte sui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educazione; il §2 descrive la progettazione e l’architettura di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Counselorbot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Il §3 illustra la metodologia di valutazione del sistema, i cui risultati sono presentati al §4. Il §5 discute le implicazioni dei risultati e i limiti dello studio, mentre il §6 conclude tracciando le direzioni di sviluppo futuro.</w:t>
      </w:r>
    </w:p>
    <w:bookmarkStart w:colFirst="0" w:colLast="0" w:name="bookmark=id.ylt279994bhc" w:id="2"/>
    <w:bookmarkEnd w:id="2"/>
    <w:p w:rsidR="00000000" w:rsidDel="00000000" w:rsidP="00000000" w:rsidRDefault="00000000" w:rsidRPr="00000000" w14:paraId="0000000E">
      <w:pPr>
        <w:pStyle w:val="Heading2"/>
        <w:rPr/>
      </w:pPr>
      <w:r w:rsidDel="00000000" w:rsidR="00000000" w:rsidRPr="00000000">
        <w:rPr>
          <w:color w:val="000000"/>
          <w:rtl w:val="0"/>
        </w:rPr>
        <w:t xml:space="preserve">1. Quadro teorico e stato dell’arte</w:t>
      </w:r>
      <w:r w:rsidDel="00000000" w:rsidR="00000000" w:rsidRPr="00000000">
        <w:rPr>
          <w:rtl w:val="0"/>
          <w:color w:val="000000"/>
        </w:rPr>
      </w:r>
    </w:p>
    <w:bookmarkStart w:colFirst="0" w:colLast="0" w:name="bookmark=id.13y12r18zh03" w:id="3"/>
    <w:bookmarkEnd w:id="3"/>
    <w:p w:rsidR="00000000" w:rsidDel="00000000" w:rsidP="00000000" w:rsidRDefault="00000000" w:rsidRPr="00000000" w14:paraId="0000000F">
      <w:pPr>
        <w:pStyle w:val="Heading3"/>
        <w:rPr/>
      </w:pPr>
      <w:r w:rsidDel="00000000" w:rsidR="00000000" w:rsidRPr="00000000">
        <w:rPr>
          <w:color w:val="000000"/>
          <w:rtl w:val="0"/>
        </w:rPr>
        <w:t xml:space="preserve">1.1 Large Language Models in educazione: potenzialità e rischi</w:t>
      </w:r>
      <w:r w:rsidDel="00000000" w:rsidR="00000000" w:rsidRPr="00000000">
        <w:rPr>
          <w:rtl w:val="0"/>
          <w:color w:val="000000"/>
        </w:rPr>
      </w:r>
    </w:p>
    <w:p w:rsidR="00000000" w:rsidDel="00000000" w:rsidP="00000000" w:rsidRDefault="00000000" w:rsidRPr="00000000" w14:paraId="00000010">
      <w:pPr>
        <w:jc w:val="both"/>
        <w:rPr/>
      </w:pPr>
      <w:r w:rsidDel="00000000" w:rsidR="00000000" w:rsidRPr="00000000">
        <w:rPr>
          <w:rtl w:val="0"/>
        </w:rPr>
        <w:t xml:space="preserve">Gli LLM — grandi reti neurali specializzate nel linguaggio (Brown et al. 2020) — costituiscono la famiglia più diffusa dell’intelligenza artificiale generativa (GenAI) e sono il motore dei moderni </w:t>
      </w:r>
      <w:r w:rsidDel="00000000" w:rsidR="00000000" w:rsidRPr="00000000">
        <w:rPr>
          <w:i w:val="1"/>
          <w:iCs w:val="1"/>
          <w:rtl w:val="0"/>
        </w:rPr>
        <w:t xml:space="preserve">chatbot</w:t>
      </w:r>
      <w:r w:rsidDel="00000000" w:rsidR="00000000" w:rsidRPr="00000000">
        <w:rPr>
          <w:rtl w:val="0"/>
        </w:rPr>
        <w:t xml:space="preserve">. Essi permettono di superare i limiti dei sistemi del passato basati su regole (</w:t>
      </w:r>
      <w:r w:rsidDel="00000000" w:rsidR="00000000" w:rsidRPr="00000000">
        <w:rPr>
          <w:i w:val="1"/>
          <w:iCs w:val="1"/>
          <w:rtl w:val="0"/>
        </w:rPr>
        <w:t xml:space="preserve">rule-based</w:t>
      </w:r>
      <w:r w:rsidDel="00000000" w:rsidR="00000000" w:rsidRPr="00000000">
        <w:rPr>
          <w:rtl w:val="0"/>
        </w:rPr>
        <w:t xml:space="preserve">) (ELIZA, Weizenbaum 1966), grazie alla loro capacità di produrre output adattivi e coerenti in linguaggio naturale possono rispondere a domande non previste dalla programmazione (Brown et al. 2020; Kasneci et al. 2023).</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Tuttavia, l’integrazione di queste tecnologie introduce una serie di rischi. Sul piano tecnico e contenutistico, p</w:t>
      </w:r>
      <w:r w:rsidDel="00000000" w:rsidR="00000000" w:rsidRPr="00000000">
        <w:rPr>
          <w:rtl w:val="0"/>
        </w:rPr>
        <w:t xml:space="preserve">resentano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criticità legate all’inaccuratezza delle informazioni, alla possibile riproduzione di bias demografici e alla diffusione di concezioni stereotipate (Bender et al. 2021; Tankelevitch et al. 2024).</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tali problematiche si affiancano rischi di natura psicosociale e cognitiva. Da un lato, persiste un problema di percezione: a parità di contenuto, le indicazioni fornite da un sistema artificiale tendono a essere ritenute meno credibili rispetto a quelle di un operatore umano (Cukurova et al. 2020). Dall’altro, un affidamento sproporzionato a tali strumenti per la risoluzione di problemi o la generazione di testi rischia di creare una dipendenza eccessiva dal supporto artificiale, compromettendo lo sviluppo di abilità critiche come l’analisi, la sintesi e la creatività.</w:t>
      </w:r>
    </w:p>
    <w:bookmarkStart w:colFirst="0" w:colLast="0" w:name="bookmark=id.dbrvtocnuz0v" w:id="4"/>
    <w:bookmarkEnd w:id="4"/>
    <w:p w:rsidR="00000000" w:rsidDel="00000000" w:rsidP="00000000" w:rsidRDefault="00000000" w:rsidRPr="00000000" w14:paraId="00000013">
      <w:pPr>
        <w:pStyle w:val="Heading3"/>
        <w:rPr/>
      </w:pPr>
      <w:r w:rsidDel="00000000" w:rsidR="00000000" w:rsidRPr="00000000">
        <w:rPr>
          <w:color w:val="000000"/>
          <w:rtl w:val="0"/>
        </w:rPr>
        <w:t xml:space="preserve">1.2 Chatbot educativi e tutoraggio socratico: autoregolazione, metacognizione e agency epistemica</w:t>
      </w:r>
      <w:r w:rsidDel="00000000" w:rsidR="00000000" w:rsidRPr="00000000">
        <w:rPr>
          <w:rtl w:val="0"/>
          <w:color w:val="000000"/>
        </w:rPr>
      </w:r>
    </w:p>
    <w:p w:rsidR="00000000" w:rsidDel="00000000" w:rsidP="00000000" w:rsidRDefault="00000000" w:rsidRPr="00000000" w14:paraId="00000014">
      <w:pPr>
        <w:jc w:val="both"/>
        <w:rPr/>
      </w:pPr>
      <w:r w:rsidDel="00000000" w:rsidR="00000000" w:rsidRPr="00000000">
        <w:rPr>
          <w:rtl w:val="0"/>
        </w:rPr>
        <w:t xml:space="preserve">La letteratura scientifica evidenzia il potenziale dei </w:t>
      </w:r>
      <w:r w:rsidDel="00000000" w:rsidR="00000000" w:rsidRPr="00000000">
        <w:rPr>
          <w:i w:val="1"/>
          <w:iCs w:val="1"/>
          <w:rtl w:val="0"/>
        </w:rPr>
        <w:t xml:space="preserve">chatbot</w:t>
      </w:r>
      <w:r w:rsidDel="00000000" w:rsidR="00000000" w:rsidRPr="00000000">
        <w:rPr>
          <w:rtl w:val="0"/>
        </w:rPr>
        <w:t xml:space="preserve"> educativi, le cui funzioni spaziano dall’orientamento informativo (</w:t>
      </w:r>
      <w:r w:rsidDel="00000000" w:rsidR="00000000" w:rsidRPr="00000000">
        <w:rPr>
          <w:i w:val="1"/>
          <w:iCs w:val="1"/>
          <w:rtl w:val="0"/>
        </w:rPr>
        <w:t xml:space="preserve">informational</w:t>
      </w:r>
      <w:r w:rsidDel="00000000" w:rsidR="00000000" w:rsidRPr="00000000">
        <w:rPr>
          <w:rtl w:val="0"/>
        </w:rPr>
        <w:t xml:space="preserve">) al </w:t>
      </w:r>
      <w:r w:rsidDel="00000000" w:rsidR="00000000" w:rsidRPr="00000000">
        <w:rPr>
          <w:i w:val="1"/>
          <w:iCs w:val="1"/>
          <w:rtl w:val="0"/>
        </w:rPr>
        <w:t xml:space="preserve">tutoring</w:t>
      </w:r>
      <w:r w:rsidDel="00000000" w:rsidR="00000000" w:rsidRPr="00000000">
        <w:rPr>
          <w:rtl w:val="0"/>
        </w:rPr>
        <w:t xml:space="preserve"> disciplinare e al </w:t>
      </w:r>
      <w:r w:rsidDel="00000000" w:rsidR="00000000" w:rsidRPr="00000000">
        <w:rPr>
          <w:i w:val="1"/>
          <w:iCs w:val="1"/>
          <w:rtl w:val="0"/>
        </w:rPr>
        <w:t xml:space="preserve">mentoring</w:t>
      </w:r>
      <w:r w:rsidDel="00000000" w:rsidR="00000000" w:rsidRPr="00000000">
        <w:rPr>
          <w:rtl w:val="0"/>
        </w:rPr>
        <w:t xml:space="preserve"> formativo (Kuhail et al., 2022; Wollny et al., 2021; Zawacki-Richter et al., 2019). Gli LLM, in particolare, possono essere condizionati nell'interazione tramite vincoli di alto livello noti come </w:t>
      </w:r>
      <w:r w:rsidDel="00000000" w:rsidR="00000000" w:rsidRPr="00000000">
        <w:rPr>
          <w:i w:val="1"/>
          <w:iCs w:val="1"/>
          <w:rtl w:val="0"/>
        </w:rPr>
        <w:t xml:space="preserve">system prompt</w:t>
      </w:r>
      <w:r w:rsidDel="00000000" w:rsidR="00000000" w:rsidRPr="00000000">
        <w:rPr>
          <w:rtl w:val="0"/>
        </w:rPr>
        <w:t xml:space="preserve"> e </w:t>
      </w:r>
      <w:r w:rsidDel="00000000" w:rsidR="00000000" w:rsidRPr="00000000">
        <w:rPr>
          <w:i w:val="1"/>
          <w:iCs w:val="1"/>
          <w:rtl w:val="0"/>
        </w:rPr>
        <w:t xml:space="preserve">meta-prompt</w:t>
      </w:r>
      <w:r w:rsidDel="00000000" w:rsidR="00000000" w:rsidRPr="00000000">
        <w:rPr>
          <w:rtl w:val="0"/>
        </w:rPr>
        <w:t xml:space="preserve">. Tali istruzioni, ricevute dal modello prima del dialogo con l'utente, ne definiscono il ruolo, il comportamento e le modalità di interazione. Inoltre, mediante tecniche di </w:t>
      </w:r>
      <w:r w:rsidDel="00000000" w:rsidR="00000000" w:rsidRPr="00000000">
        <w:rPr>
          <w:i w:val="1"/>
          <w:iCs w:val="1"/>
          <w:rtl w:val="0"/>
        </w:rPr>
        <w:t xml:space="preserve">retrieval</w:t>
      </w:r>
      <w:r w:rsidDel="00000000" w:rsidR="00000000" w:rsidRPr="00000000">
        <w:rPr>
          <w:rtl w:val="0"/>
        </w:rPr>
        <w:t xml:space="preserve">, è possibile integrare nei prompt informazioni pertinenti estratte da documenti validati, migliorando l’accuratezza e l’affidabilità delle risposte (Kasneci et al., 2023). Tali sistemi sono dunque in grado di svolgere compiti finora di esclusiva competenza all'operatore umano, rendendo i processi di orientamento più scalabili e sostenibili (Neumann et al., 2021). Ad esempio, impiegati come </w:t>
      </w:r>
      <w:r w:rsidDel="00000000" w:rsidR="00000000" w:rsidRPr="00000000">
        <w:rPr>
          <w:i w:val="1"/>
          <w:iCs w:val="1"/>
          <w:rtl w:val="0"/>
        </w:rPr>
        <w:t xml:space="preserve">tutor socratici</w:t>
      </w:r>
      <w:r w:rsidDel="00000000" w:rsidR="00000000" w:rsidRPr="00000000">
        <w:rPr>
          <w:rtl w:val="0"/>
        </w:rPr>
        <w:t xml:space="preserve"> — secondo un modello dialogico nel quale l'intelligenza artificiale guida lo studente attraverso domande progressive, anziché fornire risposte dirette — possono sostenere lo sviluppo della metacognizione e dell’</w:t>
      </w:r>
      <w:r w:rsidDel="00000000" w:rsidR="00000000" w:rsidRPr="00000000">
        <w:rPr>
          <w:i w:val="1"/>
          <w:iCs w:val="1"/>
          <w:rtl w:val="0"/>
        </w:rPr>
        <w:t xml:space="preserve">agency</w:t>
      </w:r>
      <w:r w:rsidDel="00000000" w:rsidR="00000000" w:rsidRPr="00000000">
        <w:rPr>
          <w:rtl w:val="0"/>
        </w:rPr>
        <w:t xml:space="preserve"> epistemica, intesa come la capacità dello studente di assumere un ruolo attivo, consapevole e responsabile nella costruzione della propria conoscenza (Antunes et al., 2025; Chang et al., 2023).</w:t>
      </w:r>
    </w:p>
    <w:p w:rsidR="00000000" w:rsidDel="00000000" w:rsidP="00000000" w:rsidRDefault="00000000" w:rsidRPr="00000000" w14:paraId="00000015">
      <w:pPr>
        <w:spacing w:after="120" w:line="360" w:lineRule="auto"/>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È inoltre necessario che gli studenti sviluppino un senso critico verso l’AI che permetta loro di valutarne l’attendibilità e la pertinenza, al fine di integrare in maniera proficua questa interazione nel proprio percorso di apprendimento (Tankelevitch et al., 2024). Tale competenza assume particolare rilevanza, poiché le strategie di autovalutazione supportate dall’AI risultano ancora tra quelle meno conosciute dagli studenti (Liu et al., 2025).</w:t>
      </w:r>
      <w:r w:rsidDel="00000000" w:rsidR="00000000" w:rsidRPr="00000000">
        <w:rPr>
          <w:rtl w:val="0"/>
        </w:rPr>
      </w:r>
    </w:p>
    <w:p w:rsidR="00000000" w:rsidDel="00000000" w:rsidP="00000000" w:rsidRDefault="00000000" w:rsidRPr="00000000" w14:paraId="00000016">
      <w:pPr>
        <w:pStyle w:val="Heading3"/>
        <w:rPr/>
      </w:pPr>
      <w:bookmarkStart w:colFirst="0" w:colLast="0" w:name="_heading=h.bqlyf4iub94d" w:id="5"/>
      <w:bookmarkEnd w:id="5"/>
      <w:r w:rsidDel="00000000" w:rsidR="00000000" w:rsidRPr="00000000">
        <w:rPr>
          <w:b w:val="1"/>
          <w:bCs w:val="1"/>
          <w:rtl w:val="0"/>
          <w:color w:val="000000"/>
        </w:rPr>
        <w:t xml:space="preserve">1.3 Il framework delle competenze strategiche come impalcatura semantica</w:t>
      </w:r>
      <w:r w:rsidDel="00000000" w:rsidR="00000000" w:rsidRPr="00000000">
        <w:rPr>
          <w:rtl w:val="0"/>
          <w:color w:val="000000"/>
        </w:rPr>
      </w:r>
    </w:p>
    <w:p w:rsidR="00000000" w:rsidDel="00000000" w:rsidP="00000000" w:rsidRDefault="00000000" w:rsidRPr="00000000" w14:paraId="00000017">
      <w:pPr>
        <w:spacing w:after="240" w:before="240" w:lineRule="auto"/>
        <w:rPr/>
        <w:jc w:val="both"/>
      </w:pPr>
      <w:r w:rsidDel="00000000" w:rsidR="00000000" w:rsidRPr="00000000">
        <w:rPr>
          <w:rtl w:val="0"/>
        </w:rPr>
        <w:t xml:space="preserve">Per comprendere meglio l’idea di Counselorbot è opportuno accennare brevemente al portale </w:t>
      </w:r>
      <w:r w:rsidDel="00000000" w:rsidR="00000000" w:rsidRPr="00000000">
        <w:rPr>
          <w:i w:val="1"/>
          <w:iCs w:val="1"/>
          <w:rtl w:val="0"/>
        </w:rPr>
        <w:t xml:space="preserve">Competenze strategiche</w:t>
      </w:r>
      <w:r w:rsidDel="00000000" w:rsidR="00000000" w:rsidRPr="00000000">
        <w:rPr>
          <w:rtl w:val="0"/>
        </w:rPr>
        <w:t xml:space="preserve">. Il sito raccoglie strumenti di autovalutazione rivolti a studenti, docenti e operatori dell’orientamento. Questi strumenti aiutano a riflettere sulle proprie modalità di apprendimento, sulle strategie di studio, sulla motivazione, sulla gestione delle emozioni e sulla progettualità personale.</w:t>
      </w:r>
    </w:p>
    <w:p w:rsidR="00000000" w:rsidDel="00000000" w:rsidP="00000000" w:rsidRDefault="00000000" w:rsidRPr="00000000" w14:paraId="00000018">
      <w:pPr>
        <w:spacing w:after="240" w:before="240" w:lineRule="auto"/>
        <w:rPr/>
        <w:jc w:val="both"/>
      </w:pPr>
      <w:r w:rsidDel="00000000" w:rsidR="00000000" w:rsidRPr="00000000">
        <w:rPr>
          <w:rtl w:val="0"/>
        </w:rPr>
        <w:t xml:space="preserve">Alla base del portale vi è il costrutto di competenza strategica, sviluppato dal gruppo di ricerca coordinato da Pellerey (Pellerey et al., 2013) e radicato nella nozione aristotelico-tomista di abito (</w:t>
      </w:r>
      <w:r w:rsidDel="00000000" w:rsidR="00000000" w:rsidRPr="00000000">
        <w:rPr>
          <w:i w:val="1"/>
          <w:iCs w:val="1"/>
          <w:rtl w:val="0"/>
        </w:rPr>
        <w:t xml:space="preserve">habitus</w:t>
      </w:r>
      <w:r w:rsidDel="00000000" w:rsidR="00000000" w:rsidRPr="00000000">
        <w:rPr>
          <w:rtl w:val="0"/>
        </w:rPr>
        <w:t xml:space="preserve">). Tale costrutto indica l’insieme delle abilità cognitive, metacognitive, affettivo-motivazionali e volitive che permettono allo studente di pianificare, monitorare e regolare il proprio apprendimento.</w:t>
      </w:r>
    </w:p>
    <w:p w:rsidR="00000000" w:rsidDel="00000000" w:rsidP="00000000" w:rsidRDefault="00000000" w:rsidRPr="00000000" w14:paraId="00000019">
      <w:pPr>
        <w:spacing w:after="240" w:before="240" w:lineRule="auto"/>
        <w:rPr/>
        <w:jc w:val="both"/>
      </w:pPr>
      <w:r w:rsidDel="00000000" w:rsidR="00000000" w:rsidRPr="00000000">
        <w:rPr>
          <w:rtl w:val="0"/>
        </w:rPr>
        <w:t xml:space="preserve">Tra i questionari disponibili nel portale vi sono il QSA, </w:t>
      </w:r>
      <w:r w:rsidDel="00000000" w:rsidR="00000000" w:rsidRPr="00000000">
        <w:rPr>
          <w:i w:val="1"/>
          <w:iCs w:val="1"/>
          <w:rtl w:val="0"/>
        </w:rPr>
        <w:t xml:space="preserve">Questionario sulle Strategie di Apprendimento</w:t>
      </w:r>
      <w:r w:rsidDel="00000000" w:rsidR="00000000" w:rsidRPr="00000000">
        <w:rPr>
          <w:rtl w:val="0"/>
        </w:rPr>
        <w:t xml:space="preserve">; il QSAr, nella sua versione ridotta; il QPCS, </w:t>
      </w:r>
      <w:r w:rsidDel="00000000" w:rsidR="00000000" w:rsidRPr="00000000">
        <w:rPr>
          <w:i w:val="1"/>
          <w:iCs w:val="1"/>
          <w:rtl w:val="0"/>
        </w:rPr>
        <w:t xml:space="preserve">Questionario sulla Percezione delle proprie Competenze Strategiche</w:t>
      </w:r>
      <w:r w:rsidDel="00000000" w:rsidR="00000000" w:rsidRPr="00000000">
        <w:rPr>
          <w:rtl w:val="0"/>
        </w:rPr>
        <w:t xml:space="preserve">; il QPCC; lo ZTPI, dedicato alla prospettiva temporale; e il QAP, relativo all’adattabilità professionale.</w:t>
      </w:r>
    </w:p>
    <w:p w:rsidR="00000000" w:rsidDel="00000000" w:rsidP="00000000" w:rsidRDefault="00000000" w:rsidRPr="00000000" w14:paraId="0000001A">
      <w:pPr>
        <w:jc w:val="both"/>
        <w:rPr/>
      </w:pPr>
      <w:r w:rsidDel="00000000" w:rsidR="00000000" w:rsidRPr="00000000">
        <w:rPr>
          <w:rtl w:val="0"/>
        </w:rPr>
        <w:t xml:space="preserve">.</w:t>
      </w:r>
    </w:p>
    <w:p w:rsidR="00000000" w:rsidDel="00000000" w:rsidP="00000000" w:rsidRDefault="00000000" w:rsidRPr="00000000" w14:paraId="0000001B">
      <w:pPr>
        <w:pStyle w:val="Heading2"/>
        <w:rPr/>
      </w:pPr>
      <w:r w:rsidDel="00000000" w:rsidR="00000000" w:rsidRPr="00000000">
        <w:rPr>
          <w:b w:val="1"/>
          <w:bCs w:val="1"/>
          <w:rtl w:val="0"/>
          <w:color w:val="000000"/>
        </w:rPr>
        <w:t xml:space="preserve">2. Progettazione di Counselorbot</w:t>
      </w:r>
      <w:r w:rsidDel="00000000" w:rsidR="00000000" w:rsidRPr="00000000">
        <w:rPr>
          <w:rtl w:val="0"/>
          <w:color w:val="000000"/>
        </w:rPr>
      </w:r>
    </w:p>
    <w:p w:rsidR="00000000" w:rsidDel="00000000" w:rsidP="00000000" w:rsidRDefault="00000000" w:rsidRPr="00000000" w14:paraId="0000001C">
      <w:pPr>
        <w:rPr/>
        <w:jc w:val="both"/>
      </w:pPr>
      <w:r w:rsidDel="00000000" w:rsidR="00000000" w:rsidRPr="00000000">
        <w:rPr>
          <w:rtl w:val="0"/>
        </w:rPr>
        <w:t xml:space="preserve">Counselorbot è stato concepito come un sistema multifunzionale dedicato all’orientamento formativo e professionale, all’autovalutazione e al supporto all’apprendimento. La piattaforma integra strumenti differenti, accomunati da un’interazione conversazionale strutturata, attraverso la quale l’utente viene accompagnato nell’interpretazione dei risultati, nella riflessione sulle proprie esperienze e nell’individuazione di strategie utili al proprio percorso.</w:t>
      </w:r>
    </w:p>
    <w:p w:rsidR="00000000" w:rsidDel="00000000" w:rsidP="00000000" w:rsidRDefault="00000000" w:rsidRPr="00000000" w14:paraId="0000001D">
      <w:pPr>
        <w:pStyle w:val="Heading3"/>
        <w:rPr/>
      </w:pPr>
      <w:r w:rsidDel="00000000" w:rsidR="00000000" w:rsidRPr="00000000">
        <w:rPr>
          <w:b w:val="1"/>
          <w:bCs w:val="1"/>
          <w:rtl w:val="0"/>
          <w:color w:val="000000"/>
        </w:rPr>
        <w:t xml:space="preserve">2.1 Strumenti disponibili in Counselorbot</w:t>
      </w:r>
      <w:r w:rsidDel="00000000" w:rsidR="00000000" w:rsidRPr="00000000">
        <w:rPr>
          <w:rtl w:val="0"/>
          <w:color w:val="000000"/>
        </w:rPr>
      </w:r>
    </w:p>
    <w:p w:rsidR="00000000" w:rsidDel="00000000" w:rsidP="00000000" w:rsidRDefault="00000000" w:rsidRPr="00000000" w14:paraId="0000001E">
      <w:pPr>
        <w:rPr/>
        <w:jc w:val="both"/>
      </w:pPr>
      <w:r w:rsidDel="00000000" w:rsidR="00000000" w:rsidRPr="00000000">
        <w:rPr>
          <w:rtl w:val="0"/>
        </w:rPr>
        <w:t xml:space="preserve">Nella schermata iniziale, Counselorbot presenta un selettore attraverso il quale l’utente può scegliere uno dei questionari disponibili, la </w:t>
      </w:r>
      <w:r w:rsidDel="00000000" w:rsidR="00000000" w:rsidRPr="00000000">
        <w:rPr>
          <w:i w:val="1"/>
          <w:iCs w:val="1"/>
          <w:rtl w:val="0"/>
        </w:rPr>
        <w:t xml:space="preserve">Career Counseling Interview</w:t>
      </w:r>
      <w:r w:rsidDel="00000000" w:rsidR="00000000" w:rsidRPr="00000000">
        <w:rPr>
          <w:rtl w:val="0"/>
        </w:rPr>
        <w:t xml:space="preserve"> oppure il modulo di </w:t>
      </w:r>
      <w:r w:rsidDel="00000000" w:rsidR="00000000" w:rsidRPr="00000000">
        <w:rPr>
          <w:i w:val="1"/>
          <w:iCs w:val="1"/>
          <w:rtl w:val="0"/>
        </w:rPr>
        <w:t xml:space="preserve">Question-Based Learning</w:t>
      </w:r>
      <w:r w:rsidDel="00000000" w:rsidR="00000000" w:rsidRPr="00000000">
        <w:rPr>
          <w:rtl w:val="0"/>
        </w:rPr>
        <w:t xml:space="preserve">. In base alla scelta effettuata, il sistema attiva l’interfaccia e il percorso di interazione corrispondenti.</w:t>
      </w:r>
    </w:p>
    <w:p w:rsidR="00000000" w:rsidDel="00000000" w:rsidP="00000000" w:rsidRDefault="00000000" w:rsidRPr="00000000" w14:paraId="0000001F">
      <w:pPr>
        <w:rPr/>
        <w:jc w:val="both"/>
      </w:pPr>
      <w:r w:rsidDel="00000000" w:rsidR="00000000" w:rsidRPr="00000000">
        <w:rPr>
          <w:rtl w:val="0"/>
        </w:rPr>
        <w:t xml:space="preserve">Una prima area funzionale riguarda l’interpretazione dei questionari presenti nel portale </w:t>
      </w:r>
      <w:r w:rsidDel="00000000" w:rsidR="00000000" w:rsidRPr="00000000">
        <w:rPr>
          <w:i w:val="1"/>
          <w:iCs w:val="1"/>
          <w:rtl w:val="0"/>
        </w:rPr>
        <w:t xml:space="preserve">Competenze strategiche</w:t>
      </w:r>
      <w:r w:rsidDel="00000000" w:rsidR="00000000" w:rsidRPr="00000000">
        <w:rPr>
          <w:rtl w:val="0"/>
        </w:rPr>
        <w:t xml:space="preserve">. Tra questi rientra il Questionario sulle Strategie di Apprendimento (QSA), finalizzato ad analizzare le modalità attraverso cui lo studente affronta, organizza e regola il proprio percorso formativo. Lo strumento prende in considerazione fattori cognitivi, metacognitivi, affettivi, motivazionali e volitivi. Counselorbot accompagna l’utente nell’interpretazione dei risultati attraverso undici passi guidati, ciascuno dedicato a una specifica dimensione. Per ogni fattore, il sistema illustra il significato del punteggio, formula domande di approfondimento e propone strategie coerenti con il profilo emerso.</w:t>
      </w:r>
    </w:p>
    <w:p w:rsidR="00000000" w:rsidDel="00000000" w:rsidP="00000000" w:rsidRDefault="00000000" w:rsidRPr="00000000" w14:paraId="00000020">
      <w:pPr>
        <w:rPr/>
        <w:jc w:val="both"/>
      </w:pPr>
      <w:r w:rsidDel="00000000" w:rsidR="00000000" w:rsidRPr="00000000">
        <w:rPr>
          <w:rtl w:val="0"/>
        </w:rPr>
        <w:t xml:space="preserve">Accanto al QSA è integrato il QSAr, una versione ridotta del Questionario sulle Strategie di Apprendimento. Esso consente di ottenere una rappresentazione più sintetica delle principali modalità con cui lo studente affronta il proprio apprendimento. Anche in questo caso, Counselorbot restituisce il profilo in forma comprensibile, evidenzia i punti di forza e le aree suscettibili di sviluppo e guida l’utente nella riflessione sulle possibili strategie di miglioramento.</w:t>
      </w:r>
    </w:p>
    <w:p w:rsidR="00000000" w:rsidDel="00000000" w:rsidP="00000000" w:rsidRDefault="00000000" w:rsidRPr="00000000" w14:paraId="00000021">
      <w:pPr>
        <w:rPr/>
        <w:jc w:val="both"/>
      </w:pPr>
      <w:r w:rsidDel="00000000" w:rsidR="00000000" w:rsidRPr="00000000">
        <w:rPr>
          <w:rtl w:val="0"/>
        </w:rPr>
        <w:t xml:space="preserve">Un ulteriore strumento è lo </w:t>
      </w:r>
      <w:r w:rsidDel="00000000" w:rsidR="00000000" w:rsidRPr="00000000">
        <w:rPr>
          <w:i w:val="1"/>
          <w:iCs w:val="1"/>
          <w:rtl w:val="0"/>
        </w:rPr>
        <w:t xml:space="preserve">Zimbardo Time Perspective Inventory</w:t>
      </w:r>
      <w:r w:rsidDel="00000000" w:rsidR="00000000" w:rsidRPr="00000000">
        <w:rPr>
          <w:rtl w:val="0"/>
        </w:rPr>
        <w:t xml:space="preserve"> (ZTPI), attraverso il quale viene analizzato il rapporto dell’individuo con le dimensioni temporali del passato, del presente e del futuro. Le prospettive temporali possono incidere sulla capacità progettuale, sulle decisioni e sull’atteggiamento assunto verso il percorso formativo e professionale. Counselorbot supporta l’utente nell’interpretazione del proprio profilo temporale e lo aiuta a individuare le relazioni tra orientamento temporale, obiettivi personali e scelte future.</w:t>
      </w:r>
    </w:p>
    <w:p w:rsidR="00000000" w:rsidDel="00000000" w:rsidP="00000000" w:rsidRDefault="00000000" w:rsidRPr="00000000" w14:paraId="00000022">
      <w:pPr>
        <w:rPr/>
        <w:jc w:val="both"/>
      </w:pPr>
      <w:r w:rsidDel="00000000" w:rsidR="00000000" w:rsidRPr="00000000">
        <w:rPr>
          <w:rtl w:val="0"/>
        </w:rPr>
        <w:t xml:space="preserve">Per QSA, QSAr e ZTPI, l’interfaccia richiede l’inserimento dei risultati e restituisce una rappresentazione grafica del profilo. Il grafico a barre utilizza una codifica cromatica nella quale il verde identifica i punti di forza, il giallo i risultati collocati nella fascia intermedia e il rosso le possibili aree di crescita. La visualizzazione grafica non sostituisce l’interpretazione, ma offre una prima rappresentazione sintetica del profilo, che viene successivamente approfondita attraverso il dialogo guidato.</w:t>
      </w:r>
    </w:p>
    <w:p w:rsidR="00000000" w:rsidDel="00000000" w:rsidP="00000000" w:rsidRDefault="00000000" w:rsidRPr="00000000" w14:paraId="00000023">
      <w:pPr>
        <w:rPr/>
        <w:jc w:val="both"/>
      </w:pPr>
      <w:r w:rsidDel="00000000" w:rsidR="00000000" w:rsidRPr="00000000">
        <w:rPr>
          <w:rtl w:val="0"/>
        </w:rPr>
        <w:t xml:space="preserve">Ai questionari si affiancano due strumenti aggiuntivi, caratterizzati da finalità e modalità di funzionamento differenti. Il primo è la </w:t>
      </w:r>
      <w:r w:rsidDel="00000000" w:rsidR="00000000" w:rsidRPr="00000000">
        <w:rPr>
          <w:i w:val="1"/>
          <w:iCs w:val="1"/>
          <w:rtl w:val="0"/>
        </w:rPr>
        <w:t xml:space="preserve">Career Counseling Interview</w:t>
      </w:r>
      <w:r w:rsidDel="00000000" w:rsidR="00000000" w:rsidRPr="00000000">
        <w:rPr>
          <w:rtl w:val="0"/>
        </w:rPr>
        <w:t xml:space="preserve"> di Savickas, un colloquio narrativo finalizzato a esplorare le esperienze, gli interessi, i modelli di riferimento e le aspirazioni dell’utente. Dopo la selezione dello strumento, il sistema avvia il colloquio e propone cinque domande qualitative, alle quali il modello linguistico può far seguire ulteriori richieste di approfondimento. Al termine dell’interazione, Counselorbot elabora una sintesi narrativa orientata alla ricostruzione dell’identità professionale e all’individuazione dei principali temi di vita emersi.</w:t>
      </w:r>
    </w:p>
    <w:p w:rsidR="00000000" w:rsidDel="00000000" w:rsidP="00000000" w:rsidRDefault="00000000" w:rsidRPr="00000000" w14:paraId="00000024">
      <w:pPr>
        <w:rPr/>
        <w:jc w:val="both"/>
      </w:pPr>
      <w:r w:rsidDel="00000000" w:rsidR="00000000" w:rsidRPr="00000000">
        <w:rPr>
          <w:rtl w:val="0"/>
        </w:rPr>
        <w:t xml:space="preserve">Il secondo strumento aggiuntivo è il modulo di </w:t>
      </w:r>
      <w:r w:rsidDel="00000000" w:rsidR="00000000" w:rsidRPr="00000000">
        <w:rPr>
          <w:i w:val="1"/>
          <w:iCs w:val="1"/>
          <w:rtl w:val="0"/>
        </w:rPr>
        <w:t xml:space="preserve">Question-Based Learning</w:t>
      </w:r>
      <w:r w:rsidDel="00000000" w:rsidR="00000000" w:rsidRPr="00000000">
        <w:rPr>
          <w:rtl w:val="0"/>
        </w:rPr>
        <w:t xml:space="preserve"> (PQBL), basato sulla metodologia proposta da Jemstedt e Bälter. In questo caso, l’interfaccia richiede il caricamento di un documento didattico in formato PDF. Il sistema ne trasforma il contenuto in un percorso interattivo fondato su domande e feedback. Il testo non viene quindi proposto soltanto come materiale da leggere, ma diventa la base di un’attività di apprendimento attivo, nella quale l’utente è chiamato a recuperare, rielaborare e applicare le informazioni contenute nel documento.</w:t>
      </w:r>
    </w:p>
    <w:p w:rsidR="00000000" w:rsidDel="00000000" w:rsidP="00000000" w:rsidRDefault="00000000" w:rsidRPr="00000000" w14:paraId="00000025">
      <w:pPr>
        <w:rPr/>
        <w:jc w:val="both"/>
      </w:pPr>
      <w:r w:rsidDel="00000000" w:rsidR="00000000" w:rsidRPr="00000000">
        <w:rPr>
          <w:rtl w:val="0"/>
        </w:rPr>
        <w:t xml:space="preserve">L’architettura modulare di Counselorbot è stata progettata in modo da consentire la futura integrazione di ulteriori questionari, interviste e strumenti di supporto all’orientamento e all’apprendimento.</w:t>
      </w:r>
    </w:p>
    <w:p w:rsidR="00000000" w:rsidDel="00000000" w:rsidP="00000000" w:rsidRDefault="00000000" w:rsidRPr="00000000" w14:paraId="00000026">
      <w:pPr>
        <w:pStyle w:val="Heading3"/>
        <w:rPr/>
      </w:pPr>
      <w:r w:rsidDel="00000000" w:rsidR="00000000" w:rsidRPr="00000000">
        <w:rPr>
          <w:b w:val="1"/>
          <w:bCs w:val="1"/>
          <w:rtl w:val="0"/>
          <w:color w:val="000000"/>
        </w:rPr>
        <w:t xml:space="preserve">2.2 Passi guidati e flussi di interazione</w:t>
      </w:r>
      <w:r w:rsidDel="00000000" w:rsidR="00000000" w:rsidRPr="00000000">
        <w:rPr>
          <w:rtl w:val="0"/>
          <w:color w:val="000000"/>
        </w:rPr>
      </w:r>
    </w:p>
    <w:p w:rsidR="00000000" w:rsidDel="00000000" w:rsidP="00000000" w:rsidRDefault="00000000" w:rsidRPr="00000000" w14:paraId="00000027">
      <w:pPr>
        <w:rPr/>
        <w:jc w:val="both"/>
      </w:pPr>
      <w:r w:rsidDel="00000000" w:rsidR="00000000" w:rsidRPr="00000000">
        <w:rPr>
          <w:rtl w:val="0"/>
        </w:rPr>
        <w:t xml:space="preserve">Il principio organizzativo centrale di Counselorbot è rappresentato dai passi guidati (</w:t>
      </w:r>
      <w:r w:rsidDel="00000000" w:rsidR="00000000" w:rsidRPr="00000000">
        <w:rPr>
          <w:i w:val="1"/>
          <w:iCs w:val="1"/>
          <w:rtl w:val="0"/>
        </w:rPr>
        <w:t xml:space="preserve">guided steps</w:t>
      </w:r>
      <w:r w:rsidDel="00000000" w:rsidR="00000000" w:rsidRPr="00000000">
        <w:rPr>
          <w:rtl w:val="0"/>
        </w:rPr>
        <w:t xml:space="preserve">), ossia sequenze predefinite che determinano l’ordine delle diverse fasi del dialogo. A ciascun passo è associato uno specifico meta-prompt, nel quale vengono definiti l’obiettivo della fase, le informazioni da prendere in considerazione e il tipo di risposta che il modello linguistico deve produrre. Questa struttura permette di affrontare sistematicamente tutti gli ambiti previsti dallo strumento selezionato, riducendo il rischio che alcune dimensioni vengano trascurate.</w:t>
      </w:r>
    </w:p>
    <w:p w:rsidR="00000000" w:rsidDel="00000000" w:rsidP="00000000" w:rsidRDefault="00000000" w:rsidRPr="00000000" w14:paraId="00000028">
      <w:pPr>
        <w:rPr/>
        <w:jc w:val="both"/>
      </w:pPr>
      <w:r w:rsidDel="00000000" w:rsidR="00000000" w:rsidRPr="00000000">
        <w:rPr>
          <w:rtl w:val="0"/>
        </w:rPr>
        <w:t xml:space="preserve">All’interno di ciascun passo, tuttavia, il modello linguistico mantiene la flessibilità necessaria per adattare il linguaggio, gli esempi, le domande e il livello di approfondimento alle risposte dell’utente. Counselorbot realizza così una modalità di interazione ibrida, nella quale il controllo deterministico del percorso si combina con l’adattività conversazionale dell’LLM. L’interfaccia conversazionale presenta progressivamente le domande, le interpretazioni e le strategie associate a ciascun passo. L’utente può chiedere chiarimenti, richiedere esempi o soffermarsi su uno specifico argomento prima di proseguire.</w:t>
      </w:r>
    </w:p>
    <w:p w:rsidR="00000000" w:rsidDel="00000000" w:rsidP="00000000" w:rsidRDefault="00000000" w:rsidRPr="00000000" w14:paraId="00000029">
      <w:pPr>
        <w:rPr/>
        <w:jc w:val="both"/>
      </w:pPr>
      <w:r w:rsidDel="00000000" w:rsidR="00000000" w:rsidRPr="00000000">
        <w:rPr>
          <w:rtl w:val="0"/>
        </w:rPr>
        <w:t xml:space="preserve">Poiché gli strumenti integrati presentano caratteristiche differenti, il sistema non applica un unico flusso indistinto, ma adotta percorsi specifici per i questionari, per la </w:t>
      </w:r>
      <w:r w:rsidDel="00000000" w:rsidR="00000000" w:rsidRPr="00000000">
        <w:rPr>
          <w:i w:val="1"/>
          <w:iCs w:val="1"/>
          <w:rtl w:val="0"/>
        </w:rPr>
        <w:t xml:space="preserve">Career Counseling Interview</w:t>
      </w:r>
      <w:r w:rsidDel="00000000" w:rsidR="00000000" w:rsidRPr="00000000">
        <w:rPr>
          <w:rtl w:val="0"/>
        </w:rPr>
        <w:t xml:space="preserve"> e per il </w:t>
      </w:r>
      <w:r w:rsidDel="00000000" w:rsidR="00000000" w:rsidRPr="00000000">
        <w:rPr>
          <w:i w:val="1"/>
          <w:iCs w:val="1"/>
          <w:rtl w:val="0"/>
        </w:rPr>
        <w:t xml:space="preserve">Question-Based Learning</w:t>
      </w:r>
      <w:r w:rsidDel="00000000" w:rsidR="00000000" w:rsidRPr="00000000">
        <w:rPr>
          <w:rtl w:val="0"/>
        </w:rPr>
        <w:t xml:space="preserve">. Nel caso dei questionari QSA, QSAr e ZTPI, il percorso ha inizio con l’inserimento dei punteggi. Il sistema elabora quindi il profilo e ne presenta una prima visualizzazione grafica. Successivamente prende avvio l’analisi guidata dei risultati, durante la quale l’utente può approfondire liberamente ciascun fattore prima di passare al successivo. L’interpretazione dei questionari si sviluppa secondo due modalità complementari. La prima è analitica ed è dedicata all’esame progressivo dei singoli fattori. Per ciascuna dimensione, Counselorbot presenta il risultato, ne chiarisce il significato, formula eventuali domande di approfondimento e propone strategie personalizzate. La seconda modalità è sintetica e mette in relazione le diverse componenti del profilo, facendo emergere le connessioni tra aspetti cognitivi, metacognitivi, affettivi, motivazionali e volitivi. In questo modo, il sistema non si limita a restituire una serie di punteggi isolati, ma favorisce la costruzione di una rappresentazione unitaria del funzionamento dello studente. Al termine dell’analisi, Counselorbot propone una sintesi complessiva dei principali punti di forza, delle aree suscettibili di sviluppo e delle strategie emerse durante il dialogo. L’utente può quindi selezionare e salvare le indicazioni considerate maggiormente significative.</w:t>
      </w:r>
    </w:p>
    <w:p w:rsidR="00000000" w:rsidDel="00000000" w:rsidP="00000000" w:rsidRDefault="00000000" w:rsidRPr="00000000" w14:paraId="0000002A">
      <w:pPr>
        <w:rPr/>
        <w:jc w:val="both"/>
      </w:pPr>
      <w:r w:rsidDel="00000000" w:rsidR="00000000" w:rsidRPr="00000000">
        <w:rPr>
          <w:rtl w:val="0"/>
        </w:rPr>
        <w:t xml:space="preserve">La </w:t>
      </w:r>
      <w:r w:rsidDel="00000000" w:rsidR="00000000" w:rsidRPr="00000000">
        <w:rPr>
          <w:i w:val="1"/>
          <w:iCs w:val="1"/>
          <w:rtl w:val="0"/>
        </w:rPr>
        <w:t xml:space="preserve">Career Counseling Interview</w:t>
      </w:r>
      <w:r w:rsidDel="00000000" w:rsidR="00000000" w:rsidRPr="00000000">
        <w:rPr>
          <w:rtl w:val="0"/>
        </w:rPr>
        <w:t xml:space="preserve"> segue invece un percorso qualitativo e narrativo. In questo modulo non vengono inseriti punteggi e non viene elaborato un profilo psicometrico. Il sistema presenta progressivamente le cinque domande previste dal protocollo, analizza le risposte dell’utente e può formulare ulteriori domande per approfondire gli elementi più significativi. Pur mantenendo la sequenza generale stabilita, il modello linguistico adatta il dialogo ai contenuti emersi. Al termine dell’intervista, Counselorbot individua i temi ricorrenti e li integra in una sintesi narrativa relativa agli interessi, ai modelli di riferimento, alle aspirazioni e alla costruzione dell’identità professionale.</w:t>
      </w:r>
    </w:p>
    <w:p w:rsidR="00000000" w:rsidDel="00000000" w:rsidP="00000000" w:rsidRDefault="00000000" w:rsidRPr="00000000" w14:paraId="0000002B">
      <w:pPr>
        <w:rPr/>
        <w:jc w:val="both"/>
      </w:pPr>
      <w:r w:rsidDel="00000000" w:rsidR="00000000" w:rsidRPr="00000000">
        <w:rPr>
          <w:rtl w:val="0"/>
        </w:rPr>
        <w:t xml:space="preserve">Il modulo di </w:t>
      </w:r>
      <w:r w:rsidDel="00000000" w:rsidR="00000000" w:rsidRPr="00000000">
        <w:rPr>
          <w:i w:val="1"/>
          <w:iCs w:val="1"/>
          <w:rtl w:val="0"/>
        </w:rPr>
        <w:t xml:space="preserve">Question-Based Learning</w:t>
      </w:r>
      <w:r w:rsidDel="00000000" w:rsidR="00000000" w:rsidRPr="00000000">
        <w:rPr>
          <w:rtl w:val="0"/>
        </w:rPr>
        <w:t xml:space="preserve"> segue un terzo flusso, specificamente orientato all’apprendimento attivo. Dopo il caricamento del documento in formato PDF, il sistema ne analizza e segmenta il contenuto, genera una sequenza di domande e le presenta progressivamente all’utente. Dopo ciascuna risposta, Counselorbot restituisce un feedback, propone eventuali chiarimenti e può adattare la difficoltà o il livello di approfondimento delle domande successive. Il percorso rimane ancorato ai contenuti del documento e si conclude con una sintesi dell’attività svolta e degli aspetti principali affrontati.</w:t>
      </w:r>
    </w:p>
    <w:p w:rsidR="00000000" w:rsidDel="00000000" w:rsidP="00000000" w:rsidRDefault="00000000" w:rsidRPr="00000000" w14:paraId="0000002C">
      <w:pPr>
        <w:pStyle w:val="Heading3"/>
        <w:rPr/>
      </w:pPr>
      <w:r w:rsidDel="00000000" w:rsidR="00000000" w:rsidRPr="00000000">
        <w:rPr>
          <w:b w:val="1"/>
          <w:bCs w:val="1"/>
          <w:rtl w:val="0"/>
          <w:color w:val="000000"/>
        </w:rPr>
        <w:t xml:space="preserve">2.3 Infrastruttura hardware</w:t>
      </w:r>
      <w:r w:rsidDel="00000000" w:rsidR="00000000" w:rsidRPr="00000000">
        <w:rPr>
          <w:rtl w:val="0"/>
          <w:color w:val="000000"/>
        </w:rPr>
      </w:r>
    </w:p>
    <w:p w:rsidR="00000000" w:rsidDel="00000000" w:rsidP="00000000" w:rsidRDefault="00000000" w:rsidRPr="00000000" w14:paraId="0000002D">
      <w:pPr>
        <w:rPr/>
        <w:jc w:val="both"/>
      </w:pPr>
      <w:r w:rsidDel="00000000" w:rsidR="00000000" w:rsidRPr="00000000">
        <w:rPr>
          <w:rtl w:val="0"/>
        </w:rPr>
        <w:t xml:space="preserve">Counselorbot è eseguito su una workstation ad alte prestazioni, configurata per gestire localmente modelli linguistici e carichi computazionali intensivi. La macchina è dotata di un processore AMD Ryzen Threadripper 7980X con 64 core e 128 thread, di 256 GB di memoria RAM e di una GPU NVIDIA RTX 5090. La realizzazione dell’infrastruttura ha richiesto un investimento iniziale di circa 13.000 euro. La scelta di un’infrastruttura locale risponde innanzitutto all’esigenza di tutelare la riservatezza dei dati, poiché consente di ridurre il trasferimento delle conversazioni e delle informazioni degli utenti verso servizi esterni. Inoltre, permette di mantenere una maggiore indipendenza dai provider commerciali di intelligenza artificiale, evitando che il funzionamento del sistema dipenda esclusivamente dalla disponibilità, dai costi o dalle modifiche delle API esterne. Infine, l’investimento iniziale può contribuire alla sostenibilità economica nel medio e lungo periodo, soprattutto in presenza di un numero elevato di interazioni.</w:t>
      </w:r>
    </w:p>
    <w:p w:rsidR="00000000" w:rsidDel="00000000" w:rsidP="00000000" w:rsidRDefault="00000000" w:rsidRPr="00000000" w14:paraId="0000002E">
      <w:pPr>
        <w:pStyle w:val="Heading3"/>
        <w:rPr/>
      </w:pPr>
      <w:r w:rsidDel="00000000" w:rsidR="00000000" w:rsidRPr="00000000">
        <w:rPr>
          <w:b w:val="1"/>
          <w:bCs w:val="1"/>
          <w:rtl w:val="0"/>
          <w:color w:val="000000"/>
        </w:rPr>
        <w:t xml:space="preserve">2.4 Software</w:t>
      </w:r>
      <w:r w:rsidDel="00000000" w:rsidR="00000000" w:rsidRPr="00000000">
        <w:rPr>
          <w:rtl w:val="0"/>
          <w:color w:val="000000"/>
        </w:rPr>
      </w:r>
    </w:p>
    <w:p w:rsidR="00000000" w:rsidDel="00000000" w:rsidP="00000000" w:rsidRDefault="00000000" w:rsidRPr="00000000" w14:paraId="0000002F">
      <w:pPr>
        <w:rPr/>
        <w:jc w:val="both"/>
      </w:pPr>
      <w:r w:rsidDel="00000000" w:rsidR="00000000" w:rsidRPr="00000000">
        <w:rPr>
          <w:rtl w:val="0"/>
        </w:rPr>
        <w:t xml:space="preserve">Il software di Counselorbot comprende il sistema di gestione dei modelli linguistici, i meccanismi di recupero delle conoscenze e della memoria e le funzioni di registrazione e analisi delle interazioni.</w:t>
      </w:r>
    </w:p>
    <w:p w:rsidR="00000000" w:rsidDel="00000000" w:rsidP="00000000" w:rsidRDefault="00000000" w:rsidRPr="00000000" w14:paraId="00000030">
      <w:pPr>
        <w:pStyle w:val="Heading4"/>
        <w:rPr/>
      </w:pPr>
      <w:r w:rsidDel="00000000" w:rsidR="00000000" w:rsidRPr="00000000">
        <w:rPr>
          <w:b w:val="1"/>
          <w:bCs w:val="1"/>
          <w:rtl w:val="0"/>
          <w:color w:val="000000"/>
        </w:rPr>
        <w:t xml:space="preserve">2.4.1 Modelli linguistici</w:t>
      </w:r>
      <w:r w:rsidDel="00000000" w:rsidR="00000000" w:rsidRPr="00000000">
        <w:rPr>
          <w:rtl w:val="0"/>
          <w:color w:val="000000"/>
        </w:rPr>
      </w:r>
    </w:p>
    <w:p w:rsidR="00000000" w:rsidDel="00000000" w:rsidP="00000000" w:rsidRDefault="00000000" w:rsidRPr="00000000" w14:paraId="00000031">
      <w:pPr>
        <w:rPr/>
        <w:jc w:val="both"/>
      </w:pPr>
      <w:r w:rsidDel="00000000" w:rsidR="00000000" w:rsidRPr="00000000">
        <w:rPr>
          <w:rtl w:val="0"/>
        </w:rPr>
        <w:t xml:space="preserve">Per la gestione dei modelli linguistici, Counselorbot utilizza Ollama, uno strumento che consente l’esecuzione locale ed efficiente di modelli open-source. Durante la fase di sviluppo, la scelta si è orientata verso modelli con un numero di parametri inferiore a 15 miliardi, per garantire un equilibrio ottimale tra prestazioni e sostenibilità dell’infrastruttura locale. Sono stati testati modelli appartenenti a diverse famiglie, tra cui Gemma (nelle varianti da 2B, 4B e 12B parametri), DeepSeek-R1-Distill 8B e Qwen 3.5 9B.</w:t>
      </w:r>
    </w:p>
    <w:p w:rsidR="00000000" w:rsidDel="00000000" w:rsidP="00000000" w:rsidRDefault="00000000" w:rsidRPr="00000000" w14:paraId="00000032">
      <w:pPr>
        <w:pStyle w:val="Heading4"/>
        <w:rPr/>
      </w:pPr>
      <w:r w:rsidDel="00000000" w:rsidR="00000000" w:rsidRPr="00000000">
        <w:rPr>
          <w:b w:val="1"/>
          <w:bCs w:val="1"/>
          <w:rtl w:val="0"/>
          <w:color w:val="000000"/>
        </w:rPr>
        <w:t xml:space="preserve">2.4.2 Recupero delle conoscenze e gestione della memoria</w:t>
      </w:r>
      <w:r w:rsidDel="00000000" w:rsidR="00000000" w:rsidRPr="00000000">
        <w:rPr>
          <w:rtl w:val="0"/>
          <w:color w:val="000000"/>
        </w:rPr>
      </w:r>
    </w:p>
    <w:p w:rsidR="00000000" w:rsidDel="00000000" w:rsidP="00000000" w:rsidRDefault="00000000" w:rsidRPr="00000000" w14:paraId="00000033">
      <w:pPr>
        <w:rPr/>
        <w:jc w:val="both"/>
      </w:pPr>
      <w:r w:rsidDel="00000000" w:rsidR="00000000" w:rsidRPr="00000000">
        <w:rPr>
          <w:rtl w:val="0"/>
        </w:rPr>
        <w:t xml:space="preserve">Counselorbot utilizza diversi meccanismi per recuperare le informazioni rilevanti e mantenere la continuità delle interazioni. Tali meccanismi comprendono la memoria di sessione, la base di conoscenza, il grafo della conoscenza e una memoria condivisa delle risposte. La memoria di sessione conserva le informazioni emerse nel corso della singola conversazione. In questo modo, il sistema può ricordare i risultati, le risposte dell’utente e le strategie già discusse, evitando ripetizioni e garantendo coerenza tra le diverse fasi del percorso. La base di conoscenza contiene strategie educative e contenuti teorici precedentemente selezionati e approvati. Le strategie sono associate ai fattori dei questionari e indicizzate attraverso parole chiave e rappresentazioni semantiche. Quando viene analizzata una determinata dimensione, il sistema recupera automaticamente i contenuti maggiormente pertinenti rispetto al fattore, al punteggio e alle informazioni fornite dallo studente. Le informazioni recuperate vengono inserite nel contesto del modello linguistico e impiegame per generare la risposta. Questa soluzione consente agli amministratori di ampliare o aggiornare la base di conoscenza senza dover intervenire manualmente sui prompt. Il grafo della conoscenza collega tra loro gli strumenti, i fattori, le strategie e i riferimenti teorici. Tale struttura permette di estendere la ricerca documentale anche ai concetti semanticamente vicini, superando una corrispondenza esclusivamente letterale tra i termini utilizzati dall’utente e quelli presenti nei contenuti indicizzati. A questi meccanismi si aggiunge una memoria condivisa delle risposte. Quando un utente valuta positivamente una risposta dell’assistente, questa può essere conservata e utilizzata come riferimento per domande analoghe formulate in sessioni successive. Le risposte precedenti non vengono necessariamente riproposte in forma identica, ma possono essere recuperate come esempi utili alla produzione di nuove risposte. Si introduce così un meccanismo di apprendimento collettivo, nel quale le interazioni considerate efficatiche contribuiscono progressivamente al miglioramento del sistema. La memoria condivisa rimane tuttavia distinta dalla base di conoscenza validata: quest’ultima contiene materiali selezionati dagli amministratori, mentre la memoria condivisa deriva dalla valutazione delle risposte generate durante l’utilizzo.</w:t>
      </w:r>
    </w:p>
    <w:p w:rsidR="00000000" w:rsidDel="00000000" w:rsidP="00000000" w:rsidRDefault="00000000" w:rsidRPr="00000000" w14:paraId="00000034">
      <w:pPr>
        <w:pStyle w:val="Heading4"/>
        <w:rPr/>
      </w:pPr>
      <w:r w:rsidDel="00000000" w:rsidR="00000000" w:rsidRPr="00000000">
        <w:rPr>
          <w:b w:val="1"/>
          <w:bCs w:val="1"/>
          <w:rtl w:val="0"/>
          <w:color w:val="000000"/>
        </w:rPr>
        <w:t xml:space="preserve">2.4.3 Gestione delle interazioni e anonimizzazione</w:t>
      </w:r>
      <w:r w:rsidDel="00000000" w:rsidR="00000000" w:rsidRPr="00000000">
        <w:rPr>
          <w:rtl w:val="0"/>
          <w:color w:val="000000"/>
        </w:rPr>
      </w:r>
    </w:p>
    <w:p w:rsidR="00000000" w:rsidDel="00000000" w:rsidP="00000000" w:rsidRDefault="00000000" w:rsidRPr="00000000" w14:paraId="00000035">
      <w:pPr>
        <w:rPr/>
        <w:jc w:val="both"/>
      </w:pPr>
      <w:r w:rsidDel="00000000" w:rsidR="00000000" w:rsidRPr="00000000">
        <w:rPr>
          <w:rtl w:val="0"/>
        </w:rPr>
        <w:t xml:space="preserve">Le interazioni vengono registrate in un archivio consultabile dagli amministratori. Tale archivio permette di monitorare l’utilizzo del sistema, individuare domande ricorrenti, identificare eventuali difficoltà nei percorsi guidati e rilevare le aree nelle quali le risposte richiedono ulteriori miglioramenti. È inoltre in fase di progettazione un sistema di anonimizzazione che consenta di analizzare i contenuti delle conversazioni senza esporre i dati personali degli studenti. L’obiettivo è rendere possibile lo studio aggregato delle strategie maggiormente discusse, dei fattori percepiti come critici e dell’efficacia attribuita dagli utenti alle risposte del sistema. Questi dati potranno essere utilizzati per valutare l’impatto di Counselorbot, perfezionare i protocolli di interazione e studiare l’impiego del sistema su scala più ampia.</w:t>
      </w:r>
    </w:p>
    <w:p w:rsidR="00000000" w:rsidDel="00000000" w:rsidP="00000000" w:rsidRDefault="00000000" w:rsidRPr="00000000" w14:paraId="00000036">
      <w:pPr>
        <w:pStyle w:val="Heading3"/>
        <w:rPr/>
      </w:pPr>
      <w:bookmarkStart w:colFirst="0" w:colLast="0" w:name="_heading=h.2kfqwkdwbjl5" w:id="6"/>
      <w:bookmarkEnd w:id="6"/>
      <w:r w:rsidDel="00000000" w:rsidR="00000000" w:rsidRPr="00000000">
        <w:rPr>
          <w:b w:val="1"/>
          <w:bCs w:val="1"/>
          <w:rtl w:val="0"/>
          <w:color w:val="000000"/>
        </w:rPr>
        <w:t xml:space="preserve">2.5 Struttura del sistema</w:t>
      </w:r>
      <w:r w:rsidDel="00000000" w:rsidR="00000000" w:rsidRPr="00000000">
        <w:rPr>
          <w:rtl w:val="0"/>
          <w:color w:val="000000"/>
        </w:rPr>
      </w:r>
    </w:p>
    <w:p w:rsidR="00000000" w:rsidDel="00000000" w:rsidP="00000000" w:rsidRDefault="00000000" w:rsidRPr="00000000" w14:paraId="00000037">
      <w:pPr>
        <w:rPr/>
        <w:jc w:val="both"/>
      </w:pPr>
      <w:r w:rsidDel="00000000" w:rsidR="00000000" w:rsidRPr="00000000">
        <w:rPr>
          <w:rtl w:val="0"/>
        </w:rPr>
        <w:t xml:space="preserve">L’architettura applicativa di Counselorbot si articola in quattro componenti principali: frontend, backend, database e livello di astrazione dei modelli linguistici. Il frontend costituisce il livello con cui l’utente interagisce direttamente. Comprende il selettore degli strumenti, i moduli per l’inserimento dei risultati, il caricamento dei documenti, la visualizzazione grafica del profilo, l’interfaccia conversazionale, la navigazione tra i passi guidati e le funzioni di salvataggio delle strategie. La sua organizzazione modulare permette di associare a ciascuno strumento una specifica interfaccia, mantenendo al tempo stesso un’esperienza d’uso coerente all’interno della piattaforma. Il backend gestisce la logica applicativa e coordina le differenti componenti del sistema. Esso espone i servizi relativi alla chat, ai questionari, ai passi guidati, alla memoria, alla base di conoscenza e alle funzioni amministrative. Durante l’interazione, il backend individua il passo corrente, seleziona il meta-prompt corrispondente, recupera le informazioni pertinenti e costruisce il contesto da inviare al modello linguistico. Successivamente riceve la risposta generata, la restituisce all’interfaccia e aggiorna la memoria della sessione. Il database relazionale conserva le configurazioni necessarie al funzionamento della piattaforma. Al suo interno sono registrati gli strumenti disponibili, la struttura dei questionari, i fattori, gli item, le scale, le stanine, i prompt, i meta-prompt, i passi guidati, le strategie, le configurazioni dei modelli, la memoria delle sessioni e le interazioni archiviate. Counselorbot non si limita quindi a ricevere punteggi esterni, ma dispone di una rappresentazione strutturata dei questionari e può interpretarli in relazione alle loro caratteristiche. Il livello di astrazione dei modelli linguistici mette infine in comunicazione il backend con i diversi provider di intelligenza artificiale. Attraverso un’interfaccia comune, esso gestisce l’invio dei prompt, la ricezione delle risposte e i parametri di generazione. Questa componente rende Counselorbot indipendente dal singolo modello e consente di utilizzare sia modelli eseguiti localmente mediante Ollama sia eventuali servizi remoti. L’organizzazione complessiva separa dunque i contenuti educativi, la logica dei percorsi, l’interfaccia utente e il modello linguistico. Tale separazione permette di aggiornare ed estendere Counselorbot intervenendo sulle singole componenti, senza dover riprogettare l’intero sistema.</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pStyle w:val="Heading2"/>
        <w:rPr/>
      </w:pPr>
      <w:bookmarkStart w:colFirst="0" w:colLast="0" w:name="_heading=h.f46m1e4uqwl0" w:id="7"/>
      <w:bookmarkEnd w:id="7"/>
      <w:r w:rsidDel="00000000" w:rsidR="00000000" w:rsidRPr="00000000">
        <w:rPr>
          <w:rtl w:val="0"/>
          <w:color w:val="000000"/>
        </w:rPr>
        <w:t xml:space="preserve">3. Metodologia di valutazione</w:t>
      </w:r>
    </w:p>
    <w:p w:rsidR="00000000" w:rsidDel="00000000" w:rsidP="00000000" w:rsidRDefault="00000000" w:rsidRPr="00000000" w14:paraId="0000003A">
      <w:pPr>
        <w:pStyle w:val="Heading3"/>
        <w:rPr/>
      </w:pPr>
      <w:bookmarkStart w:colFirst="0" w:colLast="0" w:name="_heading=h.ec27g7eeejir" w:id="8"/>
      <w:bookmarkEnd w:id="8"/>
      <w:r w:rsidDel="00000000" w:rsidR="00000000" w:rsidRPr="00000000">
        <w:rPr>
          <w:rtl w:val="0"/>
          <w:color w:val="000000"/>
        </w:rPr>
        <w:t xml:space="preserve">3.1 Disegno della ricerca</w:t>
      </w:r>
    </w:p>
    <w:p w:rsidR="00000000" w:rsidDel="00000000" w:rsidP="00000000" w:rsidRDefault="00000000" w:rsidRPr="00000000" w14:paraId="0000003B">
      <w:pPr>
        <w:jc w:val="both"/>
        <w:rPr/>
      </w:pPr>
      <w:r w:rsidDel="00000000" w:rsidR="00000000" w:rsidRPr="00000000">
        <w:rPr>
          <w:rtl w:val="0"/>
        </w:rPr>
        <w:t xml:space="preserve">Per valutare il sistema descritto nel § 2 è stato adottato un disegno di ricerca articolato secondo il modello ADDIE (Branch, 2009). L’acronimo identifica cinque fasi iterative: </w:t>
      </w:r>
      <w:r w:rsidDel="00000000" w:rsidR="00000000" w:rsidRPr="00000000">
        <w:rPr>
          <w:i w:val="1"/>
          <w:iCs w:val="1"/>
          <w:rtl w:val="0"/>
        </w:rPr>
        <w:t xml:space="preserve">Analysis</w:t>
      </w:r>
      <w:r w:rsidDel="00000000" w:rsidR="00000000" w:rsidRPr="00000000">
        <w:rPr>
          <w:rtl w:val="0"/>
        </w:rPr>
        <w:t xml:space="preserve">, relativa all’analisi dei bisogni formativi e del contesto; </w:t>
      </w:r>
      <w:r w:rsidDel="00000000" w:rsidR="00000000" w:rsidRPr="00000000">
        <w:rPr>
          <w:i w:val="1"/>
          <w:iCs w:val="1"/>
          <w:rtl w:val="0"/>
        </w:rPr>
        <w:t xml:space="preserve">Design</w:t>
      </w:r>
      <w:r w:rsidDel="00000000" w:rsidR="00000000" w:rsidRPr="00000000">
        <w:rPr>
          <w:rtl w:val="0"/>
        </w:rPr>
        <w:t xml:space="preserve">, dedicata alla progettazione dell’architettura e delle modalità di interazione; </w:t>
      </w:r>
      <w:r w:rsidDel="00000000" w:rsidR="00000000" w:rsidRPr="00000000">
        <w:rPr>
          <w:i w:val="1"/>
          <w:iCs w:val="1"/>
          <w:rtl w:val="0"/>
        </w:rPr>
        <w:t xml:space="preserve">Development</w:t>
      </w:r>
      <w:r w:rsidDel="00000000" w:rsidR="00000000" w:rsidRPr="00000000">
        <w:rPr>
          <w:rtl w:val="0"/>
        </w:rPr>
        <w:t xml:space="preserve">, riguardante la realizzazione del sistema; </w:t>
      </w:r>
      <w:r w:rsidDel="00000000" w:rsidR="00000000" w:rsidRPr="00000000">
        <w:rPr>
          <w:i w:val="1"/>
          <w:iCs w:val="1"/>
          <w:rtl w:val="0"/>
        </w:rPr>
        <w:t xml:space="preserve">Implementation</w:t>
      </w:r>
      <w:r w:rsidDel="00000000" w:rsidR="00000000" w:rsidRPr="00000000">
        <w:rPr>
          <w:rtl w:val="0"/>
        </w:rPr>
        <w:t xml:space="preserve">, riferita al rilascio e all’utilizzo del sistema; ed </w:t>
      </w:r>
      <w:r w:rsidDel="00000000" w:rsidR="00000000" w:rsidRPr="00000000">
        <w:rPr>
          <w:i w:val="1"/>
          <w:iCs w:val="1"/>
          <w:rtl w:val="0"/>
        </w:rPr>
        <w:t xml:space="preserve">Evaluation</w:t>
      </w:r>
      <w:r w:rsidDel="00000000" w:rsidR="00000000" w:rsidRPr="00000000">
        <w:rPr>
          <w:rtl w:val="0"/>
        </w:rPr>
        <w:t xml:space="preserve">, finalizzata alla valutazione del suo funzionamento e dei risultati ottenuti. Il lavoro presentato in questo articolo si colloca nella fase di </w:t>
      </w:r>
      <w:r w:rsidDel="00000000" w:rsidR="00000000" w:rsidRPr="00000000">
        <w:rPr>
          <w:i w:val="1"/>
          <w:iCs w:val="1"/>
          <w:rtl w:val="0"/>
        </w:rPr>
        <w:t xml:space="preserve">Evaluation</w:t>
      </w:r>
      <w:r w:rsidDel="00000000" w:rsidR="00000000" w:rsidRPr="00000000">
        <w:rPr>
          <w:rtl w:val="0"/>
        </w:rPr>
        <w:t xml:space="preserve"> del secondo ciclo di sviluppo. Il primo ciclo ha portato alla realizzazione di Counselorbot-Chat (CB-C), una versione basata su un’architettura RAG (</w:t>
      </w:r>
      <w:r w:rsidDel="00000000" w:rsidR="00000000" w:rsidRPr="00000000">
        <w:rPr>
          <w:i w:val="1"/>
          <w:iCs w:val="1"/>
          <w:rtl w:val="0"/>
        </w:rPr>
        <w:t xml:space="preserve">Retrieval-Augmented Generation</w:t>
      </w:r>
      <w:r w:rsidDel="00000000" w:rsidR="00000000" w:rsidRPr="00000000">
        <w:rPr>
          <w:rtl w:val="0"/>
        </w:rPr>
        <w:t xml:space="preserve">) e su un </w:t>
      </w:r>
      <w:r w:rsidDel="00000000" w:rsidR="00000000" w:rsidRPr="00000000">
        <w:rPr>
          <w:i w:val="1"/>
          <w:iCs w:val="1"/>
          <w:rtl w:val="0"/>
        </w:rPr>
        <w:t xml:space="preserve">system prompt</w:t>
      </w:r>
      <w:r w:rsidDel="00000000" w:rsidR="00000000" w:rsidRPr="00000000">
        <w:rPr>
          <w:rtl w:val="0"/>
        </w:rPr>
        <w:t xml:space="preserve">. In tale configurazione, il modello linguistico rispondeva alle domande dello studente recuperando le informazioni pertinenti da documenti indicizzati in una memoria vettoriale, senza seguire una sequenza di interazione prestabilita. I risultati del primo ciclo, discussi nel § 4, hanno evidenziato alcune criticità, in particolare nella coerenza delle analisi prodotte e nelle modalità di inserimento manuale dei dati. Tali risultati hanno orientato un successivo processo di ottimizzazione e la progettazione di una nuova versione del sistema. Il secondo ciclo ha quindi condotto allo sviluppo di Step-by-Step Counselorbot (CB-SBS), che introduce una procedura guidata per passi, un grafo della conoscenza, l’indicizzazione semantica delle strategie e un’interfaccia ottimizzata per l’inserimento e la visualizzazione dei profili. La valutazione presentata in questo studio adotta un disegno comparativo </w:t>
      </w:r>
      <w:r w:rsidDel="00000000" w:rsidR="00000000" w:rsidRPr="00000000">
        <w:rPr>
          <w:i w:val="1"/>
          <w:iCs w:val="1"/>
          <w:rtl w:val="0"/>
        </w:rPr>
        <w:t xml:space="preserve">between-subjects</w:t>
      </w:r>
      <w:r w:rsidDel="00000000" w:rsidR="00000000" w:rsidRPr="00000000">
        <w:rPr>
          <w:rtl w:val="0"/>
        </w:rPr>
        <w:t xml:space="preserve"> tra le due versioni, CB-C e CB-SBS. Ciascun partecipante ha utilizzato una sola versione di Counselorbot e, al termine dell’interazione, ha compilato il questionario di gradimento descritto nel § 3.3.</w:t>
      </w:r>
    </w:p>
    <w:p w:rsidR="00000000" w:rsidDel="00000000" w:rsidP="00000000" w:rsidRDefault="00000000" w:rsidRPr="00000000" w14:paraId="0000003C">
      <w:pPr>
        <w:pStyle w:val="Heading3"/>
        <w:rPr/>
      </w:pPr>
      <w:bookmarkStart w:colFirst="0" w:colLast="0" w:name="_heading=h.etjznkqeeiur" w:id="9"/>
      <w:bookmarkEnd w:id="9"/>
      <w:r w:rsidDel="00000000" w:rsidR="00000000" w:rsidRPr="00000000">
        <w:rPr>
          <w:rtl w:val="0"/>
          <w:color w:val="000000"/>
        </w:rPr>
        <w:t xml:space="preserve">3.2 Partecipanti e procedura</w:t>
      </w:r>
    </w:p>
    <w:p w:rsidR="00000000" w:rsidDel="00000000" w:rsidP="00000000" w:rsidRDefault="00000000" w:rsidRPr="00000000" w14:paraId="0000003D">
      <w:pPr>
        <w:jc w:val="both"/>
        <w:rPr/>
      </w:pPr>
      <w:r w:rsidDel="00000000" w:rsidR="00000000" w:rsidRPr="00000000">
        <w:rPr>
          <w:rtl w:val="0"/>
        </w:rPr>
        <w:t xml:space="preserve">Al momento della stesura dell’articolo, la raccolta dei dati è ancora in corso. Hanno completato la procedura 34 partecipanti: 7 hanno utilizzato la versione CB-SBS, mentre 27 hanno interagito con la versione precedente, CB-C. Il campione presenta una composizione eterogenea sia per età, compresa tra 14 e 53 anni, sia per livello di istruzione, che varia dalla scuola secondaria di primo grado alla laurea magistrale. La procedura prevedeva inizialmente la compilazione del Questionario sulle Strategie di Apprendimento (QSA). Successivamente, i partecipanti visualizzavano il proprio profilo e avviavano un’interazione con il chatbot articolata nell’analisi dei singoli fattori del questionario. Al termine del percorso veniva somministrato il questionario di gradimento.</w:t>
      </w:r>
    </w:p>
    <w:p w:rsidR="00000000" w:rsidDel="00000000" w:rsidP="00000000" w:rsidRDefault="00000000" w:rsidRPr="00000000" w14:paraId="0000003E">
      <w:pPr>
        <w:pStyle w:val="Heading3"/>
        <w:rPr/>
      </w:pPr>
      <w:bookmarkStart w:colFirst="0" w:colLast="0" w:name="_heading=h.l4198tbeilyv" w:id="10"/>
      <w:bookmarkEnd w:id="10"/>
      <w:r w:rsidDel="00000000" w:rsidR="00000000" w:rsidRPr="00000000">
        <w:rPr>
          <w:rtl w:val="0"/>
          <w:color w:val="000000"/>
        </w:rPr>
        <w:t xml:space="preserve">3.3 Strumenti e metriche</w:t>
      </w:r>
    </w:p>
    <w:p w:rsidR="00000000" w:rsidDel="00000000" w:rsidP="00000000" w:rsidRDefault="00000000" w:rsidRPr="00000000" w14:paraId="0000003F">
      <w:pPr>
        <w:jc w:val="both"/>
        <w:rPr/>
      </w:pPr>
      <w:r w:rsidDel="00000000" w:rsidR="00000000" w:rsidRPr="00000000">
        <w:rPr>
          <w:rtl w:val="0"/>
        </w:rPr>
        <w:t xml:space="preserve">Il questionario di gradimento è composto da dieci item relativi ad altrettanti aspetti dell’esperienza di utilizzo: utilità percepita, pertinenza delle risposte, chiarezza delle spiegazioni, adeguatezza del livello di dettaglio, facilità d’uso dell’interfaccia, velocità di risposta, fiducia nelle informazioni ricevute, capacità del sistema di stimolare la riflessione su di sé, coinvolgimento complessivo e intenzione di riutilizzare il chatbot o di raccomandarlo ad altri. Per ciascun item viene calcolata la media aritmetica, separatamente per le due versioni del sistema. Gli item vengono analizzati singolarmente e non sono aggregati in sottoscale. Il questionario raccoglie inoltre informazioni sociodemografiche relative a età, sesso, titolo di studio, tipo di istituto frequentato e provenienza geografica. Nella versione estesa sono presenti anche due domande aperte, finalizzate a raccogliere osservazioni sull’esperienza e suggerimenti per il miglioramento del sistema. Le risposte vengono analizzate qualitativamente mediante una categorizzazione tematica.</w:t>
      </w:r>
    </w:p>
    <w:p w:rsidR="00000000" w:rsidDel="00000000" w:rsidP="00000000" w:rsidRDefault="00000000" w:rsidRPr="00000000" w14:paraId="00000040">
      <w:pPr>
        <w:pStyle w:val="Heading3"/>
        <w:rPr/>
      </w:pPr>
      <w:bookmarkStart w:colFirst="0" w:colLast="0" w:name="_heading=h.8f09cg8oezeb" w:id="11"/>
      <w:bookmarkEnd w:id="11"/>
      <w:r w:rsidDel="00000000" w:rsidR="00000000" w:rsidRPr="00000000">
        <w:rPr>
          <w:rtl w:val="0"/>
          <w:color w:val="000000"/>
        </w:rPr>
        <w:t xml:space="preserve">3.4 Selezione e valutazione del modello linguistico locale</w:t>
      </w:r>
    </w:p>
    <w:p w:rsidR="00000000" w:rsidDel="00000000" w:rsidP="00000000" w:rsidRDefault="00000000" w:rsidRPr="00000000" w14:paraId="00000041">
      <w:pPr>
        <w:rPr/>
        <w:jc w:val="both"/>
      </w:pPr>
      <w:r w:rsidDel="00000000" w:rsidR="00000000" w:rsidRPr="00000000">
        <w:rPr>
          <w:rtl w:val="0"/>
        </w:rPr>
        <w:t xml:space="preserve">La selezione del modello linguistico locale è stata articolata in due fasi. In una prima fase sono stati esaminati i risultati pubblicamente disponibili di alcuni benchmark utilizzati per confrontare le prestazioni dei modelli linguistici in compiti di conoscenza generale, ragionamento avanzato e generazione di codice. In particolare, sono stati considerati i risultati ottenuti in MMLU-Pro, GPQA Diamond e LiveCodeBench. L’analisi di tali benchmark ha permesso di individuare i modelli con le prestazioni complessivamente più elevate tra quelli compatibili con i requisiti dell’infrastruttura locale.</w:t>
      </w:r>
    </w:p>
    <w:p w:rsidR="00000000" w:rsidDel="00000000" w:rsidP="00000000" w:rsidRDefault="00000000" w:rsidRPr="00000000" w14:paraId="00000042">
      <w:pPr>
        <w:rPr/>
        <w:jc w:val="both"/>
      </w:pPr>
      <w:r w:rsidDel="00000000" w:rsidR="00000000" w:rsidRPr="00000000">
        <w:rPr>
          <w:rtl w:val="0"/>
        </w:rPr>
      </w:r>
    </w:p>
    <w:p w:rsidR="00000000" w:rsidDel="00000000" w:rsidP="00000000" w:rsidRDefault="00000000" w:rsidRPr="00000000" w14:paraId="00000043">
      <w:pPr>
        <w:rPr/>
        <w:jc w:val="both"/>
      </w:pPr>
      <w:r w:rsidDel="00000000" w:rsidR="00000000" w:rsidRPr="00000000">
        <w:rPr>
          <w:rtl w:val="0"/>
        </w:rPr>
      </w:r>
    </w:p>
    <w:tbl>
      <w:tblPr>
        <w:tblStyle w:val="Table1"/>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1600"/>
        <w:gridCol w:w="1600"/>
        <w:gridCol w:w="2000"/>
        <w:gridCol w:w="2000"/>
        <w:tblGridChange w:id="0">
          <w:tblGrid>
            <w:gridCol w:w="3000"/>
            <w:gridCol w:w="1600"/>
            <w:gridCol w:w="1600"/>
            <w:gridCol w:w="2000"/>
            <w:gridCol w:w="2000"/>
          </w:tblGrid>
        </w:tblGridChange>
      </w:tblGrid>
      <w:tr>
        <w:trPr>
          <w:cantSplit w:val="0"/>
          <w:tblHeader w:val="0"/>
        </w:trPr>
        <w:tc>
          <w:tcPr/>
          <w:p w:rsidR="00000000" w:rsidDel="00000000" w:rsidP="00000000" w:rsidRDefault="00000000" w:rsidRPr="00000000" w14:paraId="00000044">
            <w:pPr>
              <w:rPr/>
              <w:jc w:val="both"/>
            </w:pPr>
            <w:r w:rsidDel="00000000" w:rsidR="00000000" w:rsidRPr="00000000">
              <w:rPr>
                <w:b w:val="1"/>
                <w:bCs w:val="1"/>
                <w:rtl w:val="0"/>
              </w:rPr>
              <w:t xml:space="preserve">Modello</w:t>
            </w:r>
            <w:r w:rsidDel="00000000" w:rsidR="00000000" w:rsidRPr="00000000">
              <w:rPr>
                <w:rtl w:val="0"/>
              </w:rPr>
            </w:r>
          </w:p>
        </w:tc>
        <w:tc>
          <w:tcPr/>
          <w:p w:rsidR="00000000" w:rsidDel="00000000" w:rsidP="00000000" w:rsidRDefault="00000000" w:rsidRPr="00000000" w14:paraId="00000045">
            <w:pPr>
              <w:rPr/>
              <w:jc w:val="both"/>
            </w:pPr>
            <w:r w:rsidDel="00000000" w:rsidR="00000000" w:rsidRPr="00000000">
              <w:rPr>
                <w:b w:val="1"/>
                <w:bCs w:val="1"/>
                <w:rtl w:val="0"/>
              </w:rPr>
              <w:t xml:space="preserve">Parametri</w:t>
            </w:r>
            <w:r w:rsidDel="00000000" w:rsidR="00000000" w:rsidRPr="00000000">
              <w:rPr>
                <w:rtl w:val="0"/>
              </w:rPr>
            </w:r>
          </w:p>
        </w:tc>
        <w:tc>
          <w:tcPr/>
          <w:p w:rsidR="00000000" w:rsidDel="00000000" w:rsidP="00000000" w:rsidRDefault="00000000" w:rsidRPr="00000000" w14:paraId="00000046">
            <w:pPr>
              <w:rPr/>
              <w:jc w:val="both"/>
            </w:pPr>
            <w:r w:rsidDel="00000000" w:rsidR="00000000" w:rsidRPr="00000000">
              <w:rPr>
                <w:b w:val="1"/>
                <w:bCs w:val="1"/>
                <w:rtl w:val="0"/>
              </w:rPr>
              <w:t xml:space="preserve">MMLU-Pro</w:t>
            </w:r>
            <w:r w:rsidDel="00000000" w:rsidR="00000000" w:rsidRPr="00000000">
              <w:rPr>
                <w:rtl w:val="0"/>
              </w:rPr>
            </w:r>
          </w:p>
        </w:tc>
        <w:tc>
          <w:tcPr/>
          <w:p w:rsidR="00000000" w:rsidDel="00000000" w:rsidP="00000000" w:rsidRDefault="00000000" w:rsidRPr="00000000" w14:paraId="00000047">
            <w:pPr>
              <w:rPr/>
              <w:jc w:val="both"/>
            </w:pPr>
            <w:r w:rsidDel="00000000" w:rsidR="00000000" w:rsidRPr="00000000">
              <w:rPr>
                <w:b w:val="1"/>
                <w:bCs w:val="1"/>
                <w:rtl w:val="0"/>
              </w:rPr>
              <w:t xml:space="preserve">GPQA Diamond</w:t>
            </w:r>
            <w:r w:rsidDel="00000000" w:rsidR="00000000" w:rsidRPr="00000000">
              <w:rPr>
                <w:rtl w:val="0"/>
              </w:rPr>
            </w:r>
          </w:p>
        </w:tc>
        <w:tc>
          <w:tcPr/>
          <w:p w:rsidR="00000000" w:rsidDel="00000000" w:rsidP="00000000" w:rsidRDefault="00000000" w:rsidRPr="00000000" w14:paraId="00000048">
            <w:pPr>
              <w:rPr/>
              <w:jc w:val="both"/>
            </w:pPr>
            <w:r w:rsidDel="00000000" w:rsidR="00000000" w:rsidRPr="00000000">
              <w:rPr>
                <w:b w:val="1"/>
                <w:bCs w:val="1"/>
                <w:rtl w:val="0"/>
              </w:rPr>
              <w:t xml:space="preserve">LiveCodeBench</w:t>
            </w:r>
            <w:r w:rsidDel="00000000" w:rsidR="00000000" w:rsidRPr="00000000">
              <w:rPr>
                <w:rtl w:val="0"/>
              </w:rPr>
            </w:r>
          </w:p>
        </w:tc>
      </w:tr>
      <w:tr>
        <w:trPr>
          <w:cantSplit w:val="0"/>
          <w:tblHeader w:val="0"/>
        </w:trPr>
        <w:tc>
          <w:tcPr/>
          <w:p w:rsidR="00000000" w:rsidDel="00000000" w:rsidP="00000000" w:rsidRDefault="00000000" w:rsidRPr="00000000" w14:paraId="00000049">
            <w:pPr>
              <w:rPr/>
              <w:jc w:val="both"/>
            </w:pPr>
            <w:r w:rsidDel="00000000" w:rsidR="00000000" w:rsidRPr="00000000">
              <w:rPr>
                <w:rtl w:val="0"/>
              </w:rPr>
              <w:t xml:space="preserve">Gemma 4 4B</w:t>
            </w:r>
          </w:p>
        </w:tc>
        <w:tc>
          <w:tcPr/>
          <w:p w:rsidR="00000000" w:rsidDel="00000000" w:rsidP="00000000" w:rsidRDefault="00000000" w:rsidRPr="00000000" w14:paraId="0000004A">
            <w:pPr>
              <w:rPr/>
              <w:jc w:val="both"/>
            </w:pPr>
            <w:r w:rsidDel="00000000" w:rsidR="00000000" w:rsidRPr="00000000">
              <w:rPr>
                <w:rtl w:val="0"/>
              </w:rPr>
              <w:t xml:space="preserve">4B</w:t>
            </w:r>
          </w:p>
        </w:tc>
        <w:tc>
          <w:tcPr/>
          <w:p w:rsidR="00000000" w:rsidDel="00000000" w:rsidP="00000000" w:rsidRDefault="00000000" w:rsidRPr="00000000" w14:paraId="0000004B">
            <w:pPr>
              <w:rPr/>
              <w:jc w:val="both"/>
            </w:pPr>
            <w:r w:rsidDel="00000000" w:rsidR="00000000" w:rsidRPr="00000000">
              <w:rPr>
                <w:rtl w:val="0"/>
              </w:rPr>
              <w:t xml:space="preserve">69,4%</w:t>
            </w:r>
          </w:p>
        </w:tc>
        <w:tc>
          <w:tcPr/>
          <w:p w:rsidR="00000000" w:rsidDel="00000000" w:rsidP="00000000" w:rsidRDefault="00000000" w:rsidRPr="00000000" w14:paraId="0000004C">
            <w:pPr>
              <w:rPr/>
              <w:jc w:val="both"/>
            </w:pPr>
            <w:r w:rsidDel="00000000" w:rsidR="00000000" w:rsidRPr="00000000">
              <w:rPr>
                <w:rtl w:val="0"/>
              </w:rPr>
              <w:t xml:space="preserve">58,6%</w:t>
            </w:r>
          </w:p>
        </w:tc>
        <w:tc>
          <w:tcPr/>
          <w:p w:rsidR="00000000" w:rsidDel="00000000" w:rsidP="00000000" w:rsidRDefault="00000000" w:rsidRPr="00000000" w14:paraId="0000004D">
            <w:pPr>
              <w:rPr/>
              <w:jc w:val="both"/>
            </w:pPr>
            <w:r w:rsidDel="00000000" w:rsidR="00000000" w:rsidRPr="00000000">
              <w:rPr>
                <w:rtl w:val="0"/>
              </w:rPr>
              <w:t xml:space="preserve">52,0%</w:t>
            </w:r>
          </w:p>
        </w:tc>
      </w:tr>
      <w:tr>
        <w:trPr>
          <w:cantSplit w:val="0"/>
          <w:tblHeader w:val="0"/>
        </w:trPr>
        <w:tc>
          <w:tcPr/>
          <w:p w:rsidR="00000000" w:rsidDel="00000000" w:rsidP="00000000" w:rsidRDefault="00000000" w:rsidRPr="00000000" w14:paraId="0000004E">
            <w:pPr>
              <w:rPr/>
              <w:jc w:val="both"/>
            </w:pPr>
            <w:r w:rsidDel="00000000" w:rsidR="00000000" w:rsidRPr="00000000">
              <w:rPr>
                <w:rtl w:val="0"/>
              </w:rPr>
              <w:t xml:space="preserve">Gemma 4 2B</w:t>
            </w:r>
          </w:p>
        </w:tc>
        <w:tc>
          <w:tcPr/>
          <w:p w:rsidR="00000000" w:rsidDel="00000000" w:rsidP="00000000" w:rsidRDefault="00000000" w:rsidRPr="00000000" w14:paraId="0000004F">
            <w:pPr>
              <w:rPr/>
              <w:jc w:val="both"/>
            </w:pPr>
            <w:r w:rsidDel="00000000" w:rsidR="00000000" w:rsidRPr="00000000">
              <w:rPr>
                <w:rtl w:val="0"/>
              </w:rPr>
              <w:t xml:space="preserve">2B</w:t>
            </w:r>
          </w:p>
        </w:tc>
        <w:tc>
          <w:tcPr/>
          <w:p w:rsidR="00000000" w:rsidDel="00000000" w:rsidP="00000000" w:rsidRDefault="00000000" w:rsidRPr="00000000" w14:paraId="00000050">
            <w:pPr>
              <w:rPr/>
              <w:jc w:val="both"/>
            </w:pPr>
            <w:r w:rsidDel="00000000" w:rsidR="00000000" w:rsidRPr="00000000">
              <w:rPr>
                <w:rtl w:val="0"/>
              </w:rPr>
              <w:t xml:space="preserve">60,0%</w:t>
            </w:r>
          </w:p>
        </w:tc>
        <w:tc>
          <w:tcPr/>
          <w:p w:rsidR="00000000" w:rsidDel="00000000" w:rsidP="00000000" w:rsidRDefault="00000000" w:rsidRPr="00000000" w14:paraId="00000051">
            <w:pPr>
              <w:rPr/>
              <w:jc w:val="both"/>
            </w:pPr>
            <w:r w:rsidDel="00000000" w:rsidR="00000000" w:rsidRPr="00000000">
              <w:rPr>
                <w:rtl w:val="0"/>
              </w:rPr>
              <w:t xml:space="preserve">43,4%</w:t>
            </w:r>
          </w:p>
        </w:tc>
        <w:tc>
          <w:tcPr/>
          <w:p w:rsidR="00000000" w:rsidDel="00000000" w:rsidP="00000000" w:rsidRDefault="00000000" w:rsidRPr="00000000" w14:paraId="00000052">
            <w:pPr>
              <w:rPr/>
              <w:jc w:val="both"/>
            </w:pPr>
            <w:r w:rsidDel="00000000" w:rsidR="00000000" w:rsidRPr="00000000">
              <w:rPr>
                <w:rtl w:val="0"/>
              </w:rPr>
              <w:t xml:space="preserve">44,0%</w:t>
            </w:r>
          </w:p>
        </w:tc>
      </w:tr>
      <w:tr>
        <w:trPr>
          <w:cantSplit w:val="0"/>
          <w:tblHeader w:val="0"/>
        </w:trPr>
        <w:tc>
          <w:tcPr/>
          <w:p w:rsidR="00000000" w:rsidDel="00000000" w:rsidP="00000000" w:rsidRDefault="00000000" w:rsidRPr="00000000" w14:paraId="00000053">
            <w:pPr>
              <w:rPr/>
              <w:jc w:val="both"/>
            </w:pPr>
            <w:r w:rsidDel="00000000" w:rsidR="00000000" w:rsidRPr="00000000">
              <w:rPr>
                <w:rtl w:val="0"/>
              </w:rPr>
              <w:t xml:space="preserve">Gemma 4 12B</w:t>
            </w:r>
          </w:p>
        </w:tc>
        <w:tc>
          <w:tcPr/>
          <w:p w:rsidR="00000000" w:rsidDel="00000000" w:rsidP="00000000" w:rsidRDefault="00000000" w:rsidRPr="00000000" w14:paraId="00000054">
            <w:pPr>
              <w:rPr/>
              <w:jc w:val="both"/>
            </w:pPr>
            <w:r w:rsidDel="00000000" w:rsidR="00000000" w:rsidRPr="00000000">
              <w:rPr>
                <w:rtl w:val="0"/>
              </w:rPr>
              <w:t xml:space="preserve">12B</w:t>
            </w:r>
          </w:p>
        </w:tc>
        <w:tc>
          <w:tcPr/>
          <w:p w:rsidR="00000000" w:rsidDel="00000000" w:rsidP="00000000" w:rsidRDefault="00000000" w:rsidRPr="00000000" w14:paraId="00000055">
            <w:pPr>
              <w:rPr/>
              <w:jc w:val="both"/>
            </w:pPr>
            <w:r w:rsidDel="00000000" w:rsidR="00000000" w:rsidRPr="00000000">
              <w:rPr>
                <w:rtl w:val="0"/>
              </w:rPr>
              <w:t xml:space="preserve">77,2%</w:t>
            </w:r>
          </w:p>
        </w:tc>
        <w:tc>
          <w:tcPr/>
          <w:p w:rsidR="00000000" w:rsidDel="00000000" w:rsidP="00000000" w:rsidRDefault="00000000" w:rsidRPr="00000000" w14:paraId="00000056">
            <w:pPr>
              <w:rPr/>
              <w:jc w:val="both"/>
            </w:pPr>
            <w:r w:rsidDel="00000000" w:rsidR="00000000" w:rsidRPr="00000000">
              <w:rPr>
                <w:rtl w:val="0"/>
              </w:rPr>
              <w:t xml:space="preserve">78,8%</w:t>
            </w:r>
          </w:p>
        </w:tc>
        <w:tc>
          <w:tcPr/>
          <w:p w:rsidR="00000000" w:rsidDel="00000000" w:rsidP="00000000" w:rsidRDefault="00000000" w:rsidRPr="00000000" w14:paraId="00000057">
            <w:pPr>
              <w:rPr/>
              <w:jc w:val="both"/>
            </w:pPr>
            <w:r w:rsidDel="00000000" w:rsidR="00000000" w:rsidRPr="00000000">
              <w:rPr>
                <w:rtl w:val="0"/>
              </w:rPr>
              <w:t xml:space="preserve">72,0%</w:t>
            </w:r>
          </w:p>
        </w:tc>
      </w:tr>
      <w:tr>
        <w:trPr>
          <w:cantSplit w:val="0"/>
          <w:tblHeader w:val="0"/>
        </w:trPr>
        <w:tc>
          <w:tcPr/>
          <w:p w:rsidR="00000000" w:rsidDel="00000000" w:rsidP="00000000" w:rsidRDefault="00000000" w:rsidRPr="00000000" w14:paraId="00000058">
            <w:pPr>
              <w:rPr/>
              <w:jc w:val="both"/>
            </w:pPr>
            <w:r w:rsidDel="00000000" w:rsidR="00000000" w:rsidRPr="00000000">
              <w:rPr>
                <w:rtl w:val="0"/>
              </w:rPr>
              <w:t xml:space="preserve">DeepSeek-R1-Distill 8B</w:t>
            </w:r>
          </w:p>
        </w:tc>
        <w:tc>
          <w:tcPr/>
          <w:p w:rsidR="00000000" w:rsidDel="00000000" w:rsidP="00000000" w:rsidRDefault="00000000" w:rsidRPr="00000000" w14:paraId="00000059">
            <w:pPr>
              <w:rPr/>
              <w:jc w:val="both"/>
            </w:pPr>
            <w:r w:rsidDel="00000000" w:rsidR="00000000" w:rsidRPr="00000000">
              <w:rPr>
                <w:rtl w:val="0"/>
              </w:rPr>
              <w:t xml:space="preserve">8B</w:t>
            </w:r>
          </w:p>
        </w:tc>
        <w:tc>
          <w:tcPr/>
          <w:p w:rsidR="00000000" w:rsidDel="00000000" w:rsidP="00000000" w:rsidRDefault="00000000" w:rsidRPr="00000000" w14:paraId="0000005A">
            <w:pPr>
              <w:rPr/>
              <w:jc w:val="both"/>
            </w:pPr>
            <w:r w:rsidDel="00000000" w:rsidR="00000000" w:rsidRPr="00000000">
              <w:rPr>
                <w:rtl w:val="0"/>
              </w:rPr>
              <w:t xml:space="preserve">—</w:t>
            </w:r>
          </w:p>
        </w:tc>
        <w:tc>
          <w:tcPr/>
          <w:p w:rsidR="00000000" w:rsidDel="00000000" w:rsidP="00000000" w:rsidRDefault="00000000" w:rsidRPr="00000000" w14:paraId="0000005B">
            <w:pPr>
              <w:rPr/>
              <w:jc w:val="both"/>
            </w:pPr>
            <w:r w:rsidDel="00000000" w:rsidR="00000000" w:rsidRPr="00000000">
              <w:rPr>
                <w:rtl w:val="0"/>
              </w:rPr>
              <w:t xml:space="preserve">49,0%</w:t>
            </w:r>
          </w:p>
        </w:tc>
        <w:tc>
          <w:tcPr/>
          <w:p w:rsidR="00000000" w:rsidDel="00000000" w:rsidP="00000000" w:rsidRDefault="00000000" w:rsidRPr="00000000" w14:paraId="0000005C">
            <w:pPr>
              <w:rPr/>
              <w:jc w:val="both"/>
            </w:pPr>
            <w:r w:rsidDel="00000000" w:rsidR="00000000" w:rsidRPr="00000000">
              <w:rPr>
                <w:rtl w:val="0"/>
              </w:rPr>
              <w:t xml:space="preserve">39,6%</w:t>
            </w:r>
          </w:p>
        </w:tc>
      </w:tr>
      <w:tr>
        <w:trPr>
          <w:cantSplit w:val="0"/>
          <w:tblHeader w:val="0"/>
        </w:trPr>
        <w:tc>
          <w:tcPr/>
          <w:p w:rsidR="00000000" w:rsidDel="00000000" w:rsidP="00000000" w:rsidRDefault="00000000" w:rsidRPr="00000000" w14:paraId="0000005D">
            <w:pPr>
              <w:rPr/>
              <w:jc w:val="both"/>
            </w:pPr>
            <w:r w:rsidDel="00000000" w:rsidR="00000000" w:rsidRPr="00000000">
              <w:rPr>
                <w:rtl w:val="0"/>
              </w:rPr>
              <w:t xml:space="preserve">Qwen 3.5 9B</w:t>
            </w:r>
          </w:p>
        </w:tc>
        <w:tc>
          <w:tcPr/>
          <w:p w:rsidR="00000000" w:rsidDel="00000000" w:rsidP="00000000" w:rsidRDefault="00000000" w:rsidRPr="00000000" w14:paraId="0000005E">
            <w:pPr>
              <w:rPr/>
              <w:jc w:val="both"/>
            </w:pPr>
            <w:r w:rsidDel="00000000" w:rsidR="00000000" w:rsidRPr="00000000">
              <w:rPr>
                <w:rtl w:val="0"/>
              </w:rPr>
              <w:t xml:space="preserve">9B</w:t>
            </w:r>
          </w:p>
        </w:tc>
        <w:tc>
          <w:tcPr/>
          <w:p w:rsidR="00000000" w:rsidDel="00000000" w:rsidP="00000000" w:rsidRDefault="00000000" w:rsidRPr="00000000" w14:paraId="0000005F">
            <w:pPr>
              <w:rPr/>
              <w:jc w:val="both"/>
            </w:pPr>
            <w:r w:rsidDel="00000000" w:rsidR="00000000" w:rsidRPr="00000000">
              <w:rPr>
                <w:rtl w:val="0"/>
              </w:rPr>
              <w:t xml:space="preserve">82,5%</w:t>
            </w:r>
          </w:p>
        </w:tc>
        <w:tc>
          <w:tcPr/>
          <w:p w:rsidR="00000000" w:rsidDel="00000000" w:rsidP="00000000" w:rsidRDefault="00000000" w:rsidRPr="00000000" w14:paraId="00000060">
            <w:pPr>
              <w:rPr/>
              <w:jc w:val="both"/>
            </w:pPr>
            <w:r w:rsidDel="00000000" w:rsidR="00000000" w:rsidRPr="00000000">
              <w:rPr>
                <w:rtl w:val="0"/>
              </w:rPr>
              <w:t xml:space="preserve">81,7%</w:t>
            </w:r>
          </w:p>
        </w:tc>
        <w:tc>
          <w:tcPr/>
          <w:p w:rsidR="00000000" w:rsidDel="00000000" w:rsidP="00000000" w:rsidRDefault="00000000" w:rsidRPr="00000000" w14:paraId="00000061">
            <w:pPr>
              <w:rPr/>
              <w:jc w:val="both"/>
            </w:pPr>
            <w:r w:rsidDel="00000000" w:rsidR="00000000" w:rsidRPr="00000000">
              <w:rPr>
                <w:rtl w:val="0"/>
              </w:rPr>
              <w:t xml:space="preserve">65,6%</w:t>
            </w:r>
          </w:p>
        </w:tc>
      </w:tr>
    </w:tbl>
    <w:p w:rsidR="00000000" w:rsidDel="00000000" w:rsidP="00000000" w:rsidRDefault="00000000" w:rsidRPr="00000000" w14:paraId="00000062">
      <w:pPr>
        <w:rPr/>
        <w:jc w:val="both"/>
      </w:pPr>
      <w:r w:rsidDel="00000000" w:rsidR="00000000" w:rsidRPr="00000000">
        <w:rPr>
          <w:rtl w:val="0"/>
        </w:rPr>
        <w:t xml:space="preserve">La scelta dei modelli candidati non è stata tuttavia determinata esclusivamente dai punteggi ottenuti nei benchmark. Sono stati considerati anche il numero di parametri e la compatibilità con l’hardware disponibile, privilegiando modelli con meno di 15 miliardi di parametri, in grado di garantire un equilibrio tra prestazioni, velocità di esecuzione e sostenibilità computazionale.</w:t>
      </w:r>
    </w:p>
    <w:p w:rsidR="00000000" w:rsidDel="00000000" w:rsidP="00000000" w:rsidRDefault="00000000" w:rsidRPr="00000000" w14:paraId="00000063">
      <w:pPr>
        <w:rPr/>
        <w:jc w:val="both"/>
      </w:pPr>
      <w:r w:rsidDel="00000000" w:rsidR="00000000" w:rsidRPr="00000000">
        <w:rPr>
          <w:rtl w:val="0"/>
        </w:rPr>
        <w:t xml:space="preserve">Nella seconda fase, i modelli selezionati sulla base dei benchmark sono stati installati e testati direttamente sulla macchina locale descritta nel § 2.3. La valutazione è stata condotta sull’intero flusso degli undici passi previsti per l’analisi del QSA.</w:t>
      </w:r>
    </w:p>
    <w:p w:rsidR="00000000" w:rsidDel="00000000" w:rsidP="00000000" w:rsidRDefault="00000000" w:rsidRPr="00000000" w14:paraId="00000064">
      <w:pPr>
        <w:rPr/>
        <w:jc w:val="both"/>
      </w:pPr>
      <w:r w:rsidDel="00000000" w:rsidR="00000000" w:rsidRPr="00000000">
        <w:rPr>
          <w:rtl w:val="0"/>
        </w:rPr>
        <w:t xml:space="preserve">Per ciascun modello sono state esaminate la capacità di rispettare la sequenza prestabilita, la copertura di tutti i fattori del questionario, la coerenza delle interpretazioni formulate e la pertinenza pedagogica delle strategie proposte. Sono stati inoltre rilevati due indicatori tecnici: la velocità media di generazione, espressa in token al secondo, si è proceduto ad analizzare il Time to First Token (TTFT), corrispondente al tempo intercorrente tra l’invio della richiesta e la produzione del primo token della risposta.</w:t>
      </w:r>
    </w:p>
    <w:bookmarkStart w:colFirst="0" w:colLast="0" w:name="bookmark=id.66971ngvcmuu" w:id="12"/>
    <w:bookmarkEnd w:id="12"/>
    <w:p w:rsidR="00000000" w:rsidDel="00000000" w:rsidP="00000000" w:rsidRDefault="00000000" w:rsidRPr="00000000" w14:paraId="00000065">
      <w:pPr>
        <w:pStyle w:val="Heading2"/>
        <w:rPr/>
      </w:pPr>
      <w:r w:rsidDel="00000000" w:rsidR="00000000" w:rsidRPr="00000000">
        <w:rPr>
          <w:color w:val="000000"/>
          <w:rtl w:val="0"/>
        </w:rPr>
        <w:t xml:space="preserve">4. Risultati</w:t>
      </w:r>
      <w:r w:rsidDel="00000000" w:rsidR="00000000" w:rsidRPr="00000000">
        <w:rPr>
          <w:rtl w:val="0"/>
          <w:color w:val="000000"/>
        </w:rPr>
      </w:r>
    </w:p>
    <w:bookmarkStart w:colFirst="0" w:colLast="0" w:name="bookmark=id.fyd4xkju6us9" w:id="13"/>
    <w:bookmarkEnd w:id="13"/>
    <w:p w:rsidR="00000000" w:rsidDel="00000000" w:rsidP="00000000" w:rsidRDefault="00000000" w:rsidRPr="00000000" w14:paraId="00000066">
      <w:pPr>
        <w:pStyle w:val="Heading3"/>
        <w:rPr/>
      </w:pPr>
      <w:r w:rsidDel="00000000" w:rsidR="00000000" w:rsidRPr="00000000">
        <w:rPr>
          <w:color w:val="000000"/>
          <w:rtl w:val="0"/>
        </w:rPr>
        <w:t xml:space="preserve">4.1 Esperienza utente</w:t>
      </w:r>
      <w:r w:rsidDel="00000000" w:rsidR="00000000" w:rsidRPr="00000000">
        <w:rPr>
          <w:rtl w:val="0"/>
          <w:color w:val="000000"/>
        </w:rPr>
      </w:r>
    </w:p>
    <w:p w:rsidR="00000000" w:rsidDel="00000000" w:rsidP="00000000" w:rsidRDefault="00000000" w:rsidRPr="00000000" w14:paraId="00000067">
      <w:pPr>
        <w:jc w:val="both"/>
        <w:rPr/>
      </w:pPr>
      <w:r w:rsidDel="00000000" w:rsidR="00000000" w:rsidRPr="00000000">
        <w:rPr>
          <w:rtl w:val="0"/>
        </w:rPr>
        <w:t xml:space="preserve">La versione CB-SBS presenta valutazioni tendenzialmente superiori alla precedente in 9 dimensioni su 10. Dei 27 partecipanti della versione CB-C, 16 hanno fornito valutazioni numeriche e 11 solo commenti aperti; per CB-SBS è stato escluso un record di test, portando il numeratore a 6. La tabella seguente confronta le medie delle due versioni.</w:t>
      </w:r>
    </w:p>
    <w:tbl>
      <w:tblPr>
        <w:tblStyle w:val="Table2"/>
        <w:tblW w:w="7920.0" w:type="dxa"/>
        <w:jc w:val="left"/>
        <w:tblInd w:w="-115.0" w:type="dxa"/>
        <w:tblLayout w:type="fixed"/>
        <w:tblLook w:val="0000"/>
      </w:tblPr>
      <w:tblGrid>
        <w:gridCol w:w="4180"/>
        <w:gridCol w:w="1540"/>
        <w:gridCol w:w="1430"/>
        <w:gridCol w:w="770"/>
        <w:tblGridChange w:id="0">
          <w:tblGrid>
            <w:gridCol w:w="4180"/>
            <w:gridCol w:w="1540"/>
            <w:gridCol w:w="1430"/>
            <w:gridCol w:w="770"/>
          </w:tblGrid>
        </w:tblGridChange>
      </w:tblGrid>
      <w:tr>
        <w:trPr>
          <w:cantSplit w:val="0"/>
          <w:tblHeader w:val="1"/>
        </w:trPr>
        <w:tc>
          <w:tcPr/>
          <w:p w:rsidR="00000000" w:rsidDel="00000000" w:rsidP="00000000" w:rsidRDefault="00000000" w:rsidRPr="00000000" w14:paraId="00000068">
            <w:pPr>
              <w:jc w:val="both"/>
              <w:rPr/>
            </w:pPr>
            <w:r w:rsidDel="00000000" w:rsidR="00000000" w:rsidRPr="00000000">
              <w:rPr>
                <w:rtl w:val="0"/>
              </w:rPr>
              <w:t xml:space="preserve">Dimensione</w:t>
            </w:r>
          </w:p>
        </w:tc>
        <w:tc>
          <w:tcPr/>
          <w:p w:rsidR="00000000" w:rsidDel="00000000" w:rsidP="00000000" w:rsidRDefault="00000000" w:rsidRPr="00000000" w14:paraId="00000069">
            <w:pPr>
              <w:jc w:val="both"/>
              <w:rPr/>
            </w:pPr>
            <w:r w:rsidDel="00000000" w:rsidR="00000000" w:rsidRPr="00000000">
              <w:rPr>
                <w:rtl w:val="0"/>
              </w:rPr>
              <w:t xml:space="preserve">CB-SBS (n=6)</w:t>
            </w:r>
          </w:p>
        </w:tc>
        <w:tc>
          <w:tcPr/>
          <w:p w:rsidR="00000000" w:rsidDel="00000000" w:rsidP="00000000" w:rsidRDefault="00000000" w:rsidRPr="00000000" w14:paraId="0000006A">
            <w:pPr>
              <w:jc w:val="both"/>
              <w:rPr/>
            </w:pPr>
            <w:r w:rsidDel="00000000" w:rsidR="00000000" w:rsidRPr="00000000">
              <w:rPr>
                <w:rtl w:val="0"/>
              </w:rPr>
              <w:t xml:space="preserve">CB-C (n=16)</w:t>
            </w:r>
          </w:p>
        </w:tc>
        <w:tc>
          <w:tcPr/>
          <w:p w:rsidR="00000000" w:rsidDel="00000000" w:rsidP="00000000" w:rsidRDefault="00000000" w:rsidRPr="00000000" w14:paraId="0000006B">
            <w:pPr>
              <w:jc w:val="both"/>
              <w:rPr/>
            </w:pPr>
            <w:r w:rsidDel="00000000" w:rsidR="00000000" w:rsidRPr="00000000">
              <w:rPr>
                <w:rtl w:val="0"/>
              </w:rPr>
              <w:t xml:space="preserve">Δ</w:t>
            </w:r>
          </w:p>
        </w:tc>
      </w:tr>
      <w:tr>
        <w:trPr>
          <w:cantSplit w:val="0"/>
          <w:tblHeader w:val="0"/>
        </w:trPr>
        <w:tc>
          <w:tcPr/>
          <w:p w:rsidR="00000000" w:rsidDel="00000000" w:rsidP="00000000" w:rsidRDefault="00000000" w:rsidRPr="00000000" w14:paraId="0000006C">
            <w:pPr>
              <w:jc w:val="both"/>
              <w:rPr/>
            </w:pPr>
            <w:r w:rsidDel="00000000" w:rsidR="00000000" w:rsidRPr="00000000">
              <w:rPr>
                <w:rtl w:val="0"/>
              </w:rPr>
              <w:t xml:space="preserve">Facilità d’uso</w:t>
            </w:r>
          </w:p>
        </w:tc>
        <w:tc>
          <w:tcPr/>
          <w:p w:rsidR="00000000" w:rsidDel="00000000" w:rsidP="00000000" w:rsidRDefault="00000000" w:rsidRPr="00000000" w14:paraId="0000006D">
            <w:pPr>
              <w:jc w:val="both"/>
              <w:rPr/>
            </w:pPr>
            <w:r w:rsidDel="00000000" w:rsidR="00000000" w:rsidRPr="00000000">
              <w:rPr>
                <w:rtl w:val="0"/>
              </w:rPr>
              <w:t xml:space="preserve">4,17</w:t>
            </w:r>
          </w:p>
        </w:tc>
        <w:tc>
          <w:tcPr/>
          <w:p w:rsidR="00000000" w:rsidDel="00000000" w:rsidP="00000000" w:rsidRDefault="00000000" w:rsidRPr="00000000" w14:paraId="0000006E">
            <w:pPr>
              <w:jc w:val="both"/>
              <w:rPr/>
            </w:pPr>
            <w:r w:rsidDel="00000000" w:rsidR="00000000" w:rsidRPr="00000000">
              <w:rPr>
                <w:rtl w:val="0"/>
              </w:rPr>
              <w:t xml:space="preserve">3,38</w:t>
            </w:r>
          </w:p>
        </w:tc>
        <w:tc>
          <w:tcPr/>
          <w:p w:rsidR="00000000" w:rsidDel="00000000" w:rsidP="00000000" w:rsidRDefault="00000000" w:rsidRPr="00000000" w14:paraId="0000006F">
            <w:pPr>
              <w:jc w:val="both"/>
              <w:rPr/>
            </w:pPr>
            <w:r w:rsidDel="00000000" w:rsidR="00000000" w:rsidRPr="00000000">
              <w:rPr>
                <w:rtl w:val="0"/>
              </w:rPr>
              <w:t xml:space="preserve">+0,79</w:t>
            </w:r>
          </w:p>
        </w:tc>
      </w:tr>
      <w:tr>
        <w:trPr>
          <w:cantSplit w:val="0"/>
          <w:tblHeader w:val="0"/>
        </w:trPr>
        <w:tc>
          <w:tcPr/>
          <w:p w:rsidR="00000000" w:rsidDel="00000000" w:rsidP="00000000" w:rsidRDefault="00000000" w:rsidRPr="00000000" w14:paraId="00000070">
            <w:pPr>
              <w:jc w:val="both"/>
              <w:rPr/>
            </w:pPr>
            <w:r w:rsidDel="00000000" w:rsidR="00000000" w:rsidRPr="00000000">
              <w:rPr>
                <w:rtl w:val="0"/>
              </w:rPr>
              <w:t xml:space="preserve">Pertinenza delle risposte</w:t>
            </w:r>
          </w:p>
        </w:tc>
        <w:tc>
          <w:tcPr/>
          <w:p w:rsidR="00000000" w:rsidDel="00000000" w:rsidP="00000000" w:rsidRDefault="00000000" w:rsidRPr="00000000" w14:paraId="00000071">
            <w:pPr>
              <w:jc w:val="both"/>
              <w:rPr/>
            </w:pPr>
            <w:r w:rsidDel="00000000" w:rsidR="00000000" w:rsidRPr="00000000">
              <w:rPr>
                <w:rtl w:val="0"/>
              </w:rPr>
              <w:t xml:space="preserve">4,17</w:t>
            </w:r>
          </w:p>
        </w:tc>
        <w:tc>
          <w:tcPr/>
          <w:p w:rsidR="00000000" w:rsidDel="00000000" w:rsidP="00000000" w:rsidRDefault="00000000" w:rsidRPr="00000000" w14:paraId="00000072">
            <w:pPr>
              <w:jc w:val="both"/>
              <w:rPr/>
            </w:pPr>
            <w:r w:rsidDel="00000000" w:rsidR="00000000" w:rsidRPr="00000000">
              <w:rPr>
                <w:rtl w:val="0"/>
              </w:rPr>
              <w:t xml:space="preserve">3,56</w:t>
            </w:r>
          </w:p>
        </w:tc>
        <w:tc>
          <w:tcPr/>
          <w:p w:rsidR="00000000" w:rsidDel="00000000" w:rsidP="00000000" w:rsidRDefault="00000000" w:rsidRPr="00000000" w14:paraId="00000073">
            <w:pPr>
              <w:jc w:val="both"/>
              <w:rPr/>
            </w:pPr>
            <w:r w:rsidDel="00000000" w:rsidR="00000000" w:rsidRPr="00000000">
              <w:rPr>
                <w:rtl w:val="0"/>
              </w:rPr>
              <w:t xml:space="preserve">+0,60</w:t>
            </w:r>
          </w:p>
        </w:tc>
      </w:tr>
      <w:tr>
        <w:trPr>
          <w:cantSplit w:val="0"/>
          <w:tblHeader w:val="0"/>
        </w:trPr>
        <w:tc>
          <w:tcPr/>
          <w:p w:rsidR="00000000" w:rsidDel="00000000" w:rsidP="00000000" w:rsidRDefault="00000000" w:rsidRPr="00000000" w14:paraId="00000074">
            <w:pPr>
              <w:jc w:val="both"/>
              <w:rPr/>
            </w:pPr>
            <w:r w:rsidDel="00000000" w:rsidR="00000000" w:rsidRPr="00000000">
              <w:rPr>
                <w:rtl w:val="0"/>
              </w:rPr>
              <w:t xml:space="preserve">Fiducia nelle informazioni</w:t>
            </w:r>
          </w:p>
        </w:tc>
        <w:tc>
          <w:tcPr/>
          <w:p w:rsidR="00000000" w:rsidDel="00000000" w:rsidP="00000000" w:rsidRDefault="00000000" w:rsidRPr="00000000" w14:paraId="00000075">
            <w:pPr>
              <w:jc w:val="both"/>
              <w:rPr/>
            </w:pPr>
            <w:r w:rsidDel="00000000" w:rsidR="00000000" w:rsidRPr="00000000">
              <w:rPr>
                <w:rtl w:val="0"/>
              </w:rPr>
              <w:t xml:space="preserve">3,83</w:t>
            </w:r>
          </w:p>
        </w:tc>
        <w:tc>
          <w:tcPr/>
          <w:p w:rsidR="00000000" w:rsidDel="00000000" w:rsidP="00000000" w:rsidRDefault="00000000" w:rsidRPr="00000000" w14:paraId="00000076">
            <w:pPr>
              <w:jc w:val="both"/>
              <w:rPr/>
            </w:pPr>
            <w:r w:rsidDel="00000000" w:rsidR="00000000" w:rsidRPr="00000000">
              <w:rPr>
                <w:rtl w:val="0"/>
              </w:rPr>
              <w:t xml:space="preserve">3,19</w:t>
            </w:r>
          </w:p>
        </w:tc>
        <w:tc>
          <w:tcPr/>
          <w:p w:rsidR="00000000" w:rsidDel="00000000" w:rsidP="00000000" w:rsidRDefault="00000000" w:rsidRPr="00000000" w14:paraId="00000077">
            <w:pPr>
              <w:jc w:val="both"/>
              <w:rPr/>
            </w:pPr>
            <w:r w:rsidDel="00000000" w:rsidR="00000000" w:rsidRPr="00000000">
              <w:rPr>
                <w:rtl w:val="0"/>
              </w:rPr>
              <w:t xml:space="preserve">+0,65</w:t>
            </w:r>
          </w:p>
        </w:tc>
      </w:tr>
      <w:tr>
        <w:trPr>
          <w:cantSplit w:val="0"/>
          <w:tblHeader w:val="0"/>
        </w:trPr>
        <w:tc>
          <w:tcPr/>
          <w:p w:rsidR="00000000" w:rsidDel="00000000" w:rsidP="00000000" w:rsidRDefault="00000000" w:rsidRPr="00000000" w14:paraId="00000078">
            <w:pPr>
              <w:jc w:val="both"/>
              <w:rPr/>
            </w:pPr>
            <w:r w:rsidDel="00000000" w:rsidR="00000000" w:rsidRPr="00000000">
              <w:rPr>
                <w:rtl w:val="0"/>
              </w:rPr>
              <w:t xml:space="preserve">Coinvolgimento</w:t>
            </w:r>
          </w:p>
        </w:tc>
        <w:tc>
          <w:tcPr/>
          <w:p w:rsidR="00000000" w:rsidDel="00000000" w:rsidP="00000000" w:rsidRDefault="00000000" w:rsidRPr="00000000" w14:paraId="00000079">
            <w:pPr>
              <w:jc w:val="both"/>
              <w:rPr/>
            </w:pPr>
            <w:r w:rsidDel="00000000" w:rsidR="00000000" w:rsidRPr="00000000">
              <w:rPr>
                <w:rtl w:val="0"/>
              </w:rPr>
              <w:t xml:space="preserve">3,67</w:t>
            </w:r>
          </w:p>
        </w:tc>
        <w:tc>
          <w:tcPr/>
          <w:p w:rsidR="00000000" w:rsidDel="00000000" w:rsidP="00000000" w:rsidRDefault="00000000" w:rsidRPr="00000000" w14:paraId="0000007A">
            <w:pPr>
              <w:jc w:val="both"/>
              <w:rPr/>
            </w:pPr>
            <w:r w:rsidDel="00000000" w:rsidR="00000000" w:rsidRPr="00000000">
              <w:rPr>
                <w:rtl w:val="0"/>
              </w:rPr>
              <w:t xml:space="preserve">3,06</w:t>
            </w:r>
          </w:p>
        </w:tc>
        <w:tc>
          <w:tcPr/>
          <w:p w:rsidR="00000000" w:rsidDel="00000000" w:rsidP="00000000" w:rsidRDefault="00000000" w:rsidRPr="00000000" w14:paraId="0000007B">
            <w:pPr>
              <w:jc w:val="both"/>
              <w:rPr/>
            </w:pPr>
            <w:r w:rsidDel="00000000" w:rsidR="00000000" w:rsidRPr="00000000">
              <w:rPr>
                <w:rtl w:val="0"/>
              </w:rPr>
              <w:t xml:space="preserve">+0,60</w:t>
            </w:r>
          </w:p>
        </w:tc>
      </w:tr>
      <w:tr>
        <w:trPr>
          <w:cantSplit w:val="0"/>
          <w:tblHeader w:val="0"/>
        </w:trPr>
        <w:tc>
          <w:tcPr/>
          <w:p w:rsidR="00000000" w:rsidDel="00000000" w:rsidP="00000000" w:rsidRDefault="00000000" w:rsidRPr="00000000" w14:paraId="0000007C">
            <w:pPr>
              <w:jc w:val="both"/>
              <w:rPr/>
            </w:pPr>
            <w:r w:rsidDel="00000000" w:rsidR="00000000" w:rsidRPr="00000000">
              <w:rPr>
                <w:rtl w:val="0"/>
              </w:rPr>
              <w:t xml:space="preserve">Capacità di stimolare la riflessione</w:t>
            </w:r>
          </w:p>
        </w:tc>
        <w:tc>
          <w:tcPr/>
          <w:p w:rsidR="00000000" w:rsidDel="00000000" w:rsidP="00000000" w:rsidRDefault="00000000" w:rsidRPr="00000000" w14:paraId="0000007D">
            <w:pPr>
              <w:jc w:val="both"/>
              <w:rPr/>
            </w:pPr>
            <w:r w:rsidDel="00000000" w:rsidR="00000000" w:rsidRPr="00000000">
              <w:rPr>
                <w:rtl w:val="0"/>
              </w:rPr>
              <w:t xml:space="preserve">3,83</w:t>
            </w:r>
          </w:p>
        </w:tc>
        <w:tc>
          <w:tcPr/>
          <w:p w:rsidR="00000000" w:rsidDel="00000000" w:rsidP="00000000" w:rsidRDefault="00000000" w:rsidRPr="00000000" w14:paraId="0000007E">
            <w:pPr>
              <w:jc w:val="both"/>
              <w:rPr/>
            </w:pPr>
            <w:r w:rsidDel="00000000" w:rsidR="00000000" w:rsidRPr="00000000">
              <w:rPr>
                <w:rtl w:val="0"/>
              </w:rPr>
              <w:t xml:space="preserve">3,25</w:t>
            </w:r>
          </w:p>
        </w:tc>
        <w:tc>
          <w:tcPr/>
          <w:p w:rsidR="00000000" w:rsidDel="00000000" w:rsidP="00000000" w:rsidRDefault="00000000" w:rsidRPr="00000000" w14:paraId="0000007F">
            <w:pPr>
              <w:jc w:val="both"/>
              <w:rPr/>
            </w:pPr>
            <w:r w:rsidDel="00000000" w:rsidR="00000000" w:rsidRPr="00000000">
              <w:rPr>
                <w:rtl w:val="0"/>
              </w:rPr>
              <w:t xml:space="preserve">+0,58</w:t>
            </w:r>
          </w:p>
        </w:tc>
      </w:tr>
      <w:tr>
        <w:trPr>
          <w:cantSplit w:val="0"/>
          <w:tblHeader w:val="0"/>
        </w:trPr>
        <w:tc>
          <w:tcPr/>
          <w:p w:rsidR="00000000" w:rsidDel="00000000" w:rsidP="00000000" w:rsidRDefault="00000000" w:rsidRPr="00000000" w14:paraId="00000080">
            <w:pPr>
              <w:jc w:val="both"/>
              <w:rPr/>
            </w:pPr>
            <w:r w:rsidDel="00000000" w:rsidR="00000000" w:rsidRPr="00000000">
              <w:rPr>
                <w:rtl w:val="0"/>
              </w:rPr>
              <w:t xml:space="preserve">Chiarezza</w:t>
            </w:r>
          </w:p>
        </w:tc>
        <w:tc>
          <w:tcPr/>
          <w:p w:rsidR="00000000" w:rsidDel="00000000" w:rsidP="00000000" w:rsidRDefault="00000000" w:rsidRPr="00000000" w14:paraId="00000081">
            <w:pPr>
              <w:jc w:val="both"/>
              <w:rPr/>
            </w:pPr>
            <w:r w:rsidDel="00000000" w:rsidR="00000000" w:rsidRPr="00000000">
              <w:rPr>
                <w:rtl w:val="0"/>
              </w:rPr>
              <w:t xml:space="preserve">4,00</w:t>
            </w:r>
          </w:p>
        </w:tc>
        <w:tc>
          <w:tcPr/>
          <w:p w:rsidR="00000000" w:rsidDel="00000000" w:rsidP="00000000" w:rsidRDefault="00000000" w:rsidRPr="00000000" w14:paraId="00000082">
            <w:pPr>
              <w:jc w:val="both"/>
              <w:rPr/>
            </w:pPr>
            <w:r w:rsidDel="00000000" w:rsidR="00000000" w:rsidRPr="00000000">
              <w:rPr>
                <w:rtl w:val="0"/>
              </w:rPr>
              <w:t xml:space="preserve">3,69</w:t>
            </w:r>
          </w:p>
        </w:tc>
        <w:tc>
          <w:tcPr/>
          <w:p w:rsidR="00000000" w:rsidDel="00000000" w:rsidP="00000000" w:rsidRDefault="00000000" w:rsidRPr="00000000" w14:paraId="00000083">
            <w:pPr>
              <w:jc w:val="both"/>
              <w:rPr/>
            </w:pPr>
            <w:r w:rsidDel="00000000" w:rsidR="00000000" w:rsidRPr="00000000">
              <w:rPr>
                <w:rtl w:val="0"/>
              </w:rPr>
              <w:t xml:space="preserve">+0,31</w:t>
            </w:r>
          </w:p>
        </w:tc>
      </w:tr>
      <w:tr>
        <w:trPr>
          <w:cantSplit w:val="0"/>
          <w:tblHeader w:val="0"/>
        </w:trPr>
        <w:tc>
          <w:tcPr/>
          <w:p w:rsidR="00000000" w:rsidDel="00000000" w:rsidP="00000000" w:rsidRDefault="00000000" w:rsidRPr="00000000" w14:paraId="00000084">
            <w:pPr>
              <w:jc w:val="both"/>
              <w:rPr/>
            </w:pPr>
            <w:r w:rsidDel="00000000" w:rsidR="00000000" w:rsidRPr="00000000">
              <w:rPr>
                <w:rtl w:val="0"/>
              </w:rPr>
              <w:t xml:space="preserve">Velocità di risposta</w:t>
            </w:r>
          </w:p>
        </w:tc>
        <w:tc>
          <w:tcPr/>
          <w:p w:rsidR="00000000" w:rsidDel="00000000" w:rsidP="00000000" w:rsidRDefault="00000000" w:rsidRPr="00000000" w14:paraId="00000085">
            <w:pPr>
              <w:jc w:val="both"/>
              <w:rPr/>
            </w:pPr>
            <w:r w:rsidDel="00000000" w:rsidR="00000000" w:rsidRPr="00000000">
              <w:rPr>
                <w:rtl w:val="0"/>
              </w:rPr>
              <w:t xml:space="preserve">3,83</w:t>
            </w:r>
          </w:p>
        </w:tc>
        <w:tc>
          <w:tcPr/>
          <w:p w:rsidR="00000000" w:rsidDel="00000000" w:rsidP="00000000" w:rsidRDefault="00000000" w:rsidRPr="00000000" w14:paraId="00000086">
            <w:pPr>
              <w:jc w:val="both"/>
              <w:rPr/>
            </w:pPr>
            <w:r w:rsidDel="00000000" w:rsidR="00000000" w:rsidRPr="00000000">
              <w:rPr>
                <w:rtl w:val="0"/>
              </w:rPr>
              <w:t xml:space="preserve">3,44</w:t>
            </w:r>
          </w:p>
        </w:tc>
        <w:tc>
          <w:tcPr/>
          <w:p w:rsidR="00000000" w:rsidDel="00000000" w:rsidP="00000000" w:rsidRDefault="00000000" w:rsidRPr="00000000" w14:paraId="00000087">
            <w:pPr>
              <w:jc w:val="both"/>
              <w:rPr/>
            </w:pPr>
            <w:r w:rsidDel="00000000" w:rsidR="00000000" w:rsidRPr="00000000">
              <w:rPr>
                <w:rtl w:val="0"/>
              </w:rPr>
              <w:t xml:space="preserve">+0,40</w:t>
            </w:r>
          </w:p>
        </w:tc>
      </w:tr>
      <w:tr>
        <w:trPr>
          <w:cantSplit w:val="0"/>
          <w:tblHeader w:val="0"/>
        </w:trPr>
        <w:tc>
          <w:tcPr/>
          <w:p w:rsidR="00000000" w:rsidDel="00000000" w:rsidP="00000000" w:rsidRDefault="00000000" w:rsidRPr="00000000" w14:paraId="00000088">
            <w:pPr>
              <w:jc w:val="both"/>
              <w:rPr/>
            </w:pPr>
            <w:r w:rsidDel="00000000" w:rsidR="00000000" w:rsidRPr="00000000">
              <w:rPr>
                <w:rtl w:val="0"/>
              </w:rPr>
              <w:t xml:space="preserve">Dettaglio delle risposte</w:t>
            </w:r>
          </w:p>
        </w:tc>
        <w:tc>
          <w:tcPr/>
          <w:p w:rsidR="00000000" w:rsidDel="00000000" w:rsidP="00000000" w:rsidRDefault="00000000" w:rsidRPr="00000000" w14:paraId="00000089">
            <w:pPr>
              <w:jc w:val="both"/>
              <w:rPr/>
            </w:pPr>
            <w:r w:rsidDel="00000000" w:rsidR="00000000" w:rsidRPr="00000000">
              <w:rPr>
                <w:rtl w:val="0"/>
              </w:rPr>
              <w:t xml:space="preserve">3,67</w:t>
            </w:r>
          </w:p>
        </w:tc>
        <w:tc>
          <w:tcPr/>
          <w:p w:rsidR="00000000" w:rsidDel="00000000" w:rsidP="00000000" w:rsidRDefault="00000000" w:rsidRPr="00000000" w14:paraId="0000008A">
            <w:pPr>
              <w:jc w:val="both"/>
              <w:rPr/>
            </w:pPr>
            <w:r w:rsidDel="00000000" w:rsidR="00000000" w:rsidRPr="00000000">
              <w:rPr>
                <w:rtl w:val="0"/>
              </w:rPr>
              <w:t xml:space="preserve">3,56</w:t>
            </w:r>
          </w:p>
        </w:tc>
        <w:tc>
          <w:tcPr/>
          <w:p w:rsidR="00000000" w:rsidDel="00000000" w:rsidP="00000000" w:rsidRDefault="00000000" w:rsidRPr="00000000" w14:paraId="0000008B">
            <w:pPr>
              <w:jc w:val="both"/>
              <w:rPr/>
            </w:pPr>
            <w:r w:rsidDel="00000000" w:rsidR="00000000" w:rsidRPr="00000000">
              <w:rPr>
                <w:rtl w:val="0"/>
              </w:rPr>
              <w:t xml:space="preserve">+0,10</w:t>
            </w:r>
          </w:p>
        </w:tc>
      </w:tr>
      <w:tr>
        <w:trPr>
          <w:cantSplit w:val="0"/>
          <w:tblHeader w:val="0"/>
        </w:trPr>
        <w:tc>
          <w:tcPr/>
          <w:p w:rsidR="00000000" w:rsidDel="00000000" w:rsidP="00000000" w:rsidRDefault="00000000" w:rsidRPr="00000000" w14:paraId="0000008C">
            <w:pPr>
              <w:jc w:val="both"/>
              <w:rPr/>
            </w:pPr>
            <w:r w:rsidDel="00000000" w:rsidR="00000000" w:rsidRPr="00000000">
              <w:rPr>
                <w:rtl w:val="0"/>
              </w:rPr>
              <w:t xml:space="preserve">Utilità percepita</w:t>
            </w:r>
          </w:p>
        </w:tc>
        <w:tc>
          <w:tcPr/>
          <w:p w:rsidR="00000000" w:rsidDel="00000000" w:rsidP="00000000" w:rsidRDefault="00000000" w:rsidRPr="00000000" w14:paraId="0000008D">
            <w:pPr>
              <w:jc w:val="both"/>
              <w:rPr/>
            </w:pPr>
            <w:r w:rsidDel="00000000" w:rsidR="00000000" w:rsidRPr="00000000">
              <w:rPr>
                <w:rtl w:val="0"/>
              </w:rPr>
              <w:t xml:space="preserve">3,17</w:t>
            </w:r>
          </w:p>
        </w:tc>
        <w:tc>
          <w:tcPr/>
          <w:p w:rsidR="00000000" w:rsidDel="00000000" w:rsidP="00000000" w:rsidRDefault="00000000" w:rsidRPr="00000000" w14:paraId="0000008E">
            <w:pPr>
              <w:jc w:val="both"/>
              <w:rPr/>
            </w:pPr>
            <w:r w:rsidDel="00000000" w:rsidR="00000000" w:rsidRPr="00000000">
              <w:rPr>
                <w:rtl w:val="0"/>
              </w:rPr>
              <w:t xml:space="preserve">3,31</w:t>
            </w:r>
          </w:p>
        </w:tc>
        <w:tc>
          <w:tcPr/>
          <w:p w:rsidR="00000000" w:rsidDel="00000000" w:rsidP="00000000" w:rsidRDefault="00000000" w:rsidRPr="00000000" w14:paraId="0000008F">
            <w:pPr>
              <w:jc w:val="both"/>
              <w:rPr/>
            </w:pPr>
            <w:sdt>
              <w:sdtPr>
                <w:id w:val="828556325"/>
                <w:tag w:val="goog_rdk_0"/>
              </w:sdtPr>
              <w:sdtContent>
                <w:r w:rsidDel="00000000" w:rsidR="00000000" w:rsidRPr="00000000">
                  <w:rPr>
                    <w:rFonts w:ascii="Gungsuh" w:cs="Gungsuh" w:eastAsia="Gungsuh" w:hAnsi="Gungsuh"/>
                    <w:rtl w:val="0"/>
                  </w:rPr>
                  <w:t xml:space="preserve">−0,15</w:t>
                </w:r>
              </w:sdtContent>
            </w:sdt>
          </w:p>
        </w:tc>
      </w:tr>
      <w:tr>
        <w:trPr>
          <w:cantSplit w:val="0"/>
          <w:tblHeader w:val="0"/>
        </w:trPr>
        <w:tc>
          <w:tcPr/>
          <w:p w:rsidR="00000000" w:rsidDel="00000000" w:rsidP="00000000" w:rsidRDefault="00000000" w:rsidRPr="00000000" w14:paraId="00000090">
            <w:pPr>
              <w:jc w:val="both"/>
              <w:rPr/>
            </w:pPr>
            <w:r w:rsidDel="00000000" w:rsidR="00000000" w:rsidRPr="00000000">
              <w:rPr>
                <w:rtl w:val="0"/>
              </w:rPr>
              <w:t xml:space="preserve">Intenzione di riutilizzo</w:t>
            </w:r>
          </w:p>
        </w:tc>
        <w:tc>
          <w:tcPr/>
          <w:p w:rsidR="00000000" w:rsidDel="00000000" w:rsidP="00000000" w:rsidRDefault="00000000" w:rsidRPr="00000000" w14:paraId="00000091">
            <w:pPr>
              <w:jc w:val="both"/>
              <w:rPr/>
            </w:pPr>
            <w:r w:rsidDel="00000000" w:rsidR="00000000" w:rsidRPr="00000000">
              <w:rPr>
                <w:rtl w:val="0"/>
              </w:rPr>
              <w:t xml:space="preserve">3,83</w:t>
            </w:r>
          </w:p>
        </w:tc>
        <w:tc>
          <w:tcPr/>
          <w:p w:rsidR="00000000" w:rsidDel="00000000" w:rsidP="00000000" w:rsidRDefault="00000000" w:rsidRPr="00000000" w14:paraId="00000092">
            <w:pPr>
              <w:jc w:val="both"/>
              <w:rPr/>
            </w:pPr>
            <w:r w:rsidDel="00000000" w:rsidR="00000000" w:rsidRPr="00000000">
              <w:rPr>
                <w:rtl w:val="0"/>
              </w:rPr>
              <w:t xml:space="preserve">3,12</w:t>
            </w:r>
          </w:p>
        </w:tc>
        <w:tc>
          <w:tcPr/>
          <w:p w:rsidR="00000000" w:rsidDel="00000000" w:rsidP="00000000" w:rsidRDefault="00000000" w:rsidRPr="00000000" w14:paraId="00000093">
            <w:pPr>
              <w:jc w:val="both"/>
              <w:rPr/>
            </w:pPr>
            <w:r w:rsidDel="00000000" w:rsidR="00000000" w:rsidRPr="00000000">
              <w:rPr>
                <w:rtl w:val="0"/>
              </w:rPr>
              <w:t xml:space="preserve">+0,71</w:t>
            </w:r>
          </w:p>
        </w:tc>
      </w:tr>
    </w:tbl>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680754732"/>
          <w:tag w:val="goog_rdk_1"/>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I miglioramenti più marcati riguardano facilità d’uso (Δ = +0,79), intenzione di riutilizzo (Δ = +0,71) e fiducia (Δ = +0,65); l’unica dimensione sostanzialmente invariata è l’utilità percepita (Δ = −0,15, entro il range di variabilità atteso per campioni ridotti).</w:t>
          </w:r>
        </w:sdtContent>
      </w:sdt>
    </w:p>
    <w:bookmarkStart w:colFirst="0" w:colLast="0" w:name="bookmark=id.i09pphs5pwk" w:id="14"/>
    <w:bookmarkEnd w:id="14"/>
    <w:p w:rsidR="00000000" w:rsidDel="00000000" w:rsidP="00000000" w:rsidRDefault="00000000" w:rsidRPr="00000000" w14:paraId="00000095">
      <w:pPr>
        <w:pStyle w:val="Heading3"/>
        <w:rPr/>
      </w:pPr>
      <w:r w:rsidDel="00000000" w:rsidR="00000000" w:rsidRPr="00000000">
        <w:rPr>
          <w:color w:val="000000"/>
          <w:rtl w:val="0"/>
        </w:rPr>
        <w:t xml:space="preserve">4.2 Autovalutazione pedagogica</w:t>
      </w:r>
      <w:r w:rsidDel="00000000" w:rsidR="00000000" w:rsidRPr="00000000">
        <w:rPr>
          <w:rtl w:val="0"/>
          <w:color w:val="000000"/>
        </w:rPr>
      </w:r>
    </w:p>
    <w:p w:rsidR="00000000" w:rsidDel="00000000" w:rsidP="00000000" w:rsidRDefault="00000000" w:rsidRPr="00000000" w14:paraId="00000096">
      <w:pPr>
        <w:jc w:val="both"/>
        <w:rPr/>
      </w:pPr>
      <w:r w:rsidDel="00000000" w:rsidR="00000000" w:rsidRPr="00000000">
        <w:rPr>
          <w:rtl w:val="0"/>
        </w:rPr>
        <w:t xml:space="preserve">Undici partecipanti hanno fornito risposte alle domande aperte (tutti della versione CB-C). Dall’analisi tematica emergono quattro aree di criticità, affrontate nella versione CB-SBS.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Inserimento dati. (i) Tre partecipanti segnalano difficoltà nel caricamento dei punteggi: «mi ha chiesto di fare una cosa che avevo appena fatto», «inserirli 1 per 1 in chat è stato scomodo», con la richiesta esplicita di poter caricare un PDF per evitare errori di digitazione. Nella versione CB-SBS questa fase è stata sostituita da un form iniziale di inserimento e dal caricamento diretto dei PDF degli esiti.</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Coerenza della memoria di sessione. (ii) Un partecipante riporta «incongruenze molto grandi tra i dati forniti e i riassunti finali» nella prima analisi, pur riconoscendo che una seconda analisi era più coerente. Nella versione CB-SBS la gestione della memoria di sessione è stata rivista attraverso una sintesi dinamica del dialogo, integrata dall’iniezione costante dei punteggi del profilo tramite file JSON a ogni turno, garantendo che il contesto venga preservato fedelmente lungo l’intero percorso.</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Completezza del contesto. (iii) Un partecipante osserva che il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«dimentica alcune informazioni». Nella versione CB-SBS la memoria di sessione è stata potenziata per preservare il contesto lungo l’intero dialogo, riducendo i fenomeni di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forgetting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Lunghezza delle risposte. (iv) Un partecipante suggerisce di «sintetizzare le risposte». Nella versione CB-SBS è stato introdotto un limite di token per contenere l’estensione degli interventi del LLM, favorendo risposte più concise.</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scelta di un modello locale di dimensioni contenute, motivata in §2.3, si colloca nello stesso quadro di ottimizzazione: il benchmark preliminare ha orientato la selezione di una soluzione ritenuta adeguata al compito, sostenibile nei costi e più favorevole alla tutela della riservatezza.</w:t>
      </w:r>
    </w:p>
    <w:p w:rsidR="00000000" w:rsidDel="00000000" w:rsidP="00000000" w:rsidRDefault="00000000" w:rsidRPr="00000000" w14:paraId="0000009C">
      <w:pPr>
        <w:rPr/>
        <w:jc w:val="both"/>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Sei partecipanti hanno espresso valutazioni positive sulla chiarezza, la pertinenza e l’utilità del sistema, descrivendo l’esperienza come «positiva», «interessante» e «il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 risposto alle aspettative in modo esauriente».</w:t>
      </w:r>
    </w:p>
    <w:bookmarkStart w:colFirst="0" w:colLast="0" w:name="bookmark=id.d7t39rb1t9ve" w:id="15"/>
    <w:bookmarkEnd w:id="15"/>
    <w:p w:rsidR="00000000" w:rsidDel="00000000" w:rsidP="00000000" w:rsidRDefault="00000000" w:rsidRPr="00000000" w14:paraId="0000009E">
      <w:pPr>
        <w:pStyle w:val="Heading2"/>
        <w:rPr/>
      </w:pPr>
      <w:r w:rsidDel="00000000" w:rsidR="00000000" w:rsidRPr="00000000">
        <w:rPr>
          <w:color w:val="000000"/>
          <w:rtl w:val="0"/>
        </w:rPr>
        <w:t xml:space="preserve">5. Discussione</w:t>
      </w:r>
      <w:r w:rsidDel="00000000" w:rsidR="00000000" w:rsidRPr="00000000">
        <w:rPr>
          <w:rtl w:val="0"/>
          <w:color w:val="000000"/>
        </w:rPr>
      </w:r>
    </w:p>
    <w:p w:rsidR="00000000" w:rsidDel="00000000" w:rsidP="00000000" w:rsidRDefault="00000000" w:rsidRPr="00000000" w14:paraId="0000009F">
      <w:pPr>
        <w:jc w:val="both"/>
        <w:rPr/>
      </w:pPr>
      <w:r w:rsidDel="00000000" w:rsidR="00000000" w:rsidRPr="00000000">
        <w:rPr>
          <w:rtl w:val="0"/>
        </w:rPr>
        <w:t xml:space="preserve">Alla luce di questi risultati, si possono formulare le seguenti considerazioni. I risultati mostrano un miglioramento diffuso della versione CB-SBS rispetto alla precedente su 9 dimensioni su 10, con incrementi particolarmente marcati su facilità d’uso (Δ = +0,79), fiducia nelle informazioni (Δ = +0,65) e intenzione di riutilizzo (Δ = +0,71). Questi dati suggeriscono che le modifiche introdotte nella versione CB-SBS (cfr. §4) hanno prodotto un effetto positivo sull’esperienza utente.</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criticità emerse dalle risposte aperte della versione CB-C riguardavano principalmente l’inserimento manuale dei dati e la coerenza delle analisi. La loro risoluzione nella versione CB-SBS è coerente con i punteggi più alti registrati in facilità d’uso e fiducia. Rimane da verificare su un campione più ampio se anche le altre dimensioni — in particolare l’utilità percepita, sostanzialmente invariata — beneficino delle stesse modifiche.</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 presente lavoro si colloca nella fase di test del modello ADDIE: i dati raccolti informano il ciclo iterativo di sviluppo, più che costituire una validazione conclusiva. Il campione è ridotto (n=6 per CB-SBS, n=16 per CB-C con dati numerici) e non probabilistico, e la differenza tra le due versioni potrebbe risentire di fattori confondenti come la diversa composizione demografica o la maturità del percorso di sviluppo. Per queste ragioni i risultati vanno letti come indicatori di tendenza, non come evidenza definitiva.</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Sul piano più generale, l’architettura ibrida di Counselorbot — che combina passi guidati deterministici con la flessibilità di un LLM — si dimostra praticabile per l’autovalutazione assistita delle competenze strategiche. La possibilità di istruire il modello con direttive specifiche e di richiamare conoscenze contestuali apre la strada a forme di accompagnamento scalabili che la letteratura indica come ancora poco coperte (Wollny et al. 2021; Liu et al. 2025). Quanto alla sostenibilità economica sollevata in apertura, l’impiego di modelli aperti di dimensioni contenute, eseguibili anche su infrastrutture locali — come Gemma 4 4B, selezionato tramite benchmark sistematico per l’istanza CB-SBS — suggerisce una via percorribile per contenere i costi di esercizio.</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aggiunga che il dato disponibile è esclusivamente basato sull’autovalutazione degli studenti, che potrebbe risentire di effetti di desiderabilità sociale; restano da acquisire metriche oggettive come tempi di risposta e tassi di completamento.</w:t>
      </w:r>
    </w:p>
    <w:bookmarkStart w:colFirst="0" w:colLast="0" w:name="bookmark=id.vyc8y7s3eu0j" w:id="16"/>
    <w:bookmarkEnd w:id="16"/>
    <w:p w:rsidR="00000000" w:rsidDel="00000000" w:rsidP="00000000" w:rsidRDefault="00000000" w:rsidRPr="00000000" w14:paraId="000000A4">
      <w:pPr>
        <w:pStyle w:val="Heading2"/>
        <w:rPr/>
      </w:pPr>
      <w:r w:rsidDel="00000000" w:rsidR="00000000" w:rsidRPr="00000000">
        <w:rPr>
          <w:color w:val="000000"/>
          <w:rtl w:val="0"/>
        </w:rPr>
        <w:t xml:space="preserve">6. Conclusioni</w:t>
      </w:r>
      <w:r w:rsidDel="00000000" w:rsidR="00000000" w:rsidRPr="00000000">
        <w:rPr>
          <w:rtl w:val="0"/>
          <w:color w:val="000000"/>
        </w:rPr>
      </w:r>
    </w:p>
    <w:p w:rsidR="00000000" w:rsidDel="00000000" w:rsidP="00000000" w:rsidRDefault="00000000" w:rsidRPr="00000000" w14:paraId="000000A5">
      <w:pPr>
        <w:jc w:val="both"/>
        <w:rPr/>
      </w:pPr>
      <w:r w:rsidDel="00000000" w:rsidR="00000000" w:rsidRPr="00000000">
        <w:rPr>
          <w:rtl w:val="0"/>
        </w:rPr>
        <w:t xml:space="preserve">I risultati ottenuti indicano che i modelli conversazionali basati su LLM sono oggi maturi per sostenere compiti riflessivi come l’autovalutazione delle competenze strategiche, a condizione che siano inseriti in un’architettura ibrida che ne guidi il comportamento. Questo lavoro ha presentato Counselorbot, un </w:t>
      </w:r>
      <w:r w:rsidDel="00000000" w:rsidR="00000000" w:rsidRPr="00000000">
        <w:rPr>
          <w:i w:val="1"/>
          <w:iCs w:val="1"/>
          <w:rtl w:val="0"/>
        </w:rPr>
        <w:t xml:space="preserve">chatbot</w:t>
      </w:r>
      <w:r w:rsidDel="00000000" w:rsidR="00000000" w:rsidRPr="00000000">
        <w:rPr>
          <w:rtl w:val="0"/>
        </w:rPr>
        <w:t xml:space="preserve"> che realizza questa architettura. I risultati della fase di test — condotta su 34 partecipanti tra due versioni del sistema — mostrano che l’architettura CB-SBS ottiene valutazioni tendenzialmente superiori alla versione precedente in 9 dimensioni su 10, con miglioramenti rilevanti in facilità d’uso e fiducia.</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 studio si inserisce in un processo di sviluppo iterativo di tipo ADDIE e non costituisce una validazione conclusiva. Rimangono i limiti sopra discussi — campione ridotto e non probabilistico, assenza di metriche oggettive — che suggeriscono cautela nell’estensione dei risultati. È necessario un test su scala più ampia, con un disegno controllato e la raccolta di dati sia quantitativi sia qualitativi, per confermare le tendenze emerse.</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 quanto riguarda lo sviluppo del sistema, le prove finora condotte hanno riguardato il solo QSA, sebbene il sistema supporti già molteplici strumenti (QSAr, ZTPI, intervista Savickas, QPCS, QPCC, QAP). Una volta stabilizzata l’usabilità della risorsa, l’architettura a passi guidati potrà essere estesa agli altri questionari. Altre direzioni di sviluppo includono l’integrazione nativa con la piattaforma competenzestrategiche.it per il recupero automatico dei profili, lo studio longitudinale dell’impatto sulle strategie di apprendimento degli studenti e la traduzione dei questionari nelle lingue supportate dall’interfaccia.</w:t>
      </w:r>
    </w:p>
    <w:bookmarkStart w:colFirst="0" w:colLast="0" w:name="bookmark=id.jlpppw4ttxl1" w:id="17"/>
    <w:bookmarkEnd w:id="17"/>
    <w:p w:rsidR="00000000" w:rsidDel="00000000" w:rsidP="00000000" w:rsidRDefault="00000000" w:rsidRPr="00000000" w14:paraId="000000A8">
      <w:pPr>
        <w:pStyle w:val="Heading2"/>
        <w:rPr/>
      </w:pPr>
      <w:r w:rsidDel="00000000" w:rsidR="00000000" w:rsidRPr="00000000">
        <w:rPr>
          <w:color w:val="000000"/>
          <w:rtl w:val="0"/>
        </w:rPr>
        <w:t xml:space="preserve">Bibliografia</w:t>
      </w:r>
      <w:r w:rsidDel="00000000" w:rsidR="00000000" w:rsidRPr="00000000">
        <w:rPr>
          <w:rtl w:val="0"/>
          <w:color w:val="000000"/>
        </w:rPr>
      </w:r>
    </w:p>
    <w:p w:rsidR="00000000" w:rsidDel="00000000" w:rsidP="00000000" w:rsidRDefault="00000000" w:rsidRPr="00000000" w14:paraId="000000A9">
      <w:pPr>
        <w:jc w:val="both"/>
        <w:rPr/>
      </w:pPr>
      <w:r w:rsidDel="00000000" w:rsidR="00000000" w:rsidRPr="00000000">
        <w:rPr>
          <w:rtl w:val="0"/>
        </w:rPr>
        <w:t xml:space="preserve">Gemma Team, Google DeepMind. (2025). Gemma 4: Advancing open language models. https://ai.google.dev/gemma</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Pellerey, M., Epifani, F., Grządziel, D., Margottini, M., &amp; Ottone, E. (2013).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Imparare a dirigere se stessi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CNOS-FAP, Roma.</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Puech, R., Mačina, J., Chatain, J., Sachan, M., &amp; Kapur, M. (2025). Towards the pedagogical steering of large language models for tutoring: A case study with modeling productive failure.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Findings of the Association for Computational Linguistics: ACL 2025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https://doi.org/10.18653/v1/2025.findings-acl.1348</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Antunes, L. G., Passarelli, B., &amp; Claro, S. V. (2025). Large language models as Socratic mentors: Transforming educational approaches for epistemic development.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Aracê, 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24921–24936. https://doi.org/10.56238/arev7n5-229</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Bender, E. M., Gebru, T., McMillan-Major, A., &amp; Shmitchell, S. (2021). On the dangers of stochastic parrots: Can language models be too big?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2021 ACM Conference on Fairness, Accountability, and Transparency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(pp. 610–623). https://doi.org/10.1145/3442188.3445922</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Branch, R. M. (2009).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Instructional design: The ADDIE approach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Springer. https://doi.org/10.1007/978-0-387-09506-6</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Brown, T. B., Mann, B., Ryder, N., et al. (2020). Language models are few-shot learners.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Advances in Neural Information Processing Systems, 33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1877–1901.</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D. H., Lin, M. P.-C., Hajian, S., &amp; Wang, Q. Q. (2023). Educational design principles of using AI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that supports self-regulated learning in education: Goal setting, feedback, and personalization.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Sustainability, 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12921. https://doi.org/10.3390/su151712921</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Cukurova, M., Luckin, R., &amp; Kent, C. (2020). Impact of an artificial intelligence research frame on the perceived credibility of educational research evidence.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International Journal of Artificial Intelligence in Education, 30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205–235. https://doi.org/10.1007/s40593-019-00188-w</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D’Silva, G. M., Jani, M., Jadhav, V., Bhoir, A., &amp; Amin, P. N. (2020). Career counselling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using cognitive science and artificial intelligence. In H. Vasudevan, A. Michalas, N. Shekokar, &amp; M. Narvekar (Eds.),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Advanced computing technologies and applications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(pp. 1–9). Springer. https://doi.org/10.1007/978-981-15-3242-9_1</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Jemstedt, A., Bälter, O., Gavel, A., Glassey, R., &amp; Bosk, D. (2024). Less to produce and less to consume: The advantage of pure question-based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Interactive Learning Environments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https://doi.org/10.1080/10494820.2024.2362830</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Kasneci, E., Seßler, K., Küchemann, S., et al. (2023). ChatGPT for good? On opportunities and challenges of large language models for education.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Learning and Individual Differences, 103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102274. https://doi.org/10.1016/j.lindif.2023.102274</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Kuhail, M. A., Alturki, N., Alramlawi, S., &amp; Alhejori, K. (2022). Interacting with educational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 A systematic review.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Education and Information Technologies, 28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973–1018. https://doi.org/10.1007/s10639-022-11177-3</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Lewis, P., Perez, E., Piktus, A., et al. (2020). Retrieval-Augmented Generation for knowledge-intensive NLP tasks.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Advances in Neural Information Processing Systems, 33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9459–9474.</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Liu, X., Xiao, Y., &amp; Li, D. (2025). Assessing strategic use of artificial intelligence in self-regulated learning: Instrument development and evidence from Chinese university students.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International Journal of Educational Technology in Higher Education, 22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69. https://doi.org/10.1186/s41239-025-00567-5</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Mendez, S., Johanson, K., Conley, V. M., et al.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 A tool to supplement the future faculty mentoring of doctoral engineering students.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International Journal of Doctoral Studies, 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373–392. https://doi.org/10.28945/4579</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Neumann, A. T., Arndt, T., Köbis, L., et al.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 as a tool to scale mentoring processes: Individually supporting self-study in higher education.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Artificial Intelligence,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668220. https://doi.org/10.3389/frai.2021.668220</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Savickas, M. L. (2018). The career construction interview.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Career counseling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(2a ed., pp. 57–70). American Psychological Association. https://doi.org/10.1037/0000105-004</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Self, J. A. (1974). Student models in computer-aided instruction.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International Journal of Man-Machine Studies, 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261–276. https://doi.org/10.1016/S0020-7373(74)80005-2</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 L. H., Truong, D.-H., Tran, T.-Y.-L., et al. (2020). Development of an AI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support admissions and career guidance for universities.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International Journal of Emerging Multidisciplinary Research,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13–20. https://doi.org/10.22662/IJEMR.2020.4.2.013</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Susnjak, T. (2023). Beyond predictive learning analytics modelling and onto explainable artificial intelligence with prescriptive analytics and ChatGPT.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International Journal of Artificial Intelligence in Education, 34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452–482. https://doi.org/10.1007/s40593-023-00336-3</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Tankelevitch, L., Kewenig, V., Simkute, A., et al. (2024). The metacognitive demands and opportunities of generative AI.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2024 CHI Conference on Human Factors in Computing Systems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(pp. 1–24). https://doi.org/10.1145/3613904.3642902</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Weizenbaum, J. (1966). ELIZA—A computer program for the study of natural language communication between man and machine.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Communications of the ACM, 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36–45. https://doi.org/10.1145/365153.365168</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Wollny, S., Schneider, J., Di Mitri, D., et al. (2021). Are we there yet? A systematic literature review 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 in education.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Artificial Intelligence,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654924. https://doi.org/10.3389/frai.2021.654924</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Zawacki-Richter, O., Marín, V. I., Bond, M., &amp; Gouverneur, F. (2019). Systematic review of research on artificial intelligence applications in higher education: Where are the educators?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International Journal of Educational Technology in Higher Education,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39. https://doi.org/10.1186/s41239-019-0171-0</w:t>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pPr>
      <w:jc w:val="both"/>
    </w:pPr>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000000"/>
      <w:sz w:val="28"/>
      <w:szCs w:val="28"/>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Times New Roman" w:cs="Times New Roman" w:eastAsia="Times New Roman" w:hAnsi="Times New Roman"/>
      <w:b w:val="1"/>
      <w:bCs w:val="1"/>
      <w:i w:val="1"/>
      <w:iCs w:val="1"/>
      <w:color w:val="000000"/>
    </w:rPr>
  </w:style>
  <w:style w:type="paragraph" w:styleId="Heading5">
    <w:name w:val="heading 5"/>
    <w:basedOn w:val="Normal"/>
    <w:next w:val="Normal"/>
    <w:pPr>
      <w:keepNext w:val="1"/>
      <w:keepLines w:val="1"/>
      <w:spacing w:after="0" w:before="200" w:lineRule="auto"/>
    </w:pPr>
    <w:rPr>
      <w:rFonts w:ascii="Times New Roman" w:cs="Times New Roman" w:eastAsia="Times New Roman" w:hAnsi="Times New Roman"/>
      <w:color w:val="000000"/>
    </w:rPr>
  </w:style>
  <w:style w:type="paragraph" w:styleId="Heading6">
    <w:name w:val="heading 6"/>
    <w:basedOn w:val="Normal"/>
    <w:next w:val="Normal"/>
    <w:pPr>
      <w:keepNext w:val="1"/>
      <w:keepLines w:val="1"/>
      <w:spacing w:after="0" w:before="200" w:lineRule="auto"/>
    </w:pPr>
    <w:rPr>
      <w:rFonts w:ascii="Times New Roman" w:cs="Times New Roman" w:eastAsia="Times New Roman" w:hAnsi="Times New Roman"/>
      <w:i w:val="1"/>
      <w:iCs w:val="1"/>
      <w:color w:val="000000"/>
    </w:rPr>
  </w:style>
  <w:style w:type="paragraph" w:styleId="Title">
    <w:name w:val="Title"/>
    <w:basedOn w:val="Normal"/>
    <w:next w:val="Normal"/>
    <w:pPr>
      <w:pBdr>
        <w:bottom w:color="4f81bd" w:space="4" w:sz="8" w:val="single"/>
      </w:pBdr>
      <w:spacing w:after="300" w:line="240" w:lineRule="auto"/>
    </w:pPr>
    <w:rPr>
      <w:rFonts w:ascii="Times New Roman" w:cs="Times New Roman" w:eastAsia="Times New Roman" w:hAnsi="Times New Roman"/>
      <w:color w:val="000000"/>
      <w:sz w:val="52"/>
      <w:szCs w:val="52"/>
    </w:rPr>
  </w:style>
  <w:style w:type="paragraph" w:styleId="Subtitle">
    <w:name w:val="Subtitle"/>
    <w:basedOn w:val="Normal"/>
    <w:next w:val="Normal"/>
    <w:pPr/>
    <w:rPr>
      <w:rFonts w:ascii="Times New Roman" w:cs="Times New Roman" w:eastAsia="Times New Roman" w:hAnsi="Times New Roman"/>
      <w:i w:val="1"/>
      <w:iCs w:val="1"/>
      <w:color w:val="000000"/>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T+eBvntC8e7Q3fSbPPKrs5BIqQ==">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