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3c3c88cd509c3932ad4f410c8923351b2c5a949"/>
    <w:p>
      <w:pPr>
        <w:pStyle w:val="Heading1"/>
      </w:pPr>
      <w:r>
        <w:t xml:space="preserve">Counselorbot: un</w:t>
      </w:r>
      <w:r>
        <w:t xml:space="preserve"> </w:t>
      </w:r>
      <w:r>
        <w:rPr>
          <w:iCs/>
          <w:i/>
        </w:rPr>
        <w:t xml:space="preserve">chatbot</w:t>
      </w:r>
      <w:r>
        <w:t xml:space="preserve"> </w:t>
      </w:r>
      <w:r>
        <w:t xml:space="preserve">per l’orientamento</w:t>
      </w:r>
    </w:p>
    <w:p>
      <w:pPr>
        <w:pStyle w:val="FirstParagraph"/>
      </w:pPr>
      <w:r>
        <w:rPr>
          <w:bCs/>
          <w:b/>
        </w:rPr>
        <w:t xml:space="preserve">Abstract</w:t>
      </w:r>
      <w:r>
        <w:t xml:space="preserve"> </w:t>
      </w:r>
      <w:r>
        <w:t xml:space="preserve">(italiano)</w:t>
      </w:r>
    </w:p>
    <w:p>
      <w:pPr>
        <w:pStyle w:val="BodyText"/>
      </w:pPr>
      <w:r>
        <w:t xml:space="preserve">L’articolo presenta Counselorbot, un assistente conversazionale basato su LLM per l’autovalutazione guidata delle competenze strategiche degli studenti. Il lavoro descrive l’architettura ibrida del sistema — che combina passi guidati deterministici con la flessibilità di un LLM — e il framework delle competenze strategiche (QSA) su cui si basa. La valutazione, condotta su 34 partecipanti confrontando due versioni (SBS e ai4educ), mostra miglioramenti in 9 dimensioni su 10, con incrementi in facilità d’uso (Δ = +0,79) e fiducia (Δ = +0,65). Il lavoro si colloca nella fase di test del modello ADDIE e discute limiti e direzioni di sviluppo.</w:t>
      </w:r>
    </w:p>
    <w:p>
      <w:pPr>
        <w:pStyle w:val="BodyText"/>
      </w:pPr>
      <w:r>
        <w:rPr>
          <w:bCs/>
          <w:b/>
        </w:rPr>
        <w:t xml:space="preserve">Abstract</w:t>
      </w:r>
      <w:r>
        <w:t xml:space="preserve"> </w:t>
      </w:r>
      <w:r>
        <w:t xml:space="preserve">(inglese)</w:t>
      </w:r>
    </w:p>
    <w:p>
      <w:pPr>
        <w:pStyle w:val="BodyText"/>
      </w:pPr>
      <w:r>
        <w:t xml:space="preserve">This paper presents Counselorbot, an LLM-based conversational assistant for guided self-assessment of students’ strategic competences. The paper describes the hybrid architecture — combining deterministic guided steps with LLM flexibility — and the strategic competences framework (QSA) it builds on. The evaluation, carried out on 34 participants comparing two versions (SBS and ai4educ), shows improvements in 9 out of 10 dimensions, with increases in ease of use (Δ = +0.79) and trust (Δ = +0.65). The study is positioned within the test phase of the ADDIE model and discusses limitations and future directions.</w:t>
      </w:r>
    </w:p>
    <w:p>
      <w:pPr>
        <w:pStyle w:val="BodyText"/>
      </w:pPr>
      <w:r>
        <w:rPr>
          <w:bCs/>
          <w:b/>
        </w:rPr>
        <w:t xml:space="preserve">Parole chiave:</w:t>
      </w:r>
      <w:r>
        <w:t xml:space="preserve"> </w:t>
      </w:r>
      <w:r>
        <w:t xml:space="preserve">autovalutazione; competenze strategiche; LLM;</w:t>
      </w:r>
      <w:r>
        <w:t xml:space="preserve"> </w:t>
      </w:r>
      <w:r>
        <w:rPr>
          <w:iCs/>
          <w:i/>
        </w:rPr>
        <w:t xml:space="preserve">chatbot</w:t>
      </w:r>
      <w:r>
        <w:t xml:space="preserve"> </w:t>
      </w:r>
      <w:r>
        <w:t xml:space="preserve">educativo; QSA; intelligenza artificiale generativa; ADDIE</w:t>
      </w:r>
      <w:r>
        <w:t xml:space="preserve"> </w:t>
      </w:r>
      <w:r>
        <w:rPr>
          <w:bCs/>
          <w:b/>
        </w:rPr>
        <w:t xml:space="preserve">Keywords:</w:t>
      </w:r>
      <w:r>
        <w:t xml:space="preserve"> </w:t>
      </w:r>
      <w:r>
        <w:t xml:space="preserve">self-assessment; strategic competences; LLM; educational</w:t>
      </w:r>
      <w:r>
        <w:t xml:space="preserve"> </w:t>
      </w:r>
      <w:r>
        <w:rPr>
          <w:iCs/>
          <w:i/>
        </w:rPr>
        <w:t xml:space="preserve">chatbot</w:t>
      </w:r>
      <w:r>
        <w:t xml:space="preserve">; QSA; generative AI; ADDIE</w:t>
      </w:r>
    </w:p>
    <w:bookmarkStart w:id="20" w:name="introduzione"/>
    <w:p>
      <w:pPr>
        <w:pStyle w:val="Heading2"/>
      </w:pPr>
      <w:r>
        <w:t xml:space="preserve">Introduzione</w:t>
      </w:r>
    </w:p>
    <w:p>
      <w:pPr>
        <w:pStyle w:val="FirstParagraph"/>
      </w:pPr>
      <w:r>
        <w:t xml:space="preserve">Nel panorama dell’orientamento scolastico e professionale, i questionari occupano un ruolo centrale. Presentano allo studente una serie di affermazioni — su stili di studio, strategie, concentrazione, emozioni, studio in gruppo — chiedendo il grado di accordo. Al termine, restituiscono un profilo che sintetizza i risultati in fattori o brevi commenti. Questo esito può essere oggetto di riflessione personale o discusso con tutor, docente o orientatore; tale accompagnamento trova però un limite nella disponibilità di chi lo svolge. I recenti modelli conversazionali basati su Large Language Model (LLM) possono costituire un ampliamento di questo accompagnamento. L’articolo esplora tale possibilitò decrivendo la costruzione e la validazione di Counselorbot, un assistente conversazionale progettato per guidare l’utente nella riflessione su questi strumenti. In particolare, è testato sul Questionario sulle Strategie di Apprendimento (QSA), ma è già predisposto per essere usato con altri strumenti.</w:t>
      </w:r>
    </w:p>
    <w:p>
      <w:pPr>
        <w:pStyle w:val="BodyText"/>
      </w:pPr>
      <w:r>
        <w:t xml:space="preserve">Il lavoro si articola in sei paragrafi. Il §1 presenta il quadro teorico e lo stato dell’arte; il §2 descrive la progettazione e l’architettura di Counselorbot. Il §3 illustra la metodologia di validazine di Counselorbot, i cui risultati sono presentati al §4. Il §5 discute le implicazioni dei risultati, mentre il §6 conclude tracciando le direzioni di sviluppo futuro.</w:t>
      </w:r>
    </w:p>
    <w:bookmarkEnd w:id="20"/>
    <w:bookmarkStart w:id="24" w:name="quadro-teorico-e-stato-dellarte"/>
    <w:p>
      <w:pPr>
        <w:pStyle w:val="Heading2"/>
      </w:pPr>
      <w:r>
        <w:t xml:space="preserve">1. Quadro teorico e stato dell’arte</w:t>
      </w:r>
    </w:p>
    <w:bookmarkStart w:id="21" w:name="llm-e-autovalutazione-in-educazione"/>
    <w:p>
      <w:pPr>
        <w:pStyle w:val="Heading3"/>
      </w:pPr>
      <w:r>
        <w:t xml:space="preserve">1.1 LLM e autovalutazione in educazione</w:t>
      </w:r>
    </w:p>
    <w:p>
      <w:pPr>
        <w:pStyle w:val="FirstParagraph"/>
      </w:pPr>
      <w:r>
        <w:t xml:space="preserve">L’intelligenza artificiale generativa (GenAI) è un insieme di strumenti in grado di produrre contenuti originali. Alla base di questi strumenti vi sono i</w:t>
      </w:r>
      <w:r>
        <w:t xml:space="preserve"> </w:t>
      </w:r>
      <w:r>
        <w:rPr>
          <w:iCs/>
          <w:i/>
        </w:rPr>
        <w:t xml:space="preserve">foundation model</w:t>
      </w:r>
      <w:r>
        <w:t xml:space="preserve">, ovvero grandi reti neurali in grado di apprendere dai dati (</w:t>
      </w:r>
      <w:r>
        <w:rPr>
          <w:iCs/>
          <w:i/>
        </w:rPr>
        <w:t xml:space="preserve">data driven</w:t>
      </w:r>
      <w:r>
        <w:t xml:space="preserve">), e tra queste famiglie la più diffusa è quella dei</w:t>
      </w:r>
      <w:r>
        <w:t xml:space="preserve"> </w:t>
      </w:r>
      <w:r>
        <w:rPr>
          <w:iCs/>
          <w:i/>
        </w:rPr>
        <w:t xml:space="preserve">Large Language Model</w:t>
      </w:r>
      <w:r>
        <w:t xml:space="preserve"> </w:t>
      </w:r>
      <w:r>
        <w:t xml:space="preserve">(LLM), modelli specializzati nel linguaggio (Brown et al. 2020).</w:t>
      </w:r>
    </w:p>
    <w:p>
      <w:pPr>
        <w:pStyle w:val="BodyText"/>
      </w:pPr>
      <w:r>
        <w:t xml:space="preserve">Gli LLM permettono agli attuali</w:t>
      </w:r>
      <w:r>
        <w:t xml:space="preserve"> </w:t>
      </w:r>
      <w:r>
        <w:rPr>
          <w:iCs/>
          <w:i/>
        </w:rPr>
        <w:t xml:space="preserve">chatbot</w:t>
      </w:r>
      <w:r>
        <w:t xml:space="preserve"> </w:t>
      </w:r>
      <w:r>
        <w:t xml:space="preserve">— le interfacce su cui accediamo a questi modelli — di superare i limiti dei</w:t>
      </w:r>
      <w:r>
        <w:t xml:space="preserve"> </w:t>
      </w:r>
      <w:r>
        <w:rPr>
          <w:iCs/>
          <w:i/>
        </w:rPr>
        <w:t xml:space="preserve">chatbot</w:t>
      </w:r>
      <w:r>
        <w:t xml:space="preserve"> </w:t>
      </w:r>
      <w:r>
        <w:t xml:space="preserve">del passato basati su regole (</w:t>
      </w:r>
      <w:r>
        <w:rPr>
          <w:iCs/>
          <w:i/>
        </w:rPr>
        <w:t xml:space="preserve">rule-based</w:t>
      </w:r>
      <w:r>
        <w:t xml:space="preserve">) (ELIZA, Weizenbaum 1966). Sono infatti in grado di produrre output adattivi e coerenti in linguaggio naturale, rendendo l’interazione più fluida e aperta a casi non previsti dal programmatore (Brown et al. 2020; Kasneci et al. 2023). Introducono tuttavia nuovi problemi tecnici — bias, allucinazioni, comportamenti non in linea con la richiesta — che richiedono un’attenta gestione (Bender et al. 2021). A questi si aggiunge un problema di accettazione: a parità di contenuto, le indicazioni fornite da un sistema artificiale tendono a essere percepite come meno credibili rispetto a quelle di un operatore umano (Cukurova et al. 2020).</w:t>
      </w:r>
    </w:p>
    <w:p>
      <w:pPr>
        <w:pStyle w:val="BodyText"/>
      </w:pPr>
      <w:r>
        <w:t xml:space="preserve">In ambito educativo, i</w:t>
      </w:r>
      <w:r>
        <w:t xml:space="preserve"> </w:t>
      </w:r>
      <w:r>
        <w:rPr>
          <w:iCs/>
          <w:i/>
        </w:rPr>
        <w:t xml:space="preserve">chatbot</w:t>
      </w:r>
      <w:r>
        <w:t xml:space="preserve"> </w:t>
      </w:r>
      <w:r>
        <w:t xml:space="preserve">hanno trovato impiego fin dagli anni Settanta nei primi sistemi di</w:t>
      </w:r>
      <w:r>
        <w:t xml:space="preserve"> </w:t>
      </w:r>
      <w:r>
        <w:rPr>
          <w:iCs/>
          <w:i/>
        </w:rPr>
        <w:t xml:space="preserve">tutoring</w:t>
      </w:r>
      <w:r>
        <w:t xml:space="preserve"> </w:t>
      </w:r>
      <w:r>
        <w:t xml:space="preserve">intelligente (Self 1974). I chatbot basati su regole si sono dimostrati efficaci per compiti strutturati — tutoring in discipline specifiche, assessment, predizione (Zawacki-Richter et al. 2019; Kuhail et al. 2022). Il</w:t>
      </w:r>
      <w:r>
        <w:t xml:space="preserve"> </w:t>
      </w:r>
      <w:r>
        <w:rPr>
          <w:iCs/>
          <w:i/>
        </w:rPr>
        <w:t xml:space="preserve">mentoring</w:t>
      </w:r>
      <w:r>
        <w:t xml:space="preserve">, inteso come accompagnamento tutoriale al percorso dello studente, è invece rimasto uno degli spazi meno coperti (Wollny et al. 2021): i diversi tentativi hanno mostrato che i sistemi a regole non erano ottimali per dialogo esteso e riflessione guidata (Su et al. 2020; Mendez et al. 2020; D’Silva et al. 2020).</w:t>
      </w:r>
    </w:p>
    <w:p>
      <w:pPr>
        <w:pStyle w:val="BodyText"/>
      </w:pPr>
      <w:r>
        <w:t xml:space="preserve">Gli LLM, per la loro flessibilità, cambiano questo quadro. Possono essere istruiti con direttive specifiche — i</w:t>
      </w:r>
      <w:r>
        <w:t xml:space="preserve"> </w:t>
      </w:r>
      <w:r>
        <w:rPr>
          <w:iCs/>
          <w:i/>
        </w:rPr>
        <w:t xml:space="preserve">system prompt</w:t>
      </w:r>
      <w:r>
        <w:t xml:space="preserve"> </w:t>
      </w:r>
      <w:r>
        <w:t xml:space="preserve">o i</w:t>
      </w:r>
      <w:r>
        <w:t xml:space="preserve"> </w:t>
      </w:r>
      <w:r>
        <w:rPr>
          <w:iCs/>
          <w:i/>
        </w:rPr>
        <w:t xml:space="preserve">meta prompt</w:t>
      </w:r>
      <w:r>
        <w:t xml:space="preserve"> </w:t>
      </w:r>
      <w:r>
        <w:t xml:space="preserve">— che ne vincolano il comportamento a un ruolo e a uno scopo, e generano linguaggio naturale coerente anche in risposta a input imprevisti (Kasneci et al. 2023). A questa istruibilità si aggiunge la possibilità di richiamare conoscenze contestuali — strategie approvate, dati del profilo dell’utente, frammenti di letteratura — migliorando l’accuratezza e la pertinenza delle risposte rispetto il contesto. Queste caratteristiche forniscono ingredienti promettenti per costruire un</w:t>
      </w:r>
      <w:r>
        <w:t xml:space="preserve"> </w:t>
      </w:r>
      <w:r>
        <w:rPr>
          <w:iCs/>
          <w:i/>
        </w:rPr>
        <w:t xml:space="preserve">mentoring chatbot</w:t>
      </w:r>
      <w:r>
        <w:t xml:space="preserve"> </w:t>
      </w:r>
      <w:r>
        <w:t xml:space="preserve">che accompagna l’utente in un percorso di autovalutazione, adattandosi alle sue esigenze.</w:t>
      </w:r>
    </w:p>
    <w:p>
      <w:pPr>
        <w:pStyle w:val="BodyText"/>
      </w:pPr>
      <w:r>
        <w:t xml:space="preserve">Tuttavia gli LLM presentano limiti che richiedono</w:t>
      </w:r>
      <w:r>
        <w:t xml:space="preserve"> </w:t>
      </w:r>
      <w:r>
        <w:rPr>
          <w:iCs/>
          <w:i/>
        </w:rPr>
        <w:t xml:space="preserve">guardrail</w:t>
      </w:r>
      <w:r>
        <w:t xml:space="preserve">: vincoli progettuali (</w:t>
      </w:r>
      <w:r>
        <w:rPr>
          <w:iCs/>
          <w:i/>
        </w:rPr>
        <w:t xml:space="preserve">system prompt</w:t>
      </w:r>
      <w:r>
        <w:t xml:space="preserve">, filtri, validazione output) che impediscono al modello di discostarsi dallo scopo dell’interazione.</w:t>
      </w:r>
    </w:p>
    <w:p>
      <w:pPr>
        <w:pStyle w:val="BodyText"/>
      </w:pPr>
      <w:r>
        <w:t xml:space="preserve">I</w:t>
      </w:r>
      <w:r>
        <w:t xml:space="preserve"> </w:t>
      </w:r>
      <w:r>
        <w:rPr>
          <w:iCs/>
          <w:i/>
        </w:rPr>
        <w:t xml:space="preserve">chatbot</w:t>
      </w:r>
      <w:r>
        <w:t xml:space="preserve"> </w:t>
      </w:r>
      <w:r>
        <w:t xml:space="preserve">moderni possono quindi rendere scalabili processi di orientamento e</w:t>
      </w:r>
      <w:r>
        <w:t xml:space="preserve"> </w:t>
      </w:r>
      <w:r>
        <w:rPr>
          <w:iCs/>
          <w:i/>
        </w:rPr>
        <w:t xml:space="preserve">mentoring</w:t>
      </w:r>
      <w:r>
        <w:t xml:space="preserve"> </w:t>
      </w:r>
      <w:r>
        <w:t xml:space="preserve">altrimenti non sostenibili (Neumann et al. 2021). Impiegati come tutor socratici — un modello dialogico in cui l’AI guida lo studente alla scoperta attraverso domande, non risposte dirette — possono inoltre sostenere lo sviluppo metacognitivo e l’</w:t>
      </w:r>
      <w:r>
        <w:rPr>
          <w:iCs/>
          <w:i/>
        </w:rPr>
        <w:t xml:space="preserve">agency</w:t>
      </w:r>
      <w:r>
        <w:t xml:space="preserve"> </w:t>
      </w:r>
      <w:r>
        <w:t xml:space="preserve">epistemica, ossia la capacità dello studente di porsi come agente attivo nella costruzione della propria conoscenza (Antunes et al. 2025). Perché ciò avvenga, il dialogo va progettato attorno a principi di autoregolazione (Chang et al. 2023). Le strategie di autovalutazione supportate dall’AI risultano ancora tra le meno utilizzate dagli studenti (Liu et al. 2025). Inoltre, la consapevolezza metacognitiva richiesta per interagire con la GenAI è essa stessa un’abilità da sostenere (Tankelevitch et al. 2024). Il framework delle competenze strategiche, descritto nel paragrafo successivo, è uno strumento pensato proprio per rilevare e sostenere queste strategie.</w:t>
      </w:r>
    </w:p>
    <w:bookmarkEnd w:id="21"/>
    <w:bookmarkStart w:id="22" w:name="Xe2e229299c2e79fda719114729b614d78b33f13"/>
    <w:p>
      <w:pPr>
        <w:pStyle w:val="Heading3"/>
      </w:pPr>
      <w:r>
        <w:t xml:space="preserve">1.2 Il framework delle competenze strategiche</w:t>
      </w:r>
    </w:p>
    <w:p>
      <w:pPr>
        <w:pStyle w:val="FirstParagraph"/>
      </w:pPr>
      <w:r>
        <w:t xml:space="preserve">Il costrutto di</w:t>
      </w:r>
      <w:r>
        <w:t xml:space="preserve"> </w:t>
      </w:r>
      <w:r>
        <w:rPr>
          <w:iCs/>
          <w:i/>
        </w:rPr>
        <w:t xml:space="preserve">competenza strategica</w:t>
      </w:r>
      <w:r>
        <w:t xml:space="preserve"> </w:t>
      </w:r>
      <w:r>
        <w:t xml:space="preserve">— sviluppato dal gruppo di ricerca coordinato da Pellerey e Margottini nell’ambito del CNOS-FAP (Pellerey et al., 2013) — affonda le sue radici nel concetto aristotelico-tomista di</w:t>
      </w:r>
      <w:r>
        <w:t xml:space="preserve"> </w:t>
      </w:r>
      <w:r>
        <w:rPr>
          <w:iCs/>
          <w:i/>
        </w:rPr>
        <w:t xml:space="preserve">abito</w:t>
      </w:r>
      <w:r>
        <w:t xml:space="preserve"> </w:t>
      </w:r>
      <w:r>
        <w:t xml:space="preserve">(habitus), inteso come disposizione stabile della persona che integra dimensioni intellettuali, operative e morali. Nel contesto educativo, designa l’insieme delle abilità cognitive, metacognitive, affettivo-motivazionali e volitive che uno studente attiva per pianificare, monitorare e regolare il proprio apprendimento, riconoscendo e mobilitando le risorse personali a disposizione. Il framework articola il costrutto in nove aree — che spaziano dalle strategie di studio alla collaborazione, dalla percezione di competenza all’autoregolazione, dal coping alla progettualità — e costituisce il riferimento teorico della piattaforma competenzestrategiche.it.</w:t>
      </w:r>
    </w:p>
    <w:p>
      <w:pPr>
        <w:pStyle w:val="BodyText"/>
      </w:pPr>
      <w:r>
        <w:t xml:space="preserve">A partire da questo costrutto è stato sviluppato il Questionario sulle Strategie di Apprendimento (QSA), che ne traduce le aree in fattori misurabili e ne restituisce un profilo individuale. Sulla piattaforma competenzestrategiche.it sono disponibili anche altri strumenti basati sul medesimo framework — tra cui lo ZTPI per la prospettiva temporale, il QAP per l’adattabilità professionale, il QPCS e il QPCC per diversi target di età — oltre a una forma ridotta del QSA (QSAr).</w:t>
      </w:r>
    </w:p>
    <w:bookmarkEnd w:id="22"/>
    <w:bookmarkStart w:id="23" w:name="posizionamento-del-lavoro"/>
    <w:p>
      <w:pPr>
        <w:pStyle w:val="Heading3"/>
      </w:pPr>
      <w:r>
        <w:t xml:space="preserve">1.3 Posizionamento del lavoro</w:t>
      </w:r>
    </w:p>
    <w:p>
      <w:pPr>
        <w:pStyle w:val="FirstParagraph"/>
      </w:pPr>
      <w:r>
        <w:t xml:space="preserve">L’analisi della letteratura e degli strumenti esistenti evidenzia uno scarto. Da un lato, i sistemi basati su LLM per il dialogo in contesti educativi sono ancora prevalentemente orientati al supporto emotivo o al tutoring disciplinare. Esistono lavori che esplorano l’uso degli LLM per generare feedback personalizzati — Susnjak (2023), ad esempio, usa un LLM per tradurre in linguaggio naturale le indicazioni emerse da un modello predittivo: «se aumenti la tua media del 10% e studi a tempo pieno, il tuo rischio di abbandono si riduce» — ma questi casi restano slegati da strumenti strutturati di autovalutazione. Dall’altro, gli strumenti di autovalutazione — come il QSA — restituiscono un profilo senza offrire uno strumento avannzato che aiuti lo studente a interpretarlo e a tradurlo in azioni concrete.</w:t>
      </w:r>
    </w:p>
    <w:p>
      <w:pPr>
        <w:pStyle w:val="BodyText"/>
      </w:pPr>
      <w:r>
        <w:t xml:space="preserve">Counselorbot si inserisce in questa lacuna.</w:t>
      </w:r>
    </w:p>
    <w:bookmarkEnd w:id="23"/>
    <w:bookmarkEnd w:id="24"/>
    <w:bookmarkStart w:id="28" w:name="progettazione-di-counselorbot"/>
    <w:p>
      <w:pPr>
        <w:pStyle w:val="Heading2"/>
      </w:pPr>
      <w:r>
        <w:t xml:space="preserve">2. Progettazione di Counselorbot</w:t>
      </w:r>
    </w:p>
    <w:bookmarkStart w:id="25" w:name="obiettivi-di-design-e-requisiti"/>
    <w:p>
      <w:pPr>
        <w:pStyle w:val="Heading3"/>
      </w:pPr>
      <w:r>
        <w:t xml:space="preserve">2.1 Obiettivi di design e requisiti</w:t>
      </w:r>
    </w:p>
    <w:p>
      <w:pPr>
        <w:pStyle w:val="FirstParagraph"/>
      </w:pPr>
      <w:r>
        <w:t xml:space="preserve">Il sistema accompagna l’utente in un percorso di riflessione fondato su strumenti di orientamento già validati — in particolare i questionari del sito competenzestrategiche.it. È aperto ad altri strumenti: include attualmente la simulazione del</w:t>
      </w:r>
      <w:r>
        <w:t xml:space="preserve"> </w:t>
      </w:r>
      <w:r>
        <w:rPr>
          <w:iCs/>
          <w:i/>
        </w:rPr>
        <w:t xml:space="preserve">Career Construction Interview</w:t>
      </w:r>
      <w:r>
        <w:t xml:space="preserve"> </w:t>
      </w:r>
      <w:r>
        <w:t xml:space="preserve">di Savickas (Savickas 2018) e il sistema PQBL di Jemstedt e Bälter (2024), con possibilità di integrarne altri in seguito. Il dialogo si basa su un piano pedagogico predefinito (Puech et al. 2025) in cui la flessibilità dell’LLM è guidata da una sequenza strutturata di passi. I criteri che hanno orientato la progettazione del sistema sono elencati qui di seguito; le implicazioni di ciascuno sono discusse nei paragrafi successivi.</w:t>
      </w:r>
    </w:p>
    <w:p>
      <w:pPr>
        <w:numPr>
          <w:ilvl w:val="0"/>
          <w:numId w:val="1001"/>
        </w:numPr>
        <w:pStyle w:val="Compact"/>
      </w:pPr>
      <w:r>
        <w:t xml:space="preserve">Multistrumento ed estensibile: supporto per diversi strumenti di orientamento, ciascuno con la propria logica di calcolo e modalità di interazione, e possibilità di integrarne altri.</w:t>
      </w:r>
    </w:p>
    <w:p>
      <w:pPr>
        <w:numPr>
          <w:ilvl w:val="0"/>
          <w:numId w:val="1001"/>
        </w:numPr>
        <w:pStyle w:val="Compact"/>
      </w:pPr>
      <w:r>
        <w:t xml:space="preserve">Chat guidata: la conversazione segue una sequenza predefinita di passi, all’interno dei quali l’LLM adatta il linguaggio all’utente.</w:t>
      </w:r>
    </w:p>
    <w:p>
      <w:pPr>
        <w:numPr>
          <w:ilvl w:val="0"/>
          <w:numId w:val="1001"/>
        </w:numPr>
        <w:pStyle w:val="Compact"/>
      </w:pPr>
      <w:r>
        <w:t xml:space="preserve">Configurabilità da pannello amministrativo:</w:t>
      </w:r>
      <w:r>
        <w:t xml:space="preserve"> </w:t>
      </w:r>
      <w:r>
        <w:rPr>
          <w:iCs/>
          <w:i/>
        </w:rPr>
        <w:t xml:space="preserve">prompt</w:t>
      </w:r>
      <w:r>
        <w:t xml:space="preserve">, sequenze e messaggi sono memorizzati nel</w:t>
      </w:r>
      <w:r>
        <w:t xml:space="preserve"> </w:t>
      </w:r>
      <w:r>
        <w:rPr>
          <w:iCs/>
          <w:i/>
        </w:rPr>
        <w:t xml:space="preserve">database</w:t>
      </w:r>
      <w:r>
        <w:t xml:space="preserve"> </w:t>
      </w:r>
      <w:r>
        <w:t xml:space="preserve">e modificabili senza intervento sul codice.</w:t>
      </w:r>
    </w:p>
    <w:p>
      <w:pPr>
        <w:numPr>
          <w:ilvl w:val="0"/>
          <w:numId w:val="1001"/>
        </w:numPr>
        <w:pStyle w:val="Compact"/>
      </w:pPr>
      <w:r>
        <w:t xml:space="preserve">Flessibilità del</w:t>
      </w:r>
      <w:r>
        <w:t xml:space="preserve"> </w:t>
      </w:r>
      <w:r>
        <w:rPr>
          <w:iCs/>
          <w:i/>
        </w:rPr>
        <w:t xml:space="preserve">provider</w:t>
      </w:r>
      <w:r>
        <w:t xml:space="preserve"> </w:t>
      </w:r>
      <w:r>
        <w:t xml:space="preserve">AI: supporto per</w:t>
      </w:r>
      <w:r>
        <w:t xml:space="preserve"> </w:t>
      </w:r>
      <w:r>
        <w:rPr>
          <w:iCs/>
          <w:i/>
        </w:rPr>
        <w:t xml:space="preserve">provider</w:t>
      </w:r>
      <w:r>
        <w:t xml:space="preserve"> </w:t>
      </w:r>
      <w:r>
        <w:t xml:space="preserve">intercambiabili senza modifiche al sistema.</w:t>
      </w:r>
    </w:p>
    <w:p>
      <w:pPr>
        <w:numPr>
          <w:ilvl w:val="0"/>
          <w:numId w:val="1001"/>
        </w:numPr>
        <w:pStyle w:val="Compact"/>
      </w:pPr>
      <w:r>
        <w:t xml:space="preserve">Base di conoscenza condivisa: le strategie sono conservate in un archivio e recuperate dall’LLM in base al profilo dell’utente. Un grafo della conoscenza connette strumenti, fattori e strategie.</w:t>
      </w:r>
    </w:p>
    <w:p>
      <w:pPr>
        <w:numPr>
          <w:ilvl w:val="0"/>
          <w:numId w:val="1001"/>
        </w:numPr>
        <w:pStyle w:val="Compact"/>
      </w:pPr>
      <w:r>
        <w:t xml:space="preserve">Supporto multilingua: interfaccia in sei lingue (italiano, inglese, spagnolo, francese, tedesco, svedese).</w:t>
      </w:r>
    </w:p>
    <w:bookmarkEnd w:id="25"/>
    <w:bookmarkStart w:id="26" w:name="architettura"/>
    <w:p>
      <w:pPr>
        <w:pStyle w:val="Heading3"/>
      </w:pPr>
      <w:r>
        <w:t xml:space="preserve">2.2 Architettura</w:t>
      </w:r>
    </w:p>
    <w:p>
      <w:pPr>
        <w:pStyle w:val="FirstParagraph"/>
      </w:pPr>
      <w:r>
        <w:t xml:space="preserve">L’architettura di Counselorbot si articola in tre componenti. Un</w:t>
      </w:r>
      <w:r>
        <w:t xml:space="preserve"> </w:t>
      </w:r>
      <w:r>
        <w:rPr>
          <w:iCs/>
          <w:i/>
        </w:rPr>
        <w:t xml:space="preserve">backend</w:t>
      </w:r>
      <w:r>
        <w:t xml:space="preserve"> </w:t>
      </w:r>
      <w:r>
        <w:t xml:space="preserve">— che integra un livello di astrazione verso i</w:t>
      </w:r>
      <w:r>
        <w:t xml:space="preserve"> </w:t>
      </w:r>
      <w:r>
        <w:rPr>
          <w:iCs/>
          <w:i/>
        </w:rPr>
        <w:t xml:space="preserve">provider</w:t>
      </w:r>
      <w:r>
        <w:t xml:space="preserve"> </w:t>
      </w:r>
      <w:r>
        <w:t xml:space="preserve">AI — espone i servizi di chat, amministrazione, gestione dei questionari e memoria di sessione, consentendo di commutare tra</w:t>
      </w:r>
      <w:r>
        <w:t xml:space="preserve"> </w:t>
      </w:r>
      <w:r>
        <w:rPr>
          <w:iCs/>
          <w:i/>
        </w:rPr>
        <w:t xml:space="preserve">provider</w:t>
      </w:r>
      <w:r>
        <w:t xml:space="preserve"> </w:t>
      </w:r>
      <w:r>
        <w:t xml:space="preserve">remoti e locali senza interruzioni. Un</w:t>
      </w:r>
      <w:r>
        <w:t xml:space="preserve"> </w:t>
      </w:r>
      <w:r>
        <w:rPr>
          <w:iCs/>
          <w:i/>
        </w:rPr>
        <w:t xml:space="preserve">frontend</w:t>
      </w:r>
      <w:r>
        <w:t xml:space="preserve"> </w:t>
      </w:r>
      <w:r>
        <w:t xml:space="preserve">modulare offre all’utente un selettore di strumenti, un modulo di inserimento punteggi, una visualizzazione del profilo e l’interfaccia di chat guidata. Un</w:t>
      </w:r>
      <w:r>
        <w:t xml:space="preserve"> </w:t>
      </w:r>
      <w:r>
        <w:rPr>
          <w:iCs/>
          <w:i/>
        </w:rPr>
        <w:t xml:space="preserve">database</w:t>
      </w:r>
      <w:r>
        <w:t xml:space="preserve"> </w:t>
      </w:r>
      <w:r>
        <w:t xml:space="preserve">relazionale conserva le configurazioni —</w:t>
      </w:r>
      <w:r>
        <w:t xml:space="preserve"> </w:t>
      </w:r>
      <w:r>
        <w:rPr>
          <w:iCs/>
          <w:i/>
        </w:rPr>
        <w:t xml:space="preserve">prompt</w:t>
      </w:r>
      <w:r>
        <w:t xml:space="preserve">, passi guidati, strategie — e la memoria di sessione.</w:t>
      </w:r>
    </w:p>
    <w:p>
      <w:pPr>
        <w:pStyle w:val="BodyText"/>
      </w:pPr>
      <w:r>
        <w:t xml:space="preserve">Il sistema non si limita a ricevere punteggi esterni: conosce la struttura di ciascun questionario — fattori, item, scale, stanine — e genera interpretazioni coerenti con le proprietà psicometriche del test. Le strategie approvate sono indicizzate per contenuto semantico e parole chiave, e il sistema le recupera automaticamente in base al fattore corrente e al profilo dell’utente, integrandole nella risposta dell’LLM senza richiedere all’amministratore di aggiornare manualmente il</w:t>
      </w:r>
      <w:r>
        <w:t xml:space="preserve"> </w:t>
      </w:r>
      <w:r>
        <w:rPr>
          <w:iCs/>
          <w:i/>
        </w:rPr>
        <w:t xml:space="preserve">prompt</w:t>
      </w:r>
      <w:r>
        <w:t xml:space="preserve">. Un grafo della conoscenza — che collega strumenti, fattori, strategie e riferimenti — estende la ricerca documentale alle voci concettualmente vicine, consentendo al sistema di attingere a contenuti correlati anche quando non corrispondono esattamente ai termini della</w:t>
      </w:r>
      <w:r>
        <w:t xml:space="preserve"> </w:t>
      </w:r>
      <w:r>
        <w:rPr>
          <w:iCs/>
          <w:i/>
        </w:rPr>
        <w:t xml:space="preserve">query</w:t>
      </w:r>
      <w:r>
        <w:t xml:space="preserve">.</w:t>
      </w:r>
    </w:p>
    <w:p>
      <w:pPr>
        <w:pStyle w:val="BodyText"/>
      </w:pPr>
      <w:r>
        <w:t xml:space="preserve">A queste funzionalità si aggiunge una memoria condivisa delle risposte: quando un utente valuta positivamente una risposta dell’assistente, questa viene conservata e riproposta come riferimento in sessioni successive per domande analoghe, creando un meccanismo di apprendimento collettivo che migliora la qualità del supporto nel tempo. Parallelamente, tutte le interazioni sono registrate in un archivio consultabile dagli amministratori per monitorare l’uso del sistema e identificare aree di miglioramento.</w:t>
      </w:r>
    </w:p>
    <w:p>
      <w:pPr>
        <w:pStyle w:val="BodyText"/>
      </w:pPr>
      <w:r>
        <w:t xml:space="preserve">L’elemento centrale dell’interazione è la sequenza di</w:t>
      </w:r>
      <w:r>
        <w:t xml:space="preserve"> </w:t>
      </w:r>
      <w:r>
        <w:rPr>
          <w:iCs/>
          <w:i/>
        </w:rPr>
        <w:t xml:space="preserve">passi guidati</w:t>
      </w:r>
      <w:r>
        <w:t xml:space="preserve"> </w:t>
      </w:r>
      <w:r>
        <w:t xml:space="preserve">(</w:t>
      </w:r>
      <w:r>
        <w:rPr>
          <w:iCs/>
          <w:i/>
        </w:rPr>
        <w:t xml:space="preserve">guided steps</w:t>
      </w:r>
      <w:r>
        <w:t xml:space="preserve">): una serie di fasi predefinite che determinano l’ordine del dialogo e il</w:t>
      </w:r>
      <w:r>
        <w:t xml:space="preserve"> </w:t>
      </w:r>
      <w:r>
        <w:rPr>
          <w:iCs/>
          <w:i/>
        </w:rPr>
        <w:t xml:space="preserve">prompt</w:t>
      </w:r>
      <w:r>
        <w:t xml:space="preserve"> </w:t>
      </w:r>
      <w:r>
        <w:t xml:space="preserve">di sistema per ciascuna fase, garantendo che la conversazione copra tutti gli ambiti del profilo. All’interno di ogni passo, l’LLM dispone della flessibilità necessaria per adattare linguaggio e risposte agli input dell’utente, realizzando la forma ibrida tra controllo deterministico e adattività conversazionale.</w:t>
      </w:r>
    </w:p>
    <w:bookmarkEnd w:id="26"/>
    <w:bookmarkStart w:id="27" w:name="flusso-di-interazione"/>
    <w:p>
      <w:pPr>
        <w:pStyle w:val="Heading3"/>
      </w:pPr>
      <w:r>
        <w:t xml:space="preserve">2.3 Flusso di interazione</w:t>
      </w:r>
    </w:p>
    <w:p>
      <w:pPr>
        <w:pStyle w:val="FirstParagraph"/>
      </w:pPr>
      <w:r>
        <w:t xml:space="preserve">Il percorso tipo si articola in quattro fasi.</w:t>
      </w:r>
    </w:p>
    <w:p>
      <w:pPr>
        <w:numPr>
          <w:ilvl w:val="0"/>
          <w:numId w:val="1002"/>
        </w:numPr>
      </w:pPr>
      <w:r>
        <w:t xml:space="preserve">Selezione dello strumento. L’utente sceglie tra QSA, QSAr, ZTPI, PQBL o intervista Savickas. Ciascuno strumento attiva una propria sequenza di passi guidati e un insieme di</w:t>
      </w:r>
      <w:r>
        <w:t xml:space="preserve"> </w:t>
      </w:r>
      <w:r>
        <w:rPr>
          <w:iCs/>
          <w:i/>
        </w:rPr>
        <w:t xml:space="preserve">prompt</w:t>
      </w:r>
      <w:r>
        <w:t xml:space="preserve"> </w:t>
      </w:r>
      <w:r>
        <w:t xml:space="preserve">specifici.</w:t>
      </w:r>
    </w:p>
    <w:p>
      <w:pPr>
        <w:numPr>
          <w:ilvl w:val="0"/>
          <w:numId w:val="1002"/>
        </w:numPr>
      </w:pPr>
      <w:r>
        <w:t xml:space="preserve">Inserimento del profilo. Per QSA, QSAr e ZTPI, l’utente inserisce i risultati del questionario; per il PQBL il sistema propone un testo e avvia un dialogo di domande e</w:t>
      </w:r>
      <w:r>
        <w:t xml:space="preserve"> </w:t>
      </w:r>
      <w:r>
        <w:rPr>
          <w:iCs/>
          <w:i/>
        </w:rPr>
        <w:t xml:space="preserve">feedback</w:t>
      </w:r>
      <w:r>
        <w:t xml:space="preserve">; per l’intervista Savickas il sistema conduce un’intervista qualitativa a cinque domande, al termine della quale genera una sintesi narrativa.</w:t>
      </w:r>
    </w:p>
    <w:p>
      <w:pPr>
        <w:numPr>
          <w:ilvl w:val="0"/>
          <w:numId w:val="1002"/>
        </w:numPr>
      </w:pPr>
      <w:r>
        <w:t xml:space="preserve">Visualizzazione. Il profilo è mostrato come grafico a barre con codifica cromatica (verde per i punti di forza, giallo per la fascia media, rosso per le aree di miglioramento).</w:t>
      </w:r>
    </w:p>
    <w:p>
      <w:pPr>
        <w:numPr>
          <w:ilvl w:val="0"/>
          <w:numId w:val="1002"/>
        </w:numPr>
      </w:pPr>
      <w:r>
        <w:t xml:space="preserve">Chat guidata. Il sistema propone una lettura passo per passo, la cui sequenza varia in base allo strumento selezionato. La logica di ciascun passo è determinata dal suo oggetto: se il passo riguarda i punteggi di un fattore — ad esempio i fattori cognitivi — l’LLM ne spiega il significato e i singoli valori; se il passo riguarda le relazioni tra più fattori, il sistema costruisce una sintesi narrativa da proporre all’utente. Per ogni passo l’LLM attinge dalla</w:t>
      </w:r>
      <w:r>
        <w:t xml:space="preserve"> </w:t>
      </w:r>
      <w:r>
        <w:rPr>
          <w:iCs/>
          <w:i/>
        </w:rPr>
        <w:t xml:space="preserve">knowledge base</w:t>
      </w:r>
      <w:r>
        <w:t xml:space="preserve"> </w:t>
      </w:r>
      <w:r>
        <w:t xml:space="preserve">per suggerire strategie pertinenti. L’utente può approfondire liberamente prima di passare al passo successivo. Al termine viene offerta una sintesi complessiva e la possibilità di condividere le strategie ritenute più utili.</w:t>
      </w:r>
    </w:p>
    <w:bookmarkEnd w:id="27"/>
    <w:bookmarkEnd w:id="28"/>
    <w:bookmarkStart w:id="32" w:name="metodologia-di-valutazione"/>
    <w:p>
      <w:pPr>
        <w:pStyle w:val="Heading2"/>
      </w:pPr>
      <w:r>
        <w:t xml:space="preserve">3. Metodologia di valutazione</w:t>
      </w:r>
    </w:p>
    <w:bookmarkStart w:id="29" w:name="disegno-della-ricerca"/>
    <w:p>
      <w:pPr>
        <w:pStyle w:val="Heading3"/>
      </w:pPr>
      <w:r>
        <w:t xml:space="preserve">3.1 Disegno della ricerca</w:t>
      </w:r>
    </w:p>
    <w:p>
      <w:pPr>
        <w:pStyle w:val="FirstParagraph"/>
      </w:pPr>
      <w:r>
        <w:t xml:space="preserve">Lo sviluppo di Counselorbot segue il modello ADDIE (Branch 2009), un acronimo che indica cinque fasi:</w:t>
      </w:r>
      <w:r>
        <w:t xml:space="preserve"> </w:t>
      </w:r>
      <w:r>
        <w:rPr>
          <w:iCs/>
          <w:i/>
        </w:rPr>
        <w:t xml:space="preserve">Analysis</w:t>
      </w:r>
      <w:r>
        <w:t xml:space="preserve"> </w:t>
      </w:r>
      <w:r>
        <w:t xml:space="preserve">(analisi dei bisogni formativi e del contesto),</w:t>
      </w:r>
      <w:r>
        <w:t xml:space="preserve"> </w:t>
      </w:r>
      <w:r>
        <w:rPr>
          <w:iCs/>
          <w:i/>
        </w:rPr>
        <w:t xml:space="preserve">Design</w:t>
      </w:r>
      <w:r>
        <w:t xml:space="preserve"> </w:t>
      </w:r>
      <w:r>
        <w:t xml:space="preserve">(progettazione dell’architettura e dell’interazione),</w:t>
      </w:r>
      <w:r>
        <w:t xml:space="preserve"> </w:t>
      </w:r>
      <w:r>
        <w:rPr>
          <w:iCs/>
          <w:i/>
        </w:rPr>
        <w:t xml:space="preserve">Development</w:t>
      </w:r>
      <w:r>
        <w:t xml:space="preserve"> </w:t>
      </w:r>
      <w:r>
        <w:t xml:space="preserve">(realizzazione del sistema),</w:t>
      </w:r>
      <w:r>
        <w:t xml:space="preserve"> </w:t>
      </w:r>
      <w:r>
        <w:rPr>
          <w:iCs/>
          <w:i/>
        </w:rPr>
        <w:t xml:space="preserve">Implementation</w:t>
      </w:r>
      <w:r>
        <w:t xml:space="preserve"> </w:t>
      </w:r>
      <w:r>
        <w:t xml:space="preserve">(rilascio e formazione degli utenti) ed</w:t>
      </w:r>
      <w:r>
        <w:t xml:space="preserve"> </w:t>
      </w:r>
      <w:r>
        <w:rPr>
          <w:iCs/>
          <w:i/>
        </w:rPr>
        <w:t xml:space="preserve">Evaluation</w:t>
      </w:r>
      <w:r>
        <w:t xml:space="preserve"> </w:t>
      </w:r>
      <w:r>
        <w:t xml:space="preserve">(valutazione dei risultati). Il lavoro descritto in questo articolo si colloca nella fase di</w:t>
      </w:r>
      <w:r>
        <w:t xml:space="preserve"> </w:t>
      </w:r>
      <w:r>
        <w:rPr>
          <w:iCs/>
          <w:i/>
        </w:rPr>
        <w:t xml:space="preserve">Evaluation</w:t>
      </w:r>
      <w:r>
        <w:t xml:space="preserve"> </w:t>
      </w:r>
      <w:r>
        <w:t xml:space="preserve">del secondo ciclo di sviluppo.</w:t>
      </w:r>
    </w:p>
    <w:p>
      <w:pPr>
        <w:pStyle w:val="BodyText"/>
      </w:pPr>
      <w:r>
        <w:t xml:space="preserve">Il primo ciclo ha prodotto una versione basata su un’architettura RAG (Retrieval-Augmented Generation) con</w:t>
      </w:r>
      <w:r>
        <w:t xml:space="preserve"> </w:t>
      </w:r>
      <w:r>
        <w:rPr>
          <w:iCs/>
          <w:i/>
        </w:rPr>
        <w:t xml:space="preserve">system prompt</w:t>
      </w:r>
      <w:r>
        <w:t xml:space="preserve"> </w:t>
      </w:r>
      <w:r>
        <w:t xml:space="preserve">(ai4educ), in cui l’LLM rispondeva alle domande dell’utente attingendo da documenti caricati in una memoria vettoriale, senza una logica di navigazione predefinita. I risultati di questo primo ciclo — discussi in §4 — hanno evidenziato criticità nella coerenza delle analisi e nell’inserimento manuale dei dati, portando a un secondo ciclo di progettazione. Tra i due cicli sono state condotte prove interne e messe a punto incrementali che hanno guidato la progettazione della versione successiva. Il secondo ciclo ha prodotto la versione Step-by-Step (SBS), che introduce i passi guidati, il grafo della conoscenza, l’indicizzazione semantica delle strategie e l’interfaccia ottimizzata per l’inserimento dei profili.</w:t>
      </w:r>
    </w:p>
    <w:p>
      <w:pPr>
        <w:pStyle w:val="BodyText"/>
      </w:pPr>
      <w:r>
        <w:t xml:space="preserve">La valutazione presentata in questo lavoro adotta un disegno comparativo</w:t>
      </w:r>
      <w:r>
        <w:t xml:space="preserve"> </w:t>
      </w:r>
      <w:r>
        <w:rPr>
          <w:iCs/>
          <w:i/>
        </w:rPr>
        <w:t xml:space="preserve">between-subjects</w:t>
      </w:r>
      <w:r>
        <w:t xml:space="preserve"> </w:t>
      </w:r>
      <w:r>
        <w:t xml:space="preserve">tra le due versioni (SBS e ai4educ): ciascun partecipante ha utilizzato una sola versione, al termine della quale ha compilato un questionario di gradimento, descritto nel §3.3.</w:t>
      </w:r>
    </w:p>
    <w:bookmarkEnd w:id="29"/>
    <w:bookmarkStart w:id="30" w:name="partecipanti-e-procedura"/>
    <w:p>
      <w:pPr>
        <w:pStyle w:val="Heading3"/>
      </w:pPr>
      <w:r>
        <w:t xml:space="preserve">3.2 Partecipanti e procedura</w:t>
      </w:r>
    </w:p>
    <w:p>
      <w:pPr>
        <w:pStyle w:val="FirstParagraph"/>
      </w:pPr>
      <w:r>
        <w:t xml:space="preserve">Al momento della scrittura — la raccolta è in corso — hanno completato il questionario 34 partecipanti: 7 attraverso la versione SBS e 27 attraverso la versione precedente (ai4educ). Il campione è eterogeneo per età (14–53 anni) e livello di istruzione (dalla scuola secondaria di primo grado alla laurea magistrale). La procedura prevedeva la compilazione del QSA, la visualizzazione del profilo e la chat guidata fattore per fattore, al termine della quale veniva proposto il questionario di gradimento.</w:t>
      </w:r>
    </w:p>
    <w:bookmarkEnd w:id="30"/>
    <w:bookmarkStart w:id="31" w:name="strumenti-e-metriche"/>
    <w:p>
      <w:pPr>
        <w:pStyle w:val="Heading3"/>
      </w:pPr>
      <w:r>
        <w:t xml:space="preserve">3.3 Strumenti e metriche</w:t>
      </w:r>
    </w:p>
    <w:p>
      <w:pPr>
        <w:pStyle w:val="FirstParagraph"/>
      </w:pPr>
      <w:r>
        <w:t xml:space="preserve">Il questionario di gradimento si compone di dieci item su scala Likert a cinque punti (1 = «Per niente», 5 = «Molto»), che coprono le seguenti dimensioni: utilità percepita, pertinenza delle risposte, chiarezza delle spiegazioni, adeguatezza del dettaglio, facilità d’uso dell’interfaccia, velocità di risposta, fiducia nelle informazioni ricevute, capacità di stimolare la riflessione su di sé, coinvolgimento generale e intenzione di riutilizzo o raccomandazione ad altri. Per ciascun item è calcolata la media aritmetica, separatamente per le due versioni del sistema (SBS e ai4educ), senza aggregazioni in sottoscale. Sono inoltre raccolti dati demografici (età, sesso, titolo di studio, tipo di istituto, provenienza geografica) e, nella versione estesa del questionario, due domande aperte per la raccolta di riflessioni libere e suggerimenti, analizzate qualitativamente tramite categorizzazione tematica.</w:t>
      </w:r>
    </w:p>
    <w:bookmarkEnd w:id="31"/>
    <w:bookmarkEnd w:id="32"/>
    <w:bookmarkStart w:id="35" w:name="risultati"/>
    <w:p>
      <w:pPr>
        <w:pStyle w:val="Heading2"/>
      </w:pPr>
      <w:r>
        <w:t xml:space="preserve">4. Risultati</w:t>
      </w:r>
    </w:p>
    <w:bookmarkStart w:id="33" w:name="esperienza-utente"/>
    <w:p>
      <w:pPr>
        <w:pStyle w:val="Heading3"/>
      </w:pPr>
      <w:r>
        <w:t xml:space="preserve">4.1 Esperienza utente</w:t>
      </w:r>
    </w:p>
    <w:p>
      <w:pPr>
        <w:pStyle w:val="FirstParagraph"/>
      </w:pPr>
      <w:r>
        <w:t xml:space="preserve">La versione SBS ottiene valutazioni superiori alla precedente in 9 dimensioni su 10. Dei 27 partecipanti della versione ai4educ, 16 hanno fornito valutazioni numeriche e 11 solo commenti aperti; per SBS è stato escluso un record di test, portando il numeratore a 6. La tabella seguente confronta le medie delle due versioni.</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Dimensione</w:t>
            </w:r>
          </w:p>
        </w:tc>
        <w:tc>
          <w:tcPr/>
          <w:p>
            <w:pPr>
              <w:pStyle w:val="Compact"/>
              <w:jc w:val="left"/>
            </w:pPr>
            <w:r>
              <w:t xml:space="preserve">SBS (n=6)</w:t>
            </w:r>
          </w:p>
        </w:tc>
        <w:tc>
          <w:tcPr/>
          <w:p>
            <w:pPr>
              <w:pStyle w:val="Compact"/>
              <w:jc w:val="left"/>
            </w:pPr>
            <w:r>
              <w:t xml:space="preserve">ai4educ (n=16)</w:t>
            </w:r>
          </w:p>
        </w:tc>
        <w:tc>
          <w:tcPr/>
          <w:p>
            <w:pPr>
              <w:pStyle w:val="Compact"/>
              <w:jc w:val="left"/>
            </w:pPr>
            <w:r>
              <w:t xml:space="preserve">Δ</w:t>
            </w:r>
          </w:p>
        </w:tc>
        <w:tc>
          <w:tcPr/>
          <w:p>
            <w:pPr>
              <w:pStyle w:val="Compact"/>
            </w:pPr>
          </w:p>
        </w:tc>
      </w:tr>
      <w:tr>
        <w:tc>
          <w:tcPr/>
          <w:p>
            <w:pPr>
              <w:pStyle w:val="Compact"/>
              <w:jc w:val="left"/>
            </w:pPr>
            <w:r>
              <w:t xml:space="preserve">Facilità d’uso</w:t>
            </w:r>
          </w:p>
        </w:tc>
        <w:tc>
          <w:tcPr/>
          <w:p>
            <w:pPr>
              <w:pStyle w:val="Compact"/>
              <w:jc w:val="left"/>
            </w:pPr>
            <w:r>
              <w:t xml:space="preserve">4,17</w:t>
            </w:r>
          </w:p>
        </w:tc>
        <w:tc>
          <w:tcPr/>
          <w:p>
            <w:pPr>
              <w:pStyle w:val="Compact"/>
              <w:jc w:val="left"/>
            </w:pPr>
            <w:r>
              <w:t xml:space="preserve">3,38</w:t>
            </w:r>
          </w:p>
        </w:tc>
        <w:tc>
          <w:tcPr/>
          <w:p>
            <w:pPr>
              <w:pStyle w:val="Compact"/>
              <w:jc w:val="left"/>
            </w:pPr>
            <w:r>
              <w:t xml:space="preserve">+0,79</w:t>
            </w:r>
          </w:p>
        </w:tc>
        <w:tc>
          <w:tcPr/>
          <w:p>
            <w:pPr>
              <w:pStyle w:val="Compact"/>
            </w:pPr>
          </w:p>
        </w:tc>
      </w:tr>
      <w:tr>
        <w:tc>
          <w:tcPr/>
          <w:p>
            <w:pPr>
              <w:pStyle w:val="Compact"/>
              <w:jc w:val="left"/>
            </w:pPr>
            <w:r>
              <w:t xml:space="preserve">Pertinenza delle risposte</w:t>
            </w:r>
          </w:p>
        </w:tc>
        <w:tc>
          <w:tcPr/>
          <w:p>
            <w:pPr>
              <w:pStyle w:val="Compact"/>
              <w:jc w:val="left"/>
            </w:pPr>
            <w:r>
              <w:t xml:space="preserve">4,17</w:t>
            </w:r>
          </w:p>
        </w:tc>
        <w:tc>
          <w:tcPr/>
          <w:p>
            <w:pPr>
              <w:pStyle w:val="Compact"/>
              <w:jc w:val="left"/>
            </w:pPr>
            <w:r>
              <w:t xml:space="preserve">3,56</w:t>
            </w:r>
          </w:p>
        </w:tc>
        <w:tc>
          <w:tcPr/>
          <w:p>
            <w:pPr>
              <w:pStyle w:val="Compact"/>
              <w:jc w:val="left"/>
            </w:pPr>
            <w:r>
              <w:t xml:space="preserve">+0,60</w:t>
            </w:r>
          </w:p>
        </w:tc>
        <w:tc>
          <w:tcPr/>
          <w:p>
            <w:pPr>
              <w:pStyle w:val="Compact"/>
            </w:pPr>
          </w:p>
        </w:tc>
      </w:tr>
      <w:tr>
        <w:tc>
          <w:tcPr/>
          <w:p>
            <w:pPr>
              <w:pStyle w:val="Compact"/>
              <w:jc w:val="left"/>
            </w:pPr>
            <w:r>
              <w:t xml:space="preserve">Fiducia nelle informazioni</w:t>
            </w:r>
          </w:p>
        </w:tc>
        <w:tc>
          <w:tcPr/>
          <w:p>
            <w:pPr>
              <w:pStyle w:val="Compact"/>
              <w:jc w:val="left"/>
            </w:pPr>
            <w:r>
              <w:t xml:space="preserve">3,83</w:t>
            </w:r>
          </w:p>
        </w:tc>
        <w:tc>
          <w:tcPr/>
          <w:p>
            <w:pPr>
              <w:pStyle w:val="Compact"/>
              <w:jc w:val="left"/>
            </w:pPr>
            <w:r>
              <w:t xml:space="preserve">3,19</w:t>
            </w:r>
          </w:p>
        </w:tc>
        <w:tc>
          <w:tcPr/>
          <w:p>
            <w:pPr>
              <w:pStyle w:val="Compact"/>
              <w:jc w:val="left"/>
            </w:pPr>
            <w:r>
              <w:t xml:space="preserve">+0,65</w:t>
            </w:r>
          </w:p>
        </w:tc>
        <w:tc>
          <w:tcPr/>
          <w:p>
            <w:pPr>
              <w:pStyle w:val="Compact"/>
            </w:pPr>
          </w:p>
        </w:tc>
      </w:tr>
      <w:tr>
        <w:tc>
          <w:tcPr/>
          <w:p>
            <w:pPr>
              <w:pStyle w:val="Compact"/>
              <w:jc w:val="left"/>
            </w:pPr>
            <w:r>
              <w:t xml:space="preserve">Coinvolgimento</w:t>
            </w:r>
          </w:p>
        </w:tc>
        <w:tc>
          <w:tcPr/>
          <w:p>
            <w:pPr>
              <w:pStyle w:val="Compact"/>
              <w:jc w:val="left"/>
            </w:pPr>
            <w:r>
              <w:t xml:space="preserve">3,67</w:t>
            </w:r>
          </w:p>
        </w:tc>
        <w:tc>
          <w:tcPr/>
          <w:p>
            <w:pPr>
              <w:pStyle w:val="Compact"/>
              <w:jc w:val="left"/>
            </w:pPr>
            <w:r>
              <w:t xml:space="preserve">3,06</w:t>
            </w:r>
          </w:p>
        </w:tc>
        <w:tc>
          <w:tcPr/>
          <w:p>
            <w:pPr>
              <w:pStyle w:val="Compact"/>
              <w:jc w:val="left"/>
            </w:pPr>
            <w:r>
              <w:t xml:space="preserve">+0,60</w:t>
            </w:r>
          </w:p>
        </w:tc>
        <w:tc>
          <w:tcPr/>
          <w:p>
            <w:pPr>
              <w:pStyle w:val="Compact"/>
            </w:pPr>
          </w:p>
        </w:tc>
      </w:tr>
      <w:tr>
        <w:tc>
          <w:tcPr/>
          <w:p>
            <w:pPr>
              <w:pStyle w:val="Compact"/>
              <w:jc w:val="left"/>
            </w:pPr>
            <w:r>
              <w:t xml:space="preserve">Capacità di stimolare la riflessione</w:t>
            </w:r>
          </w:p>
        </w:tc>
        <w:tc>
          <w:tcPr/>
          <w:p>
            <w:pPr>
              <w:pStyle w:val="Compact"/>
              <w:jc w:val="left"/>
            </w:pPr>
            <w:r>
              <w:t xml:space="preserve">3,83</w:t>
            </w:r>
          </w:p>
        </w:tc>
        <w:tc>
          <w:tcPr/>
          <w:p>
            <w:pPr>
              <w:pStyle w:val="Compact"/>
              <w:jc w:val="left"/>
            </w:pPr>
            <w:r>
              <w:t xml:space="preserve">3,25</w:t>
            </w:r>
          </w:p>
        </w:tc>
        <w:tc>
          <w:tcPr/>
          <w:p>
            <w:pPr>
              <w:pStyle w:val="Compact"/>
              <w:jc w:val="left"/>
            </w:pPr>
            <w:r>
              <w:t xml:space="preserve">+0,58</w:t>
            </w:r>
          </w:p>
        </w:tc>
        <w:tc>
          <w:tcPr/>
          <w:p>
            <w:pPr>
              <w:pStyle w:val="Compact"/>
            </w:pPr>
          </w:p>
        </w:tc>
      </w:tr>
      <w:tr>
        <w:tc>
          <w:tcPr/>
          <w:p>
            <w:pPr>
              <w:pStyle w:val="Compact"/>
              <w:jc w:val="left"/>
            </w:pPr>
            <w:r>
              <w:t xml:space="preserve">Chiarezza</w:t>
            </w:r>
          </w:p>
        </w:tc>
        <w:tc>
          <w:tcPr/>
          <w:p>
            <w:pPr>
              <w:pStyle w:val="Compact"/>
              <w:jc w:val="left"/>
            </w:pPr>
            <w:r>
              <w:t xml:space="preserve">4,00</w:t>
            </w:r>
          </w:p>
        </w:tc>
        <w:tc>
          <w:tcPr/>
          <w:p>
            <w:pPr>
              <w:pStyle w:val="Compact"/>
              <w:jc w:val="left"/>
            </w:pPr>
            <w:r>
              <w:t xml:space="preserve">3,69</w:t>
            </w:r>
          </w:p>
        </w:tc>
        <w:tc>
          <w:tcPr/>
          <w:p>
            <w:pPr>
              <w:pStyle w:val="Compact"/>
              <w:jc w:val="left"/>
            </w:pPr>
            <w:r>
              <w:t xml:space="preserve">+0,31</w:t>
            </w:r>
          </w:p>
        </w:tc>
        <w:tc>
          <w:tcPr/>
          <w:p>
            <w:pPr>
              <w:pStyle w:val="Compact"/>
            </w:pPr>
          </w:p>
        </w:tc>
      </w:tr>
      <w:tr>
        <w:tc>
          <w:tcPr/>
          <w:p>
            <w:pPr>
              <w:pStyle w:val="Compact"/>
              <w:jc w:val="left"/>
            </w:pPr>
            <w:r>
              <w:t xml:space="preserve">Velocità di risposta</w:t>
            </w:r>
          </w:p>
        </w:tc>
        <w:tc>
          <w:tcPr/>
          <w:p>
            <w:pPr>
              <w:pStyle w:val="Compact"/>
              <w:jc w:val="left"/>
            </w:pPr>
            <w:r>
              <w:t xml:space="preserve">3,83</w:t>
            </w:r>
          </w:p>
        </w:tc>
        <w:tc>
          <w:tcPr/>
          <w:p>
            <w:pPr>
              <w:pStyle w:val="Compact"/>
              <w:jc w:val="left"/>
            </w:pPr>
            <w:r>
              <w:t xml:space="preserve">3,44</w:t>
            </w:r>
          </w:p>
        </w:tc>
        <w:tc>
          <w:tcPr/>
          <w:p>
            <w:pPr>
              <w:pStyle w:val="Compact"/>
              <w:jc w:val="left"/>
            </w:pPr>
            <w:r>
              <w:t xml:space="preserve">+0,40</w:t>
            </w:r>
          </w:p>
        </w:tc>
        <w:tc>
          <w:tcPr/>
          <w:p>
            <w:pPr>
              <w:pStyle w:val="Compact"/>
            </w:pPr>
          </w:p>
        </w:tc>
      </w:tr>
      <w:tr>
        <w:tc>
          <w:tcPr/>
          <w:p>
            <w:pPr>
              <w:pStyle w:val="Compact"/>
              <w:jc w:val="left"/>
            </w:pPr>
            <w:r>
              <w:t xml:space="preserve">Dettaglio delle risposte</w:t>
            </w:r>
          </w:p>
        </w:tc>
        <w:tc>
          <w:tcPr/>
          <w:p>
            <w:pPr>
              <w:pStyle w:val="Compact"/>
              <w:jc w:val="left"/>
            </w:pPr>
            <w:r>
              <w:t xml:space="preserve">3,67</w:t>
            </w:r>
          </w:p>
        </w:tc>
        <w:tc>
          <w:tcPr/>
          <w:p>
            <w:pPr>
              <w:pStyle w:val="Compact"/>
              <w:jc w:val="left"/>
            </w:pPr>
            <w:r>
              <w:t xml:space="preserve">3,56</w:t>
            </w:r>
          </w:p>
        </w:tc>
        <w:tc>
          <w:tcPr/>
          <w:p>
            <w:pPr>
              <w:pStyle w:val="Compact"/>
              <w:jc w:val="left"/>
            </w:pPr>
            <w:r>
              <w:t xml:space="preserve">+0,10</w:t>
            </w:r>
          </w:p>
        </w:tc>
        <w:tc>
          <w:tcPr/>
          <w:p>
            <w:pPr>
              <w:pStyle w:val="Compact"/>
            </w:pPr>
          </w:p>
        </w:tc>
      </w:tr>
      <w:tr>
        <w:tc>
          <w:tcPr/>
          <w:p>
            <w:pPr>
              <w:pStyle w:val="Compact"/>
              <w:jc w:val="left"/>
            </w:pPr>
            <w:r>
              <w:t xml:space="preserve">Utilità percepita</w:t>
            </w:r>
          </w:p>
        </w:tc>
        <w:tc>
          <w:tcPr/>
          <w:p>
            <w:pPr>
              <w:pStyle w:val="Compact"/>
              <w:jc w:val="left"/>
            </w:pPr>
            <w:r>
              <w:t xml:space="preserve">3,17</w:t>
            </w:r>
          </w:p>
        </w:tc>
        <w:tc>
          <w:tcPr/>
          <w:p>
            <w:pPr>
              <w:pStyle w:val="Compact"/>
              <w:jc w:val="left"/>
            </w:pPr>
            <w:r>
              <w:t xml:space="preserve">3,31</w:t>
            </w:r>
          </w:p>
        </w:tc>
        <w:tc>
          <w:tcPr/>
          <w:p>
            <w:pPr>
              <w:pStyle w:val="Compact"/>
              <w:jc w:val="left"/>
            </w:pPr>
            <w:r>
              <w:t xml:space="preserve">−0,15</w:t>
            </w:r>
          </w:p>
        </w:tc>
        <w:tc>
          <w:tcPr/>
          <w:p>
            <w:pPr>
              <w:pStyle w:val="Compact"/>
            </w:pPr>
          </w:p>
        </w:tc>
      </w:tr>
      <w:tr>
        <w:tc>
          <w:tcPr/>
          <w:p>
            <w:pPr>
              <w:pStyle w:val="Compact"/>
              <w:jc w:val="left"/>
            </w:pPr>
            <w:r>
              <w:t xml:space="preserve">Intenzione di riutilizzo</w:t>
            </w:r>
          </w:p>
        </w:tc>
        <w:tc>
          <w:tcPr/>
          <w:p>
            <w:pPr>
              <w:pStyle w:val="Compact"/>
              <w:jc w:val="left"/>
            </w:pPr>
            <w:r>
              <w:t xml:space="preserve">3,83</w:t>
            </w:r>
          </w:p>
        </w:tc>
        <w:tc>
          <w:tcPr/>
          <w:p>
            <w:pPr>
              <w:pStyle w:val="Compact"/>
              <w:jc w:val="left"/>
            </w:pPr>
            <w:r>
              <w:t xml:space="preserve">3,12</w:t>
            </w:r>
          </w:p>
        </w:tc>
        <w:tc>
          <w:tcPr/>
          <w:p>
            <w:pPr>
              <w:pStyle w:val="Compact"/>
              <w:jc w:val="left"/>
            </w:pPr>
            <w:r>
              <w:t xml:space="preserve">+0,71</w:t>
            </w:r>
          </w:p>
        </w:tc>
        <w:tc>
          <w:tcPr/>
          <w:p>
            <w:pPr>
              <w:pStyle w:val="Compact"/>
            </w:pPr>
          </w:p>
        </w:tc>
      </w:tr>
    </w:tbl>
    <w:p>
      <w:pPr>
        <w:pStyle w:val="BodyText"/>
      </w:pPr>
      <w:r>
        <w:t xml:space="preserve">I miglioramenti più marcati riguardano facilità d’uso (Δ = +0,79), intenzione di riutilizzo (Δ = +0,71) e fiducia (Δ = +0,65); l’unica dimensione sostanzialmente invariata è l’utilità percepita (Δ = −0,15, entro il range di variabilità atteso per campioni ridotti).</w:t>
      </w:r>
    </w:p>
    <w:bookmarkEnd w:id="33"/>
    <w:bookmarkStart w:id="34" w:name="autovalutazione-pedagogica"/>
    <w:p>
      <w:pPr>
        <w:pStyle w:val="Heading3"/>
      </w:pPr>
      <w:r>
        <w:t xml:space="preserve">4.2 Autovalutazione pedagogica</w:t>
      </w:r>
    </w:p>
    <w:p>
      <w:pPr>
        <w:pStyle w:val="FirstParagraph"/>
      </w:pPr>
      <w:r>
        <w:t xml:space="preserve">Undici partecipanti hanno fornito risposte alle domande aperte (tutti della versione ai4educ). Dall’analisi tematica emergono quattro aree di criticità, affrontate nella versione SBS.</w:t>
      </w:r>
    </w:p>
    <w:p>
      <w:pPr>
        <w:pStyle w:val="BodyText"/>
      </w:pPr>
      <w:r>
        <w:rPr>
          <w:bCs/>
          <w:b/>
        </w:rPr>
        <w:t xml:space="preserve">Inserimento dati.</w:t>
      </w:r>
      <w:r>
        <w:t xml:space="preserve"> </w:t>
      </w:r>
      <w:r>
        <w:t xml:space="preserve">Tre partecipanti segnalano difficoltà nel caricamento dei punteggi: «mi ha chiesto di fare una cosa che avevo appena fatto», «inserirli 1 per 1 in chat è stato scomodo», con la richiesta esplicita di poter caricare un PDF per evitare errori di digitazione. Nella versione SBS questa fase è stata sostituita da un form iniziale di inserimento e dal caricamento diretto dei PDF degli esiti.</w:t>
      </w:r>
    </w:p>
    <w:p>
      <w:pPr>
        <w:pStyle w:val="BodyText"/>
      </w:pPr>
      <w:r>
        <w:rPr>
          <w:bCs/>
          <w:b/>
        </w:rPr>
        <w:t xml:space="preserve">Coerenza della memoria di sessione.</w:t>
      </w:r>
      <w:r>
        <w:t xml:space="preserve"> </w:t>
      </w:r>
      <w:r>
        <w:t xml:space="preserve">Un partecipante riporta «incongruenze molto grandi tra i dati forniti e i riassunti finali» nella prima analisi, pur riconoscendo che una seconda analisi era più coerente. Nella versione SBS la gestione della memoria di sessione è stata rivista per garantire che il riassunto rotante della conversazione rifletta fedelmente il profilo senza perdita di informazioni.</w:t>
      </w:r>
    </w:p>
    <w:p>
      <w:pPr>
        <w:pStyle w:val="BodyText"/>
      </w:pPr>
      <w:r>
        <w:rPr>
          <w:bCs/>
          <w:b/>
        </w:rPr>
        <w:t xml:space="preserve">Completezza del contesto.</w:t>
      </w:r>
      <w:r>
        <w:t xml:space="preserve"> </w:t>
      </w:r>
      <w:r>
        <w:t xml:space="preserve">Un partecipante osserva che il</w:t>
      </w:r>
      <w:r>
        <w:t xml:space="preserve"> </w:t>
      </w:r>
      <w:r>
        <w:rPr>
          <w:iCs/>
          <w:i/>
        </w:rPr>
        <w:t xml:space="preserve">chatbot</w:t>
      </w:r>
      <w:r>
        <w:t xml:space="preserve"> </w:t>
      </w:r>
      <w:r>
        <w:t xml:space="preserve">«dimentica alcune informazioni». Nella versione SBS la memoria di sessione è stata potenziata per preservare il contesto lungo l’intero dialogo, riducendo i fenomeni di</w:t>
      </w:r>
      <w:r>
        <w:t xml:space="preserve"> </w:t>
      </w:r>
      <w:r>
        <w:rPr>
          <w:iCs/>
          <w:i/>
        </w:rPr>
        <w:t xml:space="preserve">forgetting</w:t>
      </w:r>
      <w:r>
        <w:t xml:space="preserve">.</w:t>
      </w:r>
    </w:p>
    <w:p>
      <w:pPr>
        <w:pStyle w:val="BodyText"/>
      </w:pPr>
      <w:r>
        <w:rPr>
          <w:bCs/>
          <w:b/>
        </w:rPr>
        <w:t xml:space="preserve">Lunghezza delle risposte.</w:t>
      </w:r>
      <w:r>
        <w:t xml:space="preserve"> </w:t>
      </w:r>
      <w:r>
        <w:t xml:space="preserve">Un partecipante suggerisce di «sintetizzare le risposte». Nella versione SBS è stato introdotto un limite di token per contenere l’estensione degli interventi del LLM, favorendo risposte più concise.</w:t>
      </w:r>
    </w:p>
    <w:p>
      <w:pPr>
        <w:pStyle w:val="BodyText"/>
      </w:pPr>
      <w:r>
        <w:t xml:space="preserve">A queste soluzioni si aggiunge la scelta del modello linguistico per l’istanza SBS, basata su un benchmark sistematico dei modelli Ollama (&lt;15B parametri) sull’intero flusso QSA a 11 passi. Il modello selezionato — Gemma 4 4B (in tag Ollama</w:t>
      </w:r>
      <w:r>
        <w:t xml:space="preserve"> </w:t>
      </w:r>
      <w:r>
        <w:rPr>
          <w:rStyle w:val="VerbatimChar"/>
        </w:rPr>
        <w:t xml:space="preserve">gemma4:e4b</w:t>
      </w:r>
      <w:r>
        <w:t xml:space="preserve">) — ha ottenuto il punteggio di qualità più alto (0.83/1.00), coprendo tutti i fattori con interpretazioni accurate e consigli pratici, con una velocità media di 472 tok/s e un TTFT di 4.5 s. I benchmark ufficiali su conoscenza generale (MMLU-Pro: 69.4%), ragionamento scientifico (GPQA Diamond: 58.6%) e coding (LiveCodeBench: 52.0%) confermano che, pur con soli 4B parametri effettivi (8B totali con MoE), il modello è adeguato per compiti di analisi strutturata (Gemma Team 2025). La tabella seguente riporta i punteggi dei modelli valutati nei benchmark di knowledge work.</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Modello</w:t>
            </w:r>
          </w:p>
        </w:tc>
        <w:tc>
          <w:tcPr/>
          <w:p>
            <w:pPr>
              <w:pStyle w:val="Compact"/>
              <w:jc w:val="left"/>
            </w:pPr>
            <w:r>
              <w:t xml:space="preserve">Parametri</w:t>
            </w:r>
          </w:p>
        </w:tc>
        <w:tc>
          <w:tcPr/>
          <w:p>
            <w:pPr>
              <w:pStyle w:val="Compact"/>
              <w:jc w:val="left"/>
            </w:pPr>
            <w:r>
              <w:t xml:space="preserve">MMLU-Pro</w:t>
            </w:r>
          </w:p>
        </w:tc>
        <w:tc>
          <w:tcPr/>
          <w:p>
            <w:pPr>
              <w:pStyle w:val="Compact"/>
              <w:jc w:val="left"/>
            </w:pPr>
            <w:r>
              <w:t xml:space="preserve">GPQA Diamond</w:t>
            </w:r>
          </w:p>
        </w:tc>
        <w:tc>
          <w:tcPr/>
          <w:p>
            <w:pPr>
              <w:pStyle w:val="Compact"/>
              <w:jc w:val="left"/>
            </w:pPr>
            <w:r>
              <w:t xml:space="preserve">LiveCodeBench</w:t>
            </w:r>
          </w:p>
        </w:tc>
      </w:tr>
      <w:tr>
        <w:tc>
          <w:tcPr/>
          <w:p>
            <w:pPr>
              <w:pStyle w:val="Compact"/>
              <w:jc w:val="left"/>
            </w:pPr>
            <w:r>
              <w:t xml:space="preserve">Gemma 4 4B</w:t>
            </w:r>
          </w:p>
        </w:tc>
        <w:tc>
          <w:tcPr/>
          <w:p>
            <w:pPr>
              <w:pStyle w:val="Compact"/>
              <w:jc w:val="left"/>
            </w:pPr>
            <w:r>
              <w:t xml:space="preserve">4B</w:t>
            </w:r>
          </w:p>
        </w:tc>
        <w:tc>
          <w:tcPr/>
          <w:p>
            <w:pPr>
              <w:pStyle w:val="Compact"/>
              <w:jc w:val="left"/>
            </w:pPr>
            <w:r>
              <w:t xml:space="preserve">69.4%</w:t>
            </w:r>
          </w:p>
        </w:tc>
        <w:tc>
          <w:tcPr/>
          <w:p>
            <w:pPr>
              <w:pStyle w:val="Compact"/>
              <w:jc w:val="left"/>
            </w:pPr>
            <w:r>
              <w:t xml:space="preserve">58.6%</w:t>
            </w:r>
          </w:p>
        </w:tc>
        <w:tc>
          <w:tcPr/>
          <w:p>
            <w:pPr>
              <w:pStyle w:val="Compact"/>
              <w:jc w:val="left"/>
            </w:pPr>
            <w:r>
              <w:t xml:space="preserve">52.0%</w:t>
            </w:r>
          </w:p>
        </w:tc>
      </w:tr>
      <w:tr>
        <w:tc>
          <w:tcPr/>
          <w:p>
            <w:pPr>
              <w:pStyle w:val="Compact"/>
              <w:jc w:val="left"/>
            </w:pPr>
            <w:r>
              <w:t xml:space="preserve">Gemma 4 2B</w:t>
            </w:r>
          </w:p>
        </w:tc>
        <w:tc>
          <w:tcPr/>
          <w:p>
            <w:pPr>
              <w:pStyle w:val="Compact"/>
              <w:jc w:val="left"/>
            </w:pPr>
            <w:r>
              <w:t xml:space="preserve">2B</w:t>
            </w:r>
          </w:p>
        </w:tc>
        <w:tc>
          <w:tcPr/>
          <w:p>
            <w:pPr>
              <w:pStyle w:val="Compact"/>
              <w:jc w:val="left"/>
            </w:pPr>
            <w:r>
              <w:t xml:space="preserve">60.0%</w:t>
            </w:r>
          </w:p>
        </w:tc>
        <w:tc>
          <w:tcPr/>
          <w:p>
            <w:pPr>
              <w:pStyle w:val="Compact"/>
              <w:jc w:val="left"/>
            </w:pPr>
            <w:r>
              <w:t xml:space="preserve">43.4%</w:t>
            </w:r>
          </w:p>
        </w:tc>
        <w:tc>
          <w:tcPr/>
          <w:p>
            <w:pPr>
              <w:pStyle w:val="Compact"/>
              <w:jc w:val="left"/>
            </w:pPr>
            <w:r>
              <w:t xml:space="preserve">44.0%</w:t>
            </w:r>
          </w:p>
        </w:tc>
      </w:tr>
      <w:tr>
        <w:tc>
          <w:tcPr/>
          <w:p>
            <w:pPr>
              <w:pStyle w:val="Compact"/>
              <w:jc w:val="left"/>
            </w:pPr>
            <w:r>
              <w:t xml:space="preserve">Gemma 4 12B</w:t>
            </w:r>
          </w:p>
        </w:tc>
        <w:tc>
          <w:tcPr/>
          <w:p>
            <w:pPr>
              <w:pStyle w:val="Compact"/>
              <w:jc w:val="left"/>
            </w:pPr>
            <w:r>
              <w:t xml:space="preserve">12B</w:t>
            </w:r>
          </w:p>
        </w:tc>
        <w:tc>
          <w:tcPr/>
          <w:p>
            <w:pPr>
              <w:pStyle w:val="Compact"/>
              <w:jc w:val="left"/>
            </w:pPr>
            <w:r>
              <w:t xml:space="preserve">77.2%</w:t>
            </w:r>
          </w:p>
        </w:tc>
        <w:tc>
          <w:tcPr/>
          <w:p>
            <w:pPr>
              <w:pStyle w:val="Compact"/>
              <w:jc w:val="left"/>
            </w:pPr>
            <w:r>
              <w:t xml:space="preserve">78.8%</w:t>
            </w:r>
          </w:p>
        </w:tc>
        <w:tc>
          <w:tcPr/>
          <w:p>
            <w:pPr>
              <w:pStyle w:val="Compact"/>
              <w:jc w:val="left"/>
            </w:pPr>
            <w:r>
              <w:t xml:space="preserve">72.0%</w:t>
            </w:r>
          </w:p>
        </w:tc>
      </w:tr>
      <w:tr>
        <w:tc>
          <w:tcPr/>
          <w:p>
            <w:pPr>
              <w:pStyle w:val="Compact"/>
              <w:jc w:val="left"/>
            </w:pPr>
            <w:r>
              <w:t xml:space="preserve">DeepSeek-R1-Distill 8B</w:t>
            </w:r>
          </w:p>
        </w:tc>
        <w:tc>
          <w:tcPr/>
          <w:p>
            <w:pPr>
              <w:pStyle w:val="Compact"/>
              <w:jc w:val="left"/>
            </w:pPr>
            <w:r>
              <w:t xml:space="preserve">8B</w:t>
            </w:r>
          </w:p>
        </w:tc>
        <w:tc>
          <w:tcPr/>
          <w:p>
            <w:pPr>
              <w:pStyle w:val="Compact"/>
              <w:jc w:val="left"/>
            </w:pPr>
            <w:r>
              <w:t xml:space="preserve">—</w:t>
            </w:r>
          </w:p>
        </w:tc>
        <w:tc>
          <w:tcPr/>
          <w:p>
            <w:pPr>
              <w:pStyle w:val="Compact"/>
              <w:jc w:val="left"/>
            </w:pPr>
            <w:r>
              <w:t xml:space="preserve">49.0%</w:t>
            </w:r>
          </w:p>
        </w:tc>
        <w:tc>
          <w:tcPr/>
          <w:p>
            <w:pPr>
              <w:pStyle w:val="Compact"/>
              <w:jc w:val="left"/>
            </w:pPr>
            <w:r>
              <w:t xml:space="preserve">39.6%</w:t>
            </w:r>
          </w:p>
        </w:tc>
      </w:tr>
      <w:tr>
        <w:tc>
          <w:tcPr/>
          <w:p>
            <w:pPr>
              <w:pStyle w:val="Compact"/>
              <w:jc w:val="left"/>
            </w:pPr>
            <w:r>
              <w:t xml:space="preserve">Qwen 3.5 9B</w:t>
            </w:r>
          </w:p>
        </w:tc>
        <w:tc>
          <w:tcPr/>
          <w:p>
            <w:pPr>
              <w:pStyle w:val="Compact"/>
              <w:jc w:val="left"/>
            </w:pPr>
            <w:r>
              <w:t xml:space="preserve">9B</w:t>
            </w:r>
          </w:p>
        </w:tc>
        <w:tc>
          <w:tcPr/>
          <w:p>
            <w:pPr>
              <w:pStyle w:val="Compact"/>
              <w:jc w:val="left"/>
            </w:pPr>
            <w:r>
              <w:t xml:space="preserve">82.5%</w:t>
            </w:r>
          </w:p>
        </w:tc>
        <w:tc>
          <w:tcPr/>
          <w:p>
            <w:pPr>
              <w:pStyle w:val="Compact"/>
              <w:jc w:val="left"/>
            </w:pPr>
            <w:r>
              <w:t xml:space="preserve">81.7%</w:t>
            </w:r>
          </w:p>
        </w:tc>
        <w:tc>
          <w:tcPr/>
          <w:p>
            <w:pPr>
              <w:pStyle w:val="Compact"/>
              <w:jc w:val="left"/>
            </w:pPr>
            <w:r>
              <w:t xml:space="preserve">65.6%</w:t>
            </w:r>
          </w:p>
        </w:tc>
      </w:tr>
    </w:tbl>
    <w:p>
      <w:pPr>
        <w:pStyle w:val="BodyText"/>
      </w:pPr>
      <w:r>
        <w:t xml:space="preserve">Sei partecipanti hanno espresso valutazioni positive sulla chiarezza, la pertinenza e l’utilità del sistema, descrivendo l’esperienza come «positiva», «interessante» e «il</w:t>
      </w:r>
      <w:r>
        <w:t xml:space="preserve"> </w:t>
      </w:r>
      <w:r>
        <w:rPr>
          <w:iCs/>
          <w:i/>
        </w:rPr>
        <w:t xml:space="preserve">chatbot</w:t>
      </w:r>
      <w:r>
        <w:t xml:space="preserve"> </w:t>
      </w:r>
      <w:r>
        <w:t xml:space="preserve">ha risposto alle aspettative in modo esauriente».</w:t>
      </w:r>
    </w:p>
    <w:bookmarkEnd w:id="34"/>
    <w:bookmarkEnd w:id="35"/>
    <w:bookmarkStart w:id="36" w:name="discussione"/>
    <w:p>
      <w:pPr>
        <w:pStyle w:val="Heading2"/>
      </w:pPr>
      <w:r>
        <w:t xml:space="preserve">5. Discussione</w:t>
      </w:r>
    </w:p>
    <w:p>
      <w:pPr>
        <w:pStyle w:val="FirstParagraph"/>
      </w:pPr>
      <w:r>
        <w:t xml:space="preserve">I risultati mostrano un miglioramento diffuso della versione SBS rispetto alla precedente su 9 dimensioni su 10, con incrementi particolarmente marcati su facilità d’uso (Δ = +0,79), fiducia nelle informazioni (Δ = +0,65) e intenzione di riutilizzo (Δ = +0,71). Questi dati suggeriscono che le modifiche introdotte nell’architettura SBS — il form iniziale di inserimento dati, il potenziamento della memoria di sessione, il limite di token e l’adozione di Gemma 4 4B — hanno prodotto un effetto positivo sull’esperienza utente.</w:t>
      </w:r>
    </w:p>
    <w:p>
      <w:pPr>
        <w:pStyle w:val="BodyText"/>
      </w:pPr>
      <w:r>
        <w:t xml:space="preserve">Le criticità emerse dalle risposte aperte della versione ai4educ riguardavano principalmente l’inserimento manuale dei dati e la coerenza delle analisi. La loro risoluzione nella versione SBS — il form iniziale di inserimento, il caricamento diretto dei PDF e il potenziamento della memoria di sessione — è coerente con i punteggi più alti registrati in facilità d’uso e fiducia. Rimane da verificare su un campione più ampio se anche le altre dimensioni — in particolare l’utilità percepita, sostanzialmente invariata — beneficino delle stesse modifiche.</w:t>
      </w:r>
    </w:p>
    <w:p>
      <w:pPr>
        <w:pStyle w:val="BodyText"/>
      </w:pPr>
      <w:r>
        <w:t xml:space="preserve">Il presente lavoro si colloca nella fase di test del modello ADDIE: i dati raccolti informano il ciclo iterativo di sviluppo, più che costituire una validazione conclusiva. Il campione è ridotto (n=6 per SBS, n=16 per ai4educ con dati numerici) e non probabilistico, e la differenza tra le due versioni potrebbe risentire di fattori confondenti come la diversa composizione demografica o la maturità del percorso di sviluppo. Per queste ragioni i risultati vanno letti come indicatori di tendenza, non come evidenza definitiva.</w:t>
      </w:r>
    </w:p>
    <w:p>
      <w:pPr>
        <w:pStyle w:val="BodyText"/>
      </w:pPr>
      <w:r>
        <w:t xml:space="preserve">Sul piano più generale, l’architettura ibrida di Counselorbot — che combina passi guidati deterministici con la flessibilità di un LLM — si dimostra praticabile per l’autovalutazione assistita delle competenze strategiche. La possibilità di istruire il modello con direttive specifiche e di richiamare conoscenze contestuali apre la strada a forme di accompagnamento scalabili che la letteratura indica come ancora poco coperte (Wollny et al. 2021; Liu et al. 2025). Quanto alla sostenibilità economica sollevata in apertura, l’impiego di modelli aperti di dimensioni contenute, eseguibili anche su infrastrutture locali — come Gemma 4 4B, selezionato tramite benchmark sistematico per l’istanza SBS — suggerisce una via percorribile per contenere i costi di esercizio.</w:t>
      </w:r>
    </w:p>
    <w:p>
      <w:pPr>
        <w:pStyle w:val="BodyText"/>
      </w:pPr>
      <w:r>
        <w:t xml:space="preserve">Il dato disponibile è esclusivamente basato sull’autovalutazione degli studenti, che potrebbe risentire di effetti di desiderabilità sociale.</w:t>
      </w:r>
    </w:p>
    <w:p>
      <w:pPr>
        <w:pStyle w:val="BlockText"/>
      </w:pPr>
      <w:r>
        <w:rPr>
          <w:iCs/>
          <w:i/>
        </w:rPr>
        <w:t xml:space="preserve">Metriche oggettive (tempi di risposta, tassi di completamento) da acquisire.</w:t>
      </w:r>
    </w:p>
    <w:bookmarkEnd w:id="36"/>
    <w:bookmarkStart w:id="37" w:name="conclusioni"/>
    <w:p>
      <w:pPr>
        <w:pStyle w:val="Heading2"/>
      </w:pPr>
      <w:r>
        <w:t xml:space="preserve">6. Conclusioni</w:t>
      </w:r>
    </w:p>
    <w:p>
      <w:pPr>
        <w:pStyle w:val="FirstParagraph"/>
      </w:pPr>
      <w:r>
        <w:t xml:space="preserve">I risultati ottenuti indicano che i modelli conversazionali basati su LLM sono oggi maturi per sostenere compiti riflessivi come l’autovalutazione delle competenze strategiche, a condizione che siano inseriti in un’architettura ibrida che ne guidi il comportamento. Questo lavoro ha presentato Counselorbot, un assistente conversazionale che realizza questa architettura. I risultati della fase di test — condotta su 34 partecipanti tra due versioni del sistema — mostrano che l’architettura SBS, con il suo dialogo guidato, la memoria di sessione potenziata e l’interfaccia ottimizzata per l’inserimento dati, ottiene valutazioni superiori alla versione precedente in 9 dimensioni su 10, con miglioramenti rilevanti in facilità d’uso e fiducia.</w:t>
      </w:r>
    </w:p>
    <w:p>
      <w:pPr>
        <w:pStyle w:val="BodyText"/>
      </w:pPr>
      <w:r>
        <w:t xml:space="preserve">Lo studio si inserisce in un processo di sviluppo iterativo di tipo ADDIE e non costituisce una validazione conclusiva. I limiti — campione ridotto, non probabilistico, assenza di metriche oggettive — suggeriscono cautela nell’estensione dei risultati. È necessario un test su scala più ampia, con un disegno controllato e la raccolta di dati sia quantitativi sia qualitativi, per confermare le tendenze emerse.</w:t>
      </w:r>
    </w:p>
    <w:p>
      <w:pPr>
        <w:pStyle w:val="BodyText"/>
      </w:pPr>
      <w:r>
        <w:t xml:space="preserve">Le prove finora condotte hanno riguardato il solo QSA, sebbene il sistema supporti già molteplici strumenti (QSAr, ZTPI, intervista Savickas, QPCS, QPCC, QAP). Una volta stabilizzata l’usabilità della risorsa, l’architettura a passi guidati potrà essere estesa agli altri questionari. Altre direzioni di sviluppo includono l’integrazione nativa con la piattaforma competenzestrategiche.it per il recupero automatico dei profili, lo studio longitudinale dell’impatto sulle strategie di apprendimento degli studenti e la traduzione dei questionari nelle lingue supportate dall’interfaccia.</w:t>
      </w:r>
    </w:p>
    <w:bookmarkEnd w:id="37"/>
    <w:bookmarkStart w:id="38" w:name="bibliografia"/>
    <w:p>
      <w:pPr>
        <w:pStyle w:val="Heading2"/>
      </w:pPr>
      <w:r>
        <w:t xml:space="preserve">Bibliografia</w:t>
      </w:r>
    </w:p>
    <w:p>
      <w:pPr>
        <w:pStyle w:val="FirstParagraph"/>
      </w:pPr>
      <w:r>
        <w:t xml:space="preserve">DeepSeek-AI. (2025). DeepSeek-R1: Incentivizing reasoning capability in LLMs via reinforcement learning.</w:t>
      </w:r>
      <w:r>
        <w:t xml:space="preserve"> </w:t>
      </w:r>
      <w:r>
        <w:rPr>
          <w:iCs/>
          <w:i/>
        </w:rPr>
        <w:t xml:space="preserve">arXiv preprint</w:t>
      </w:r>
      <w:r>
        <w:t xml:space="preserve">, arXiv:2501.12948. https://arxiv.org/abs/2501.12948</w:t>
      </w:r>
    </w:p>
    <w:p>
      <w:pPr>
        <w:pStyle w:val="BodyText"/>
      </w:pPr>
      <w:r>
        <w:t xml:space="preserve">Gemma Team, Google DeepMind. (2025). Gemma 4: Advancing open language models. https://ai.google.dev/gemma</w:t>
      </w:r>
    </w:p>
    <w:p>
      <w:pPr>
        <w:pStyle w:val="BodyText"/>
      </w:pPr>
      <w:r>
        <w:t xml:space="preserve">Puech, R., Mačina, J., Chatain, J., Sachan, M., &amp; Kapur, M. (2025). Towards the pedagogical steering of large language models for tutoring: A case study with modeling productive failure. In</w:t>
      </w:r>
      <w:r>
        <w:t xml:space="preserve"> </w:t>
      </w:r>
      <w:r>
        <w:rPr>
          <w:iCs/>
          <w:i/>
        </w:rPr>
        <w:t xml:space="preserve">Findings of the Association for Computational Linguistics: ACL 2025</w:t>
      </w:r>
      <w:r>
        <w:t xml:space="preserve">. https://doi.org/10.18653/v1/2025.findings-acl.1348</w:t>
      </w:r>
    </w:p>
    <w:p>
      <w:pPr>
        <w:pStyle w:val="BodyText"/>
      </w:pPr>
      <w:r>
        <w:t xml:space="preserve">Antunes, L. G., Passarelli, B., &amp; Claro, S. V. (2025). Large language models as Socratic mentors: Transforming educational approaches for epistemic development.</w:t>
      </w:r>
      <w:r>
        <w:t xml:space="preserve"> </w:t>
      </w:r>
      <w:r>
        <w:rPr>
          <w:iCs/>
          <w:i/>
        </w:rPr>
        <w:t xml:space="preserve">Aracê, 7</w:t>
      </w:r>
      <w:r>
        <w:t xml:space="preserve">(5), 24921–24936. https://doi.org/10.56238/arev7n5-229</w:t>
      </w:r>
    </w:p>
    <w:p>
      <w:pPr>
        <w:pStyle w:val="BodyText"/>
      </w:pPr>
      <w:r>
        <w:t xml:space="preserve">Bender, E. M., Gebru, T., McMillan-Major, A., &amp; Shmitchell, S. (2021). On the dangers of stochastic parrots: Can language models be too big? In</w:t>
      </w:r>
      <w:r>
        <w:t xml:space="preserve"> </w:t>
      </w:r>
      <w:r>
        <w:rPr>
          <w:iCs/>
          <w:i/>
        </w:rPr>
        <w:t xml:space="preserve">Proceedings of the 2021 ACM Conference on Fairness, Accountability, and Transparency</w:t>
      </w:r>
      <w:r>
        <w:t xml:space="preserve"> </w:t>
      </w:r>
      <w:r>
        <w:t xml:space="preserve">(pp. 610–623). https://doi.org/10.1145/3442188.3445922</w:t>
      </w:r>
    </w:p>
    <w:p>
      <w:pPr>
        <w:pStyle w:val="BodyText"/>
      </w:pPr>
      <w:r>
        <w:t xml:space="preserve">Branch, R. M. (2009).</w:t>
      </w:r>
      <w:r>
        <w:t xml:space="preserve"> </w:t>
      </w:r>
      <w:r>
        <w:rPr>
          <w:iCs/>
          <w:i/>
        </w:rPr>
        <w:t xml:space="preserve">Instructional design: The ADDIE approach</w:t>
      </w:r>
      <w:r>
        <w:t xml:space="preserve">. Springer. https://doi.org/10.1007/978-0-387-09506-6</w:t>
      </w:r>
    </w:p>
    <w:p>
      <w:pPr>
        <w:pStyle w:val="BodyText"/>
      </w:pPr>
      <w:r>
        <w:t xml:space="preserve">Brown, T. B., Mann, B., Ryder, N., et al. (2020). Language models are few-shot learners.</w:t>
      </w:r>
      <w:r>
        <w:t xml:space="preserve"> </w:t>
      </w:r>
      <w:r>
        <w:rPr>
          <w:iCs/>
          <w:i/>
        </w:rPr>
        <w:t xml:space="preserve">Advances in Neural Information Processing Systems, 33</w:t>
      </w:r>
      <w:r>
        <w:t xml:space="preserve">, 1877–1901.</w:t>
      </w:r>
    </w:p>
    <w:p>
      <w:pPr>
        <w:pStyle w:val="BodyText"/>
      </w:pPr>
      <w:r>
        <w:t xml:space="preserve">Chang, D. H., Lin, M. P.-C., Hajian, S., &amp; Wang, Q. Q. (2023). Educational design principles of using AI</w:t>
      </w:r>
      <w:r>
        <w:t xml:space="preserve"> </w:t>
      </w:r>
      <w:r>
        <w:rPr>
          <w:iCs/>
          <w:i/>
        </w:rPr>
        <w:t xml:space="preserve">chatbot</w:t>
      </w:r>
      <w:r>
        <w:t xml:space="preserve"> </w:t>
      </w:r>
      <w:r>
        <w:t xml:space="preserve">that supports self-regulated learning in education: Goal setting, feedback, and personalization.</w:t>
      </w:r>
      <w:r>
        <w:t xml:space="preserve"> </w:t>
      </w:r>
      <w:r>
        <w:rPr>
          <w:iCs/>
          <w:i/>
        </w:rPr>
        <w:t xml:space="preserve">Sustainability, 15</w:t>
      </w:r>
      <w:r>
        <w:t xml:space="preserve">(17), 12921. https://doi.org/10.3390/su151712921</w:t>
      </w:r>
    </w:p>
    <w:p>
      <w:pPr>
        <w:pStyle w:val="BodyText"/>
      </w:pPr>
      <w:r>
        <w:t xml:space="preserve">Cukurova, M., Luckin, R., &amp; Kent, C. (2020). Impact of an artificial intelligence research frame on the perceived credibility of educational research evidence.</w:t>
      </w:r>
      <w:r>
        <w:t xml:space="preserve"> </w:t>
      </w:r>
      <w:r>
        <w:rPr>
          <w:iCs/>
          <w:i/>
        </w:rPr>
        <w:t xml:space="preserve">International Journal of Artificial Intelligence in Education, 30</w:t>
      </w:r>
      <w:r>
        <w:t xml:space="preserve">(2), 205–235. https://doi.org/10.1007/s40593-019-00188-w</w:t>
      </w:r>
    </w:p>
    <w:p>
      <w:pPr>
        <w:pStyle w:val="BodyText"/>
      </w:pPr>
      <w:r>
        <w:t xml:space="preserve">D’Silva, G. M., Jani, M., Jadhav, V., Bhoir, A., &amp; Amin, P. N. (2020). Career counselling</w:t>
      </w:r>
      <w:r>
        <w:t xml:space="preserve"> </w:t>
      </w:r>
      <w:r>
        <w:rPr>
          <w:iCs/>
          <w:i/>
        </w:rPr>
        <w:t xml:space="preserve">chatbot</w:t>
      </w:r>
      <w:r>
        <w:t xml:space="preserve"> </w:t>
      </w:r>
      <w:r>
        <w:t xml:space="preserve">using cognitive science and artificial intelligence. In H. Vasudevan, A. Michalas, N. Shekokar, &amp; M. Narvekar (Eds.),</w:t>
      </w:r>
      <w:r>
        <w:t xml:space="preserve"> </w:t>
      </w:r>
      <w:r>
        <w:rPr>
          <w:iCs/>
          <w:i/>
        </w:rPr>
        <w:t xml:space="preserve">Advanced computing technologies and applications</w:t>
      </w:r>
      <w:r>
        <w:t xml:space="preserve"> </w:t>
      </w:r>
      <w:r>
        <w:t xml:space="preserve">(pp. 1–9). Springer. https://doi.org/10.1007/978-981-15-3242-9_1</w:t>
      </w:r>
    </w:p>
    <w:p>
      <w:pPr>
        <w:pStyle w:val="BodyText"/>
      </w:pPr>
      <w:r>
        <w:t xml:space="preserve">Kasneci, E., Seßler, K., Küchemann, S., et al. (2023). ChatGPT for good? On opportunities and challenges of large language models for education.</w:t>
      </w:r>
      <w:r>
        <w:t xml:space="preserve"> </w:t>
      </w:r>
      <w:r>
        <w:rPr>
          <w:iCs/>
          <w:i/>
        </w:rPr>
        <w:t xml:space="preserve">Learning and Individual Differences, 103</w:t>
      </w:r>
      <w:r>
        <w:t xml:space="preserve">, 102274. https://doi.org/10.1016/j.lindif.2023.102274</w:t>
      </w:r>
    </w:p>
    <w:p>
      <w:pPr>
        <w:pStyle w:val="BodyText"/>
      </w:pPr>
      <w:r>
        <w:t xml:space="preserve">Kuhail, M. A., Alturki, N., Alramlawi, S., &amp; Alhejori, K. (2022). Interacting with educational</w:t>
      </w:r>
      <w:r>
        <w:t xml:space="preserve"> </w:t>
      </w:r>
      <w:r>
        <w:rPr>
          <w:iCs/>
          <w:i/>
        </w:rPr>
        <w:t xml:space="preserve">chatbot</w:t>
      </w:r>
      <w:r>
        <w:t xml:space="preserve">s: A systematic review.</w:t>
      </w:r>
      <w:r>
        <w:t xml:space="preserve"> </w:t>
      </w:r>
      <w:r>
        <w:rPr>
          <w:iCs/>
          <w:i/>
        </w:rPr>
        <w:t xml:space="preserve">Education and Information Technologies, 28</w:t>
      </w:r>
      <w:r>
        <w:t xml:space="preserve">(1), 973–1018. https://doi.org/10.1007/s10639-022-11177-3</w:t>
      </w:r>
    </w:p>
    <w:p>
      <w:pPr>
        <w:pStyle w:val="BodyText"/>
      </w:pPr>
      <w:r>
        <w:t xml:space="preserve">Lewis, P., Perez, E., Piktus, A., et al. (2020). Retrieval-Augmented Generation for knowledge-intensive NLP tasks.</w:t>
      </w:r>
      <w:r>
        <w:t xml:space="preserve"> </w:t>
      </w:r>
      <w:r>
        <w:rPr>
          <w:iCs/>
          <w:i/>
        </w:rPr>
        <w:t xml:space="preserve">Advances in Neural Information Processing Systems, 33</w:t>
      </w:r>
      <w:r>
        <w:t xml:space="preserve">, 9459–9474.</w:t>
      </w:r>
    </w:p>
    <w:p>
      <w:pPr>
        <w:pStyle w:val="BodyText"/>
      </w:pPr>
      <w:r>
        <w:t xml:space="preserve">Liu, X., Xiao, Y., &amp; Li, D. (2025). Assessing strategic use of artificial intelligence in self-regulated learning: Instrument development and evidence from Chinese university students.</w:t>
      </w:r>
      <w:r>
        <w:t xml:space="preserve"> </w:t>
      </w:r>
      <w:r>
        <w:rPr>
          <w:iCs/>
          <w:i/>
        </w:rPr>
        <w:t xml:space="preserve">International Journal of Educational Technology in Higher Education, 22</w:t>
      </w:r>
      <w:r>
        <w:t xml:space="preserve">, 69. https://doi.org/10.1186/s41239-025-00567-5</w:t>
      </w:r>
    </w:p>
    <w:p>
      <w:pPr>
        <w:pStyle w:val="BodyText"/>
      </w:pPr>
      <w:r>
        <w:t xml:space="preserve">Mendez, S., Johanson, K., Conley, V. M., et al. (2020).</w:t>
      </w:r>
      <w:r>
        <w:t xml:space="preserve"> </w:t>
      </w:r>
      <w:r>
        <w:rPr>
          <w:iCs/>
          <w:i/>
        </w:rPr>
        <w:t xml:space="preserve">chatbot</w:t>
      </w:r>
      <w:r>
        <w:t xml:space="preserve">s: A tool to supplement the future faculty mentoring of doctoral engineering students.</w:t>
      </w:r>
      <w:r>
        <w:t xml:space="preserve"> </w:t>
      </w:r>
      <w:r>
        <w:rPr>
          <w:iCs/>
          <w:i/>
        </w:rPr>
        <w:t xml:space="preserve">International Journal of Doctoral Studies, 15</w:t>
      </w:r>
      <w:r>
        <w:t xml:space="preserve">, 373–392. https://doi.org/10.28945/4579</w:t>
      </w:r>
    </w:p>
    <w:p>
      <w:pPr>
        <w:pStyle w:val="BodyText"/>
      </w:pPr>
      <w:r>
        <w:t xml:space="preserve">Neumann, A. T., Arndt, T., Köbis, L., et al. (2021).</w:t>
      </w:r>
      <w:r>
        <w:t xml:space="preserve"> </w:t>
      </w:r>
      <w:r>
        <w:rPr>
          <w:iCs/>
          <w:i/>
        </w:rPr>
        <w:t xml:space="preserve">chatbot</w:t>
      </w:r>
      <w:r>
        <w:t xml:space="preserve">s as a tool to scale mentoring processes: Individually supporting self-study in higher education.</w:t>
      </w:r>
      <w:r>
        <w:t xml:space="preserve"> </w:t>
      </w:r>
      <w:r>
        <w:rPr>
          <w:iCs/>
          <w:i/>
        </w:rPr>
        <w:t xml:space="preserve">Frontiers in Artificial Intelligence, 4</w:t>
      </w:r>
      <w:r>
        <w:t xml:space="preserve">, 668220. https://doi.org/10.3389/frai.2021.668220</w:t>
      </w:r>
    </w:p>
    <w:p>
      <w:pPr>
        <w:pStyle w:val="BodyText"/>
      </w:pPr>
      <w:r>
        <w:t xml:space="preserve">Savickas, M. L. (2018). The career construction interview. In</w:t>
      </w:r>
      <w:r>
        <w:t xml:space="preserve"> </w:t>
      </w:r>
      <w:r>
        <w:rPr>
          <w:iCs/>
          <w:i/>
        </w:rPr>
        <w:t xml:space="preserve">Career counseling</w:t>
      </w:r>
      <w:r>
        <w:t xml:space="preserve"> </w:t>
      </w:r>
      <w:r>
        <w:t xml:space="preserve">(2a ed., pp. 57–70). American Psychological Association. https://doi.org/10.1037/0000105-004</w:t>
      </w:r>
    </w:p>
    <w:p>
      <w:pPr>
        <w:pStyle w:val="BodyText"/>
      </w:pPr>
      <w:r>
        <w:t xml:space="preserve">Qwen Team, Alibaba Group. (2025). Qwen3.5: Technical report. https://qwenlm.github.io/blog/qwen3.5/</w:t>
      </w:r>
    </w:p>
    <w:p>
      <w:pPr>
        <w:pStyle w:val="BodyText"/>
      </w:pPr>
      <w:r>
        <w:t xml:space="preserve">Self, J. A. (1974). Student models in computer-aided instruction.</w:t>
      </w:r>
      <w:r>
        <w:t xml:space="preserve"> </w:t>
      </w:r>
      <w:r>
        <w:rPr>
          <w:iCs/>
          <w:i/>
        </w:rPr>
        <w:t xml:space="preserve">International Journal of Man-Machine Studies, 6</w:t>
      </w:r>
      <w:r>
        <w:t xml:space="preserve">(2), 261–276. https://doi.org/10.1016/S0020-7373(74)80005-2</w:t>
      </w:r>
    </w:p>
    <w:p>
      <w:pPr>
        <w:pStyle w:val="BodyText"/>
      </w:pPr>
      <w:r>
        <w:t xml:space="preserve">Su, L. H., Truong, D.-H., Tran, T.-Y.-L., et al. (2020). Development of an AI</w:t>
      </w:r>
      <w:r>
        <w:t xml:space="preserve"> </w:t>
      </w:r>
      <w:r>
        <w:rPr>
          <w:iCs/>
          <w:i/>
        </w:rPr>
        <w:t xml:space="preserve">chatbot</w:t>
      </w:r>
      <w:r>
        <w:t xml:space="preserve"> </w:t>
      </w:r>
      <w:r>
        <w:t xml:space="preserve">to support admissions and career guidance for universities.</w:t>
      </w:r>
      <w:r>
        <w:t xml:space="preserve"> </w:t>
      </w:r>
      <w:r>
        <w:rPr>
          <w:iCs/>
          <w:i/>
        </w:rPr>
        <w:t xml:space="preserve">International Journal of Emerging Multidisciplinary Research, 4</w:t>
      </w:r>
      <w:r>
        <w:t xml:space="preserve">(2), 13–20. https://doi.org/10.22662/IJEMR.2020.4.2.013</w:t>
      </w:r>
    </w:p>
    <w:p>
      <w:pPr>
        <w:pStyle w:val="BodyText"/>
      </w:pPr>
      <w:r>
        <w:t xml:space="preserve">Susnjak, T. (2023). Beyond predictive learning analytics modelling and onto explainable artificial intelligence with prescriptive analytics and ChatGPT.</w:t>
      </w:r>
      <w:r>
        <w:t xml:space="preserve"> </w:t>
      </w:r>
      <w:r>
        <w:rPr>
          <w:iCs/>
          <w:i/>
        </w:rPr>
        <w:t xml:space="preserve">International Journal of Artificial Intelligence in Education, 34</w:t>
      </w:r>
      <w:r>
        <w:t xml:space="preserve">, 452–482. https://doi.org/10.1007/s40593-023-00336-3</w:t>
      </w:r>
    </w:p>
    <w:p>
      <w:pPr>
        <w:pStyle w:val="BodyText"/>
      </w:pPr>
      <w:r>
        <w:t xml:space="preserve">Tankelevitch, L., Kewenig, V., Simkute, A., et al. (2024). The metacognitive demands and opportunities of generative AI. In</w:t>
      </w:r>
      <w:r>
        <w:t xml:space="preserve"> </w:t>
      </w:r>
      <w:r>
        <w:rPr>
          <w:iCs/>
          <w:i/>
        </w:rPr>
        <w:t xml:space="preserve">Proceedings of the 2024 CHI Conference on Human Factors in Computing Systems</w:t>
      </w:r>
      <w:r>
        <w:t xml:space="preserve"> </w:t>
      </w:r>
      <w:r>
        <w:t xml:space="preserve">(pp. 1–24). https://doi.org/10.1145/3613904.3642902</w:t>
      </w:r>
    </w:p>
    <w:p>
      <w:pPr>
        <w:pStyle w:val="BodyText"/>
      </w:pPr>
      <w:r>
        <w:t xml:space="preserve">Weizenbaum, J. (1966). ELIZA—A computer program for the study of natural language communication between man and machine.</w:t>
      </w:r>
      <w:r>
        <w:t xml:space="preserve"> </w:t>
      </w:r>
      <w:r>
        <w:rPr>
          <w:iCs/>
          <w:i/>
        </w:rPr>
        <w:t xml:space="preserve">Communications of the ACM, 9</w:t>
      </w:r>
      <w:r>
        <w:t xml:space="preserve">(1), 36–45. https://doi.org/10.1145/365153.365168</w:t>
      </w:r>
    </w:p>
    <w:p>
      <w:pPr>
        <w:pStyle w:val="BodyText"/>
      </w:pPr>
      <w:r>
        <w:t xml:space="preserve">Wollny, S., Schneider, J., Di Mitri, D., et al. (2021). Are we there yet? A systematic literature review on</w:t>
      </w:r>
      <w:r>
        <w:t xml:space="preserve"> </w:t>
      </w:r>
      <w:r>
        <w:rPr>
          <w:iCs/>
          <w:i/>
        </w:rPr>
        <w:t xml:space="preserve">chatbot</w:t>
      </w:r>
      <w:r>
        <w:t xml:space="preserve">s in education.</w:t>
      </w:r>
      <w:r>
        <w:t xml:space="preserve"> </w:t>
      </w:r>
      <w:r>
        <w:rPr>
          <w:iCs/>
          <w:i/>
        </w:rPr>
        <w:t xml:space="preserve">Frontiers in Artificial Intelligence, 4</w:t>
      </w:r>
      <w:r>
        <w:t xml:space="preserve">, 654924. https://doi.org/10.3389/frai.2021.654924</w:t>
      </w:r>
    </w:p>
    <w:p>
      <w:pPr>
        <w:pStyle w:val="BodyText"/>
      </w:pPr>
      <w:r>
        <w:t xml:space="preserve">Zawacki-Richter, O., Marín, V. I., Bond, M., &amp; Gouverneur, F. (2019). Systematic review of research on artificial intelligence applications in higher education: Where are the educators?</w:t>
      </w:r>
      <w:r>
        <w:t xml:space="preserve"> </w:t>
      </w:r>
      <w:r>
        <w:rPr>
          <w:iCs/>
          <w:i/>
        </w:rPr>
        <w:t xml:space="preserve">International Journal of Educational Technology in Higher Education, 16</w:t>
      </w:r>
      <w:r>
        <w:t xml:space="preserve">(1), 39. https://doi.org/10.1186/s41239-019-0171-0</w:t>
      </w:r>
    </w:p>
    <w:p>
      <w:r>
        <w:pict>
          <v:rect style="width:0;height:1.5pt" o:hralign="center" o:hrstd="t" o:hr="t"/>
        </w:pict>
      </w:r>
    </w:p>
    <w:p>
      <w:pPr>
        <w:pStyle w:val="FirstParagraph"/>
      </w:pPr>
      <w:r>
        <w:rPr>
          <w:iCs/>
          <w:i/>
        </w:rPr>
        <w:t xml:space="preserve">Articolo in preparazione. Limite: 30.000 battute (spazi inclusi). Norme editoriali Roma TrE-PRESS.</w:t>
      </w:r>
    </w:p>
    <w:bookmarkEnd w:id="38"/>
    <w:bookmarkEnd w:id="39"/>
    <w:sectPr w:rsidR="00FC693F" w:rsidRPr="0006063C" w:rsidSect="00034616">
      <w:pgSz w:h="15840" w:w="12240"/>
      <w:pgMar w:bottom="1417" w:footer="720" w:gutter="0" w:header="720" w:left="1701" w:right="1701"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Times New Roman" w:hAnsi="Times New Roman"/>
    </w:rPr>
  </w:style>
  <w:style w:customStyle="1" w:styleId="HeaderChar" w:type="character">
    <w:name w:val="Header Char"/>
    <w:basedOn w:val="DefaultParagraphFont"/>
    <w:link w:val="Header"/>
    <w:uiPriority w:val="99"/>
    <w:rsid w:val="00E618BF"/>
    <w:rPr>
      <w:rFonts w:ascii="Times New Roman" w:hAnsi="Times New Roman"/>
    </w:rPr>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Times New Roman" w:hAnsi="Times New Roman"/>
    </w:rPr>
  </w:style>
  <w:style w:customStyle="1" w:styleId="FooterChar" w:type="character">
    <w:name w:val="Footer Char"/>
    <w:basedOn w:val="DefaultParagraphFont"/>
    <w:link w:val="Footer"/>
    <w:uiPriority w:val="99"/>
    <w:rsid w:val="00E618BF"/>
    <w:rPr>
      <w:rFonts w:ascii="Times New Roman" w:hAnsi="Times New Roman"/>
    </w:rPr>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bCs/>
      <w:i/>
      <w:iCs/>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imes New Roman" w:asciiTheme="majorHAnsi" w:cstheme="majorBidi" w:eastAsiaTheme="majorEastAsia" w:hAnsi="Times New Roman" w:hAnsiTheme="majorHAnsi"/>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imes New Roman" w:asciiTheme="majorHAnsi" w:cstheme="majorBidi" w:eastAsiaTheme="majorEastAsia" w:hAnsi="Times New Roman" w:hAnsiTheme="majorHAnsi"/>
      <w:i/>
      <w:iCs/>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imes New Roman" w:asciiTheme="majorHAnsi" w:cstheme="majorBidi" w:eastAsiaTheme="majorEastAsia" w:hAnsi="Times New Roman" w:hAnsiTheme="majorHAnsi"/>
      <w:i/>
      <w:iCs/>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imes New Roman" w:asciiTheme="majorHAnsi" w:cstheme="majorBidi" w:eastAsiaTheme="majorEastAsia" w:hAnsi="Times New Roman" w:hAnsiTheme="majorHAnsi"/>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imes New Roman" w:asciiTheme="majorHAnsi" w:cstheme="majorBidi" w:eastAsiaTheme="majorEastAsia" w:hAnsi="Times New Roman" w:hAnsiTheme="majorHAnsi"/>
      <w:i/>
      <w:iCs/>
      <w:sz w:val="20"/>
      <w:szCs w:val="20"/>
    </w:rPr>
  </w:style>
  <w:style w:default="1" w:styleId="DefaultParagraphFont" w:type="character">
    <w:name w:val="Default Paragraph Font"/>
    <w:uiPriority w:val="1"/>
    <w:semiHidden/>
    <w:unhideWhenUsed/>
    <w:rPr>
      <w:rFonts w:ascii="Times New Roman" w:hAnsi="Times New Roman"/>
    </w:rPr>
  </w:style>
  <w:style w:default="1" w:styleId="TableNormal" w:type="table">
    <w:name w:val="Normal Table"/>
    <w:uiPriority w:val="99"/>
    <w:semiHidden/>
    <w:unhideWhenUsed/>
    <w:rPr>
      <w:rFonts w:ascii="Times New Roman" w:hAnsi="Times New Roman"/>
    </w:rPr>
    <w:tblPr>
      <w:tblInd w:type="dxa" w:w="0"/>
      <w:tblCellMar>
        <w:top w:type="dxa" w:w="0"/>
        <w:left w:type="dxa" w:w="108"/>
        <w:bottom w:type="dxa" w:w="0"/>
        <w:right w:type="dxa" w:w="108"/>
      </w:tblCellMar>
    </w:tblPr>
  </w:style>
  <w:style w:default="1" w:styleId="NoList" w:type="numbering">
    <w:name w:val="No List"/>
    <w:uiPriority w:val="99"/>
    <w:semiHidden/>
    <w:unhideWhenUsed/>
    <w:rPr>
      <w:rFonts w:ascii="Times New Roman" w:hAnsi="Times New Roman"/>
    </w:rPr>
  </w:style>
  <w:style w:styleId="NoSpacing" w:type="paragraph">
    <w:name w:val="No Spacing"/>
    <w:uiPriority w:val="1"/>
    <w:qFormat/>
    <w:rsid w:val="00FC693F"/>
    <w:pPr>
      <w:spacing w:after="0" w:line="240" w:lineRule="auto"/>
    </w:pPr>
    <w:rPr>
      <w:rFonts w:ascii="Times New Roman" w:hAnsi="Times New Roman"/>
    </w:rPr>
  </w:style>
  <w:style w:customStyle="1" w:styleId="Heading1Char" w:type="character">
    <w:name w:val="Heading 1 Char"/>
    <w:basedOn w:val="DefaultParagraphFont"/>
    <w:link w:val="Heading1"/>
    <w:uiPriority w:val="9"/>
    <w:rsid w:val="00FC693F"/>
    <w:rPr>
      <w:rFonts w:ascii="Times New Roman" w:asciiTheme="majorHAnsi" w:cstheme="majorBidi" w:eastAsiaTheme="majorEastAsia" w:hAnsi="Times New Roman" w:hAnsiTheme="majorHAnsi"/>
      <w:b/>
      <w:bCs/>
      <w:sz w:val="28"/>
      <w:szCs w:val="28"/>
    </w:rPr>
  </w:style>
  <w:style w:customStyle="1" w:styleId="Heading2Char" w:type="character">
    <w:name w:val="Heading 2 Char"/>
    <w:basedOn w:val="DefaultParagraphFont"/>
    <w:link w:val="Heading2"/>
    <w:uiPriority w:val="9"/>
    <w:rsid w:val="00FC693F"/>
    <w:rPr>
      <w:rFonts w:ascii="Times New Roman" w:asciiTheme="majorHAnsi" w:cstheme="majorBidi" w:eastAsiaTheme="majorEastAsia" w:hAnsi="Times New Roman" w:hAnsiTheme="majorHAnsi"/>
      <w:b/>
      <w:bCs/>
      <w:sz w:val="26"/>
      <w:szCs w:val="26"/>
    </w:rPr>
  </w:style>
  <w:style w:customStyle="1" w:styleId="Heading3Char" w:type="character">
    <w:name w:val="Heading 3 Char"/>
    <w:basedOn w:val="DefaultParagraphFont"/>
    <w:link w:val="Heading3"/>
    <w:uiPriority w:val="9"/>
    <w:rsid w:val="00FC693F"/>
    <w:rPr>
      <w:rFonts w:ascii="Times New Roman" w:asciiTheme="majorHAnsi" w:cstheme="majorBidi" w:eastAsiaTheme="majorEastAsia" w:hAnsi="Times New Roman" w:hAnsiTheme="majorHAnsi"/>
      <w:b/>
      <w:bCs/>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spacing w:val="5"/>
      <w:kern w:val="28"/>
      <w:sz w:val="52"/>
      <w:szCs w:val="52"/>
    </w:rPr>
  </w:style>
  <w:style w:customStyle="1" w:styleId="TitleChar" w:type="character">
    <w:name w:val="Title Char"/>
    <w:basedOn w:val="DefaultParagraphFont"/>
    <w:link w:val="Title"/>
    <w:uiPriority w:val="10"/>
    <w:rsid w:val="00FC693F"/>
    <w:rPr>
      <w:rFonts w:ascii="Times New Roman" w:asciiTheme="majorHAnsi" w:cstheme="majorBidi" w:eastAsiaTheme="majorEastAsia" w:hAnsi="Times New Roman" w:hAnsiTheme="majorHAnsi"/>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imes New Roman" w:asciiTheme="majorHAnsi" w:cstheme="majorBidi" w:eastAsiaTheme="majorEastAsia" w:hAnsi="Times New Roman" w:hAnsiTheme="majorHAnsi"/>
      <w:i/>
      <w:iCs/>
      <w:spacing w:val="15"/>
      <w:sz w:val="24"/>
      <w:szCs w:val="24"/>
    </w:rPr>
  </w:style>
  <w:style w:customStyle="1" w:styleId="SubtitleChar" w:type="character">
    <w:name w:val="Subtitle Char"/>
    <w:basedOn w:val="DefaultParagraphFont"/>
    <w:link w:val="Subtitle"/>
    <w:uiPriority w:val="11"/>
    <w:rsid w:val="00FC693F"/>
    <w:rPr>
      <w:rFonts w:ascii="Times New Roman" w:asciiTheme="majorHAnsi" w:cstheme="majorBidi" w:eastAsiaTheme="majorEastAsia" w:hAnsi="Times New Roman" w:hAnsiTheme="majorHAnsi"/>
      <w:i/>
      <w:iCs/>
      <w:spacing w:val="15"/>
      <w:sz w:val="24"/>
      <w:szCs w:val="24"/>
    </w:rPr>
  </w:style>
  <w:style w:styleId="ListParagraph" w:type="paragraph">
    <w:name w:val="List Paragraph"/>
    <w:basedOn w:val="Normal"/>
    <w:uiPriority w:val="34"/>
    <w:qFormat/>
    <w:rsid w:val="00FC693F"/>
    <w:pPr>
      <w:ind w:left="720"/>
      <w:contextualSpacing/>
    </w:pPr>
    <w:rPr>
      <w:rFonts w:ascii="Times New Roman" w:hAnsi="Times New Roman"/>
    </w:rPr>
  </w:style>
  <w:style w:styleId="BodyText" w:type="paragraph">
    <w:name w:val="Body Text"/>
    <w:basedOn w:val="Normal"/>
    <w:link w:val="BodyTextChar"/>
    <w:uiPriority w:val="99"/>
    <w:unhideWhenUsed/>
    <w:rsid w:val="00AA1D8D"/>
    <w:pPr>
      <w:spacing w:after="120"/>
    </w:pPr>
    <w:rPr>
      <w:rFonts w:ascii="Times New Roman" w:hAnsi="Times New Roman"/>
    </w:rPr>
  </w:style>
  <w:style w:customStyle="1" w:styleId="BodyTextChar" w:type="character">
    <w:name w:val="Body Text Char"/>
    <w:basedOn w:val="DefaultParagraphFont"/>
    <w:link w:val="BodyText"/>
    <w:uiPriority w:val="99"/>
    <w:rsid w:val="00AA1D8D"/>
    <w:rPr>
      <w:rFonts w:ascii="Times New Roman" w:hAnsi="Times New Roman"/>
    </w:rPr>
  </w:style>
  <w:style w:styleId="BodyText2" w:type="paragraph">
    <w:name w:val="Body Text 2"/>
    <w:basedOn w:val="Normal"/>
    <w:link w:val="BodyText2Char"/>
    <w:uiPriority w:val="99"/>
    <w:unhideWhenUsed/>
    <w:rsid w:val="00AA1D8D"/>
    <w:pPr>
      <w:spacing w:after="120" w:line="480" w:lineRule="auto"/>
    </w:pPr>
    <w:rPr>
      <w:rFonts w:ascii="Times New Roman" w:hAnsi="Times New Roman"/>
    </w:rPr>
  </w:style>
  <w:style w:customStyle="1" w:styleId="BodyText2Char" w:type="character">
    <w:name w:val="Body Text 2 Char"/>
    <w:basedOn w:val="DefaultParagraphFont"/>
    <w:link w:val="BodyText2"/>
    <w:uiPriority w:val="99"/>
    <w:rsid w:val="00AA1D8D"/>
    <w:rPr>
      <w:rFonts w:ascii="Times New Roman" w:hAnsi="Times New Roman"/>
    </w:rPr>
  </w:style>
  <w:style w:styleId="BodyText3" w:type="paragraph">
    <w:name w:val="Body Text 3"/>
    <w:basedOn w:val="Normal"/>
    <w:link w:val="BodyText3Char"/>
    <w:uiPriority w:val="99"/>
    <w:unhideWhenUsed/>
    <w:rsid w:val="00AA1D8D"/>
    <w:pPr>
      <w:spacing w:after="120"/>
    </w:pPr>
    <w:rPr>
      <w:rFonts w:ascii="Times New Roman" w:hAnsi="Times New Roman"/>
      <w:sz w:val="16"/>
      <w:szCs w:val="16"/>
    </w:rPr>
  </w:style>
  <w:style w:customStyle="1" w:styleId="BodyText3Char" w:type="character">
    <w:name w:val="Body Text 3 Char"/>
    <w:basedOn w:val="DefaultParagraphFont"/>
    <w:link w:val="BodyText3"/>
    <w:uiPriority w:val="99"/>
    <w:rsid w:val="00AA1D8D"/>
    <w:rPr>
      <w:rFonts w:ascii="Times New Roman" w:hAnsi="Times New Roman"/>
      <w:sz w:val="16"/>
      <w:szCs w:val="16"/>
    </w:rPr>
  </w:style>
  <w:style w:styleId="List" w:type="paragraph">
    <w:name w:val="List"/>
    <w:basedOn w:val="Normal"/>
    <w:uiPriority w:val="99"/>
    <w:unhideWhenUsed/>
    <w:rsid w:val="00AA1D8D"/>
    <w:pPr>
      <w:ind w:hanging="360" w:left="360"/>
      <w:contextualSpacing/>
    </w:pPr>
    <w:rPr>
      <w:rFonts w:ascii="Times New Roman" w:hAnsi="Times New Roman"/>
    </w:rPr>
  </w:style>
  <w:style w:styleId="List2" w:type="paragraph">
    <w:name w:val="List 2"/>
    <w:basedOn w:val="Normal"/>
    <w:uiPriority w:val="99"/>
    <w:unhideWhenUsed/>
    <w:rsid w:val="00326F90"/>
    <w:pPr>
      <w:ind w:hanging="360" w:left="720"/>
      <w:contextualSpacing/>
    </w:pPr>
    <w:rPr>
      <w:rFonts w:ascii="Times New Roman" w:hAnsi="Times New Roman"/>
    </w:rPr>
  </w:style>
  <w:style w:styleId="List3" w:type="paragraph">
    <w:name w:val="List 3"/>
    <w:basedOn w:val="Normal"/>
    <w:uiPriority w:val="99"/>
    <w:unhideWhenUsed/>
    <w:rsid w:val="00326F90"/>
    <w:pPr>
      <w:ind w:hanging="360" w:left="1080"/>
      <w:contextualSpacing/>
    </w:pPr>
    <w:rPr>
      <w:rFonts w:ascii="Times New Roman" w:hAnsi="Times New Roman"/>
    </w:rPr>
  </w:style>
  <w:style w:styleId="ListBullet" w:type="paragraph">
    <w:name w:val="List Bullet"/>
    <w:basedOn w:val="Normal"/>
    <w:uiPriority w:val="99"/>
    <w:unhideWhenUsed/>
    <w:rsid w:val="00326F90"/>
    <w:pPr>
      <w:numPr>
        <w:numId w:val="1"/>
      </w:numPr>
      <w:contextualSpacing/>
    </w:pPr>
    <w:rPr>
      <w:rFonts w:ascii="Times New Roman" w:hAnsi="Times New Roman"/>
    </w:rPr>
  </w:style>
  <w:style w:styleId="ListBullet2" w:type="paragraph">
    <w:name w:val="List Bullet 2"/>
    <w:basedOn w:val="Normal"/>
    <w:uiPriority w:val="99"/>
    <w:unhideWhenUsed/>
    <w:rsid w:val="00326F90"/>
    <w:pPr>
      <w:numPr>
        <w:numId w:val="2"/>
      </w:numPr>
      <w:contextualSpacing/>
    </w:pPr>
    <w:rPr>
      <w:rFonts w:ascii="Times New Roman" w:hAnsi="Times New Roman"/>
    </w:rPr>
  </w:style>
  <w:style w:styleId="ListBullet3" w:type="paragraph">
    <w:name w:val="List Bullet 3"/>
    <w:basedOn w:val="Normal"/>
    <w:uiPriority w:val="99"/>
    <w:unhideWhenUsed/>
    <w:rsid w:val="00326F90"/>
    <w:pPr>
      <w:numPr>
        <w:numId w:val="3"/>
      </w:numPr>
      <w:contextualSpacing/>
    </w:pPr>
    <w:rPr>
      <w:rFonts w:ascii="Times New Roman" w:hAnsi="Times New Roman"/>
    </w:rPr>
  </w:style>
  <w:style w:styleId="ListNumber" w:type="paragraph">
    <w:name w:val="List Number"/>
    <w:basedOn w:val="Normal"/>
    <w:uiPriority w:val="99"/>
    <w:unhideWhenUsed/>
    <w:rsid w:val="00326F90"/>
    <w:pPr>
      <w:numPr>
        <w:numId w:val="5"/>
      </w:numPr>
      <w:contextualSpacing/>
    </w:pPr>
    <w:rPr>
      <w:rFonts w:ascii="Times New Roman" w:hAnsi="Times New Roman"/>
    </w:rPr>
  </w:style>
  <w:style w:styleId="ListNumber2" w:type="paragraph">
    <w:name w:val="List Number 2"/>
    <w:basedOn w:val="Normal"/>
    <w:uiPriority w:val="99"/>
    <w:unhideWhenUsed/>
    <w:rsid w:val="0029639D"/>
    <w:pPr>
      <w:numPr>
        <w:numId w:val="6"/>
      </w:numPr>
      <w:contextualSpacing/>
    </w:pPr>
    <w:rPr>
      <w:rFonts w:ascii="Times New Roman" w:hAnsi="Times New Roman"/>
    </w:rPr>
  </w:style>
  <w:style w:styleId="ListNumber3" w:type="paragraph">
    <w:name w:val="List Number 3"/>
    <w:basedOn w:val="Normal"/>
    <w:uiPriority w:val="99"/>
    <w:unhideWhenUsed/>
    <w:rsid w:val="0029639D"/>
    <w:pPr>
      <w:numPr>
        <w:numId w:val="7"/>
      </w:numPr>
      <w:contextualSpacing/>
    </w:pPr>
    <w:rPr>
      <w:rFonts w:ascii="Times New Roman" w:hAnsi="Times New Roman"/>
    </w:rPr>
  </w:style>
  <w:style w:styleId="ListContinue" w:type="paragraph">
    <w:name w:val="List Continue"/>
    <w:basedOn w:val="Normal"/>
    <w:uiPriority w:val="99"/>
    <w:unhideWhenUsed/>
    <w:rsid w:val="0029639D"/>
    <w:pPr>
      <w:spacing w:after="120"/>
      <w:ind w:left="360"/>
      <w:contextualSpacing/>
    </w:pPr>
    <w:rPr>
      <w:rFonts w:ascii="Times New Roman" w:hAnsi="Times New Roman"/>
    </w:rPr>
  </w:style>
  <w:style w:styleId="ListContinue2" w:type="paragraph">
    <w:name w:val="List Continue 2"/>
    <w:basedOn w:val="Normal"/>
    <w:uiPriority w:val="99"/>
    <w:unhideWhenUsed/>
    <w:rsid w:val="0029639D"/>
    <w:pPr>
      <w:spacing w:after="120"/>
      <w:ind w:left="720"/>
      <w:contextualSpacing/>
    </w:pPr>
    <w:rPr>
      <w:rFonts w:ascii="Times New Roman" w:hAnsi="Times New Roman"/>
    </w:rPr>
  </w:style>
  <w:style w:styleId="ListContinue3" w:type="paragraph">
    <w:name w:val="List Continue 3"/>
    <w:basedOn w:val="Normal"/>
    <w:uiPriority w:val="99"/>
    <w:unhideWhenUsed/>
    <w:rsid w:val="0029639D"/>
    <w:pPr>
      <w:spacing w:after="120"/>
      <w:ind w:left="1080"/>
      <w:contextualSpacing/>
    </w:pPr>
    <w:rPr>
      <w:rFonts w:ascii="Times New Roman" w:hAnsi="Times New Roman"/>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Times New Roman" w:hAnsi="Times New Roman"/>
      <w:sz w:val="20"/>
      <w:szCs w:val="20"/>
    </w:rPr>
  </w:style>
  <w:style w:customStyle="1" w:styleId="MacroTextChar" w:type="character">
    <w:name w:val="Macro Text Char"/>
    <w:basedOn w:val="DefaultParagraphFont"/>
    <w:link w:val="MacroText"/>
    <w:uiPriority w:val="99"/>
    <w:rsid w:val="0029639D"/>
    <w:rPr>
      <w:rFonts w:ascii="Times New Roman" w:hAnsi="Times New Roman"/>
      <w:sz w:val="20"/>
      <w:szCs w:val="20"/>
    </w:rPr>
  </w:style>
  <w:style w:styleId="Quote" w:type="paragraph">
    <w:name w:val="Quote"/>
    <w:basedOn w:val="Normal"/>
    <w:next w:val="Normal"/>
    <w:link w:val="QuoteChar"/>
    <w:uiPriority w:val="29"/>
    <w:qFormat/>
    <w:rsid w:val="00FC693F"/>
    <w:rPr>
      <w:rFonts w:ascii="Times New Roman" w:hAnsi="Times New Roman"/>
      <w:i/>
      <w:iCs/>
    </w:rPr>
  </w:style>
  <w:style w:customStyle="1" w:styleId="QuoteChar" w:type="character">
    <w:name w:val="Quote Char"/>
    <w:basedOn w:val="DefaultParagraphFont"/>
    <w:link w:val="Quote"/>
    <w:uiPriority w:val="29"/>
    <w:rsid w:val="00FC693F"/>
    <w:rPr>
      <w:rFonts w:ascii="Times New Roman" w:hAnsi="Times New Roman"/>
      <w:i/>
      <w:iCs/>
    </w:rPr>
  </w:style>
  <w:style w:customStyle="1" w:styleId="Heading4Char" w:type="character">
    <w:name w:val="Heading 4 Char"/>
    <w:basedOn w:val="DefaultParagraphFont"/>
    <w:link w:val="Heading4"/>
    <w:uiPriority w:val="9"/>
    <w:semiHidden/>
    <w:rsid w:val="00FC693F"/>
    <w:rPr>
      <w:rFonts w:ascii="Times New Roman" w:asciiTheme="majorHAnsi" w:cstheme="majorBidi" w:eastAsiaTheme="majorEastAsia" w:hAnsi="Times New Roman" w:hAnsiTheme="majorHAnsi"/>
      <w:b/>
      <w:bCs/>
      <w:i/>
      <w:iCs/>
    </w:rPr>
  </w:style>
  <w:style w:customStyle="1" w:styleId="Heading5Char" w:type="character">
    <w:name w:val="Heading 5 Char"/>
    <w:basedOn w:val="DefaultParagraphFont"/>
    <w:link w:val="Heading5"/>
    <w:uiPriority w:val="9"/>
    <w:semiHidden/>
    <w:rsid w:val="00FC693F"/>
    <w:rPr>
      <w:rFonts w:ascii="Times New Roman" w:asciiTheme="majorHAnsi" w:cstheme="majorBidi" w:eastAsiaTheme="majorEastAsia" w:hAnsi="Times New Roman" w:hAnsiTheme="majorHAnsi"/>
    </w:rPr>
  </w:style>
  <w:style w:customStyle="1" w:styleId="Heading6Char" w:type="character">
    <w:name w:val="Heading 6 Char"/>
    <w:basedOn w:val="DefaultParagraphFont"/>
    <w:link w:val="Heading6"/>
    <w:uiPriority w:val="9"/>
    <w:semiHidden/>
    <w:rsid w:val="00FC693F"/>
    <w:rPr>
      <w:rFonts w:ascii="Times New Roman" w:asciiTheme="majorHAnsi" w:cstheme="majorBidi" w:eastAsiaTheme="majorEastAsia" w:hAnsi="Times New Roman" w:hAnsiTheme="majorHAnsi"/>
      <w:i/>
      <w:iCs/>
    </w:rPr>
  </w:style>
  <w:style w:customStyle="1" w:styleId="Heading7Char" w:type="character">
    <w:name w:val="Heading 7 Char"/>
    <w:basedOn w:val="DefaultParagraphFont"/>
    <w:link w:val="Heading7"/>
    <w:uiPriority w:val="9"/>
    <w:semiHidden/>
    <w:rsid w:val="00FC693F"/>
    <w:rPr>
      <w:rFonts w:ascii="Times New Roman" w:asciiTheme="majorHAnsi" w:cstheme="majorBidi" w:eastAsiaTheme="majorEastAsia" w:hAnsi="Times New Roman" w:hAnsiTheme="majorHAnsi"/>
      <w:i/>
      <w:iCs/>
    </w:rPr>
  </w:style>
  <w:style w:customStyle="1" w:styleId="Heading8Char" w:type="character">
    <w:name w:val="Heading 8 Char"/>
    <w:basedOn w:val="DefaultParagraphFont"/>
    <w:link w:val="Heading8"/>
    <w:uiPriority w:val="9"/>
    <w:semiHidden/>
    <w:rsid w:val="00FC693F"/>
    <w:rPr>
      <w:rFonts w:ascii="Times New Roman" w:asciiTheme="majorHAnsi" w:cstheme="majorBidi" w:eastAsiaTheme="majorEastAsia" w:hAnsi="Times New Roman" w:hAnsiTheme="majorHAnsi"/>
      <w:sz w:val="20"/>
      <w:szCs w:val="20"/>
    </w:rPr>
  </w:style>
  <w:style w:customStyle="1" w:styleId="Heading9Char" w:type="character">
    <w:name w:val="Heading 9 Char"/>
    <w:basedOn w:val="DefaultParagraphFont"/>
    <w:link w:val="Heading9"/>
    <w:uiPriority w:val="9"/>
    <w:semiHidden/>
    <w:rsid w:val="00FC693F"/>
    <w:rPr>
      <w:rFonts w:ascii="Times New Roman" w:asciiTheme="majorHAnsi" w:cstheme="majorBidi" w:eastAsiaTheme="majorEastAsia" w:hAnsi="Times New Roman" w:hAnsiTheme="majorHAnsi"/>
      <w:i/>
      <w:iCs/>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sz w:val="18"/>
      <w:szCs w:val="18"/>
    </w:rPr>
  </w:style>
  <w:style w:styleId="Strong" w:type="character">
    <w:name w:val="Strong"/>
    <w:basedOn w:val="DefaultParagraphFont"/>
    <w:uiPriority w:val="22"/>
    <w:qFormat/>
    <w:rsid w:val="00FC693F"/>
    <w:rPr>
      <w:rFonts w:ascii="Times New Roman" w:hAnsi="Times New Roman"/>
      <w:b/>
      <w:bCs/>
    </w:rPr>
  </w:style>
  <w:style w:styleId="Emphasis" w:type="character">
    <w:name w:val="Emphasis"/>
    <w:basedOn w:val="DefaultParagraphFont"/>
    <w:uiPriority w:val="20"/>
    <w:qFormat/>
    <w:rsid w:val="00FC693F"/>
    <w:rPr>
      <w:rFonts w:ascii="Times New Roman" w:hAnsi="Times New Roman"/>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Times New Roman" w:hAnsi="Times New Roman"/>
      <w:b/>
      <w:bCs/>
      <w:i/>
      <w:iCs/>
    </w:rPr>
  </w:style>
  <w:style w:customStyle="1" w:styleId="IntenseQuoteChar" w:type="character">
    <w:name w:val="Intense Quote Char"/>
    <w:basedOn w:val="DefaultParagraphFont"/>
    <w:link w:val="IntenseQuote"/>
    <w:uiPriority w:val="30"/>
    <w:rsid w:val="00FC693F"/>
    <w:rPr>
      <w:rFonts w:ascii="Times New Roman" w:hAnsi="Times New Roman"/>
      <w:b/>
      <w:bCs/>
      <w:i/>
      <w:iCs/>
    </w:rPr>
  </w:style>
  <w:style w:styleId="SubtleEmphasis" w:type="character">
    <w:name w:val="Subtle Emphasis"/>
    <w:basedOn w:val="DefaultParagraphFont"/>
    <w:uiPriority w:val="19"/>
    <w:qFormat/>
    <w:rsid w:val="00FC693F"/>
    <w:rPr>
      <w:rFonts w:ascii="Times New Roman" w:hAnsi="Times New Roman"/>
      <w:i/>
      <w:iCs/>
    </w:rPr>
  </w:style>
  <w:style w:styleId="IntenseEmphasis" w:type="character">
    <w:name w:val="Intense Emphasis"/>
    <w:basedOn w:val="DefaultParagraphFont"/>
    <w:uiPriority w:val="21"/>
    <w:qFormat/>
    <w:rsid w:val="00FC693F"/>
    <w:rPr>
      <w:rFonts w:ascii="Times New Roman" w:hAnsi="Times New Roman"/>
      <w:b/>
      <w:bCs/>
      <w:i/>
      <w:iCs/>
    </w:rPr>
  </w:style>
  <w:style w:styleId="SubtleReference" w:type="character">
    <w:name w:val="Subtle Reference"/>
    <w:basedOn w:val="DefaultParagraphFont"/>
    <w:uiPriority w:val="31"/>
    <w:qFormat/>
    <w:rsid w:val="00FC693F"/>
    <w:rPr>
      <w:rFonts w:ascii="Times New Roman" w:hAnsi="Times New Roman"/>
      <w:smallCaps/>
      <w:u w:val="single"/>
    </w:rPr>
  </w:style>
  <w:style w:styleId="IntenseReference" w:type="character">
    <w:name w:val="Intense Reference"/>
    <w:basedOn w:val="DefaultParagraphFont"/>
    <w:uiPriority w:val="32"/>
    <w:qFormat/>
    <w:rsid w:val="00FC693F"/>
    <w:rPr>
      <w:rFonts w:ascii="Times New Roman" w:hAnsi="Times New Roman"/>
      <w:b/>
      <w:bCs/>
      <w:smallCaps/>
      <w:spacing w:val="5"/>
      <w:u w:val="single"/>
    </w:rPr>
  </w:style>
  <w:style w:styleId="BookTitle" w:type="character">
    <w:name w:val="Book Title"/>
    <w:basedOn w:val="DefaultParagraphFont"/>
    <w:uiPriority w:val="33"/>
    <w:qFormat/>
    <w:rsid w:val="00FC693F"/>
    <w:rPr>
      <w:rFonts w:ascii="Times New Roman" w:hAnsi="Times New Roman"/>
      <w:b/>
      <w:bCs/>
      <w:smallCaps/>
      <w:spacing w:val="5"/>
    </w:rPr>
  </w:style>
  <w:style w:styleId="TOCHeading" w:type="paragraph">
    <w:name w:val="TOC Heading"/>
    <w:basedOn w:val="Heading1"/>
    <w:next w:val="Normal"/>
    <w:uiPriority w:val="39"/>
    <w:semiHidden/>
    <w:unhideWhenUsed/>
    <w:qFormat/>
    <w:rsid w:val="00FC693F"/>
    <w:pPr>
      <w:outlineLvl w:val="9"/>
    </w:pPr>
    <w:rPr>
      <w:rFonts w:ascii="Times New Roman" w:hAnsi="Times New Roman"/>
    </w:rPr>
  </w:style>
  <w:style w:styleId="TableGrid" w:type="table">
    <w:name w:val="Table Grid"/>
    <w:basedOn w:val="TableNormal"/>
    <w:uiPriority w:val="59"/>
    <w:rsid w:val="00FC693F"/>
    <w:pPr>
      <w:spacing w:after="0" w:line="240" w:lineRule="auto"/>
    </w:pPr>
    <w:rPr>
      <w:rFonts w:ascii="Times New Roman" w:hAnsi="Times New Roman"/>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rFonts w:ascii="Times New Roman" w:hAnsi="Times New Roman"/>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ascii="Times New Roman" w:hAnsi="Times New Roman"/>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rFonts w:ascii="Times New Roman" w:hAnsi="Times New Roman"/>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rFonts w:ascii="Times New Roman" w:hAnsi="Times New Roman"/>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rFonts w:ascii="Times New Roman" w:hAnsi="Times New Roman"/>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rFonts w:ascii="Times New Roman" w:hAnsi="Times New Roman"/>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rFonts w:ascii="Times New Roman" w:hAnsi="Times New Roman"/>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rPr>
      <w:rFonts w:ascii="Times New Roman" w:hAnsi="Times New Roman"/>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rPr>
      <w:rFonts w:ascii="Times New Roman" w:hAnsi="Times New Roman"/>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rPr>
      <w:rFonts w:ascii="Times New Roman" w:hAnsi="Times New Roman"/>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rPr>
      <w:rFonts w:ascii="Times New Roman" w:hAnsi="Times New Roman"/>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rPr>
      <w:rFonts w:ascii="Times New Roman" w:hAnsi="Times New Roman"/>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rPr>
      <w:rFonts w:ascii="Times New Roman" w:hAnsi="Times New Roman"/>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rPr>
      <w:rFonts w:ascii="Times New Roman" w:hAnsi="Times New Roman"/>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rPr>
      <w:rFonts w:ascii="Times New Roman" w:hAnsi="Times New Roman"/>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rPr>
      <w:rFonts w:ascii="Times New Roman" w:hAnsi="Times New Roman"/>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rPr>
      <w:rFonts w:ascii="Times New Roman" w:hAnsi="Times New Roman"/>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rPr>
      <w:rFonts w:ascii="Times New Roman" w:hAnsi="Times New Roman"/>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rPr>
      <w:rFonts w:ascii="Times New Roman" w:hAnsi="Times New Roman"/>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rPr>
      <w:rFonts w:ascii="Times New Roman" w:hAnsi="Times New Roman"/>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rPr>
      <w:rFonts w:ascii="Times New Roman" w:hAnsi="Times New Roman"/>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rPr>
      <w:rFonts w:ascii="Times New Roman" w:hAnsi="Times New Roman"/>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rPr>
      <w:rFonts w:ascii="Times New Roman" w:hAnsi="Times New Roman"/>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rFonts w:ascii="Times New Roman" w:hAnsi="Times New Roman"/>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rFonts w:ascii="Times New Roman" w:hAnsi="Times New Roman"/>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rFonts w:ascii="Times New Roman" w:hAnsi="Times New Roman"/>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rFonts w:ascii="Times New Roman" w:hAnsi="Times New Roman"/>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rFonts w:ascii="Times New Roman" w:hAnsi="Times New Roman"/>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rFonts w:ascii="Times New Roman" w:hAnsi="Times New Roman"/>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rFonts w:ascii="Times New Roman" w:hAnsi="Times New Roman"/>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imes New Roman" w:asciiTheme="majorHAnsi" w:cstheme="majorBidi" w:eastAsiaTheme="majorEastAsia" w:hAnsi="Times New Roman" w:hAnsiTheme="majorHAnsi"/>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imes New Roman" w:asciiTheme="majorHAnsi" w:cstheme="majorBidi" w:eastAsiaTheme="majorEastAsia" w:hAnsi="Times New Roman" w:hAnsiTheme="majorHAnsi"/>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imes New Roman" w:asciiTheme="majorHAnsi" w:cstheme="majorBidi" w:eastAsiaTheme="majorEastAsia" w:hAnsi="Times New Roman" w:hAnsiTheme="majorHAnsi"/>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imes New Roman" w:asciiTheme="majorHAnsi" w:cstheme="majorBidi" w:eastAsiaTheme="majorEastAsia" w:hAnsi="Times New Roman" w:hAnsiTheme="majorHAnsi"/>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imes New Roman" w:asciiTheme="majorHAnsi" w:cstheme="majorBidi" w:eastAsiaTheme="majorEastAsia" w:hAnsi="Times New Roman" w:hAnsiTheme="majorHAnsi"/>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imes New Roman" w:asciiTheme="majorHAnsi" w:cstheme="majorBidi" w:eastAsiaTheme="majorEastAsia" w:hAnsi="Times New Roman" w:hAnsiTheme="majorHAnsi"/>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imes New Roman" w:asciiTheme="majorHAnsi" w:cstheme="majorBidi" w:eastAsiaTheme="majorEastAsia" w:hAnsi="Times New Roman" w:hAnsiTheme="majorHAnsi"/>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rPr>
      <w:rFonts w:ascii="Times New Roman" w:hAnsi="Times New Roman"/>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rPr>
      <w:rFonts w:ascii="Times New Roman" w:hAnsi="Times New Roman"/>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rPr>
      <w:rFonts w:ascii="Times New Roman" w:hAnsi="Times New Roman"/>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rPr>
      <w:rFonts w:ascii="Times New Roman" w:hAnsi="Times New Roman"/>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rPr>
      <w:rFonts w:ascii="Times New Roman" w:hAnsi="Times New Roman"/>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rPr>
      <w:rFonts w:ascii="Times New Roman" w:hAnsi="Times New Roman"/>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rPr>
      <w:rFonts w:ascii="Times New Roman" w:hAnsi="Times New Roman"/>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imes New Roman" w:asciiTheme="majorHAnsi" w:cstheme="majorBidi" w:eastAsiaTheme="majorEastAsia" w:hAnsi="Times New Roman" w:hAnsiTheme="majorHAnsi"/>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imes New Roman" w:asciiTheme="majorHAnsi" w:cstheme="majorBidi" w:eastAsiaTheme="majorEastAsia" w:hAnsi="Times New Roman" w:hAnsiTheme="majorHAnsi"/>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imes New Roman" w:asciiTheme="majorHAnsi" w:cstheme="majorBidi" w:eastAsiaTheme="majorEastAsia" w:hAnsi="Times New Roman" w:hAnsiTheme="majorHAnsi"/>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imes New Roman" w:asciiTheme="majorHAnsi" w:cstheme="majorBidi" w:eastAsiaTheme="majorEastAsia" w:hAnsi="Times New Roman" w:hAnsiTheme="majorHAnsi"/>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imes New Roman" w:asciiTheme="majorHAnsi" w:cstheme="majorBidi" w:eastAsiaTheme="majorEastAsia" w:hAnsi="Times New Roman" w:hAnsiTheme="majorHAnsi"/>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imes New Roman" w:asciiTheme="majorHAnsi" w:cstheme="majorBidi" w:eastAsiaTheme="majorEastAsia" w:hAnsi="Times New Roman" w:hAnsiTheme="majorHAnsi"/>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imes New Roman" w:asciiTheme="majorHAnsi" w:cstheme="majorBidi" w:eastAsiaTheme="majorEastAsia" w:hAnsi="Times New Roman" w:hAnsiTheme="majorHAnsi"/>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rPr>
      <w:rFonts w:ascii="Times New Roman" w:hAnsi="Times New Roman"/>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rPr>
      <w:rFonts w:ascii="Times New Roman" w:hAnsi="Times New Roman"/>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rPr>
      <w:rFonts w:ascii="Times New Roman" w:hAnsi="Times New Roman"/>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rPr>
      <w:rFonts w:ascii="Times New Roman" w:hAnsi="Times New Roman"/>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rPr>
      <w:rFonts w:ascii="Times New Roman" w:hAnsi="Times New Roman"/>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rPr>
      <w:rFonts w:ascii="Times New Roman" w:hAnsi="Times New Roman"/>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rPr>
      <w:rFonts w:ascii="Times New Roman" w:hAnsi="Times New Roman"/>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rFonts w:ascii="Times New Roman" w:hAnsi="Times New Roman"/>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rFonts w:ascii="Times New Roman" w:hAnsi="Times New Roman"/>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rFonts w:ascii="Times New Roman" w:hAnsi="Times New Roman"/>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rFonts w:ascii="Times New Roman" w:hAnsi="Times New Roman"/>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rFonts w:ascii="Times New Roman" w:hAnsi="Times New Roman"/>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rFonts w:ascii="Times New Roman" w:hAnsi="Times New Roman"/>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rFonts w:ascii="Times New Roman" w:hAnsi="Times New Roman"/>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rFonts w:ascii="Times New Roman" w:hAnsi="Times New Roman"/>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rFonts w:ascii="Times New Roman" w:hAnsi="Times New Roman"/>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rFonts w:ascii="Times New Roman" w:hAnsi="Times New Roman"/>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rFonts w:ascii="Times New Roman" w:hAnsi="Times New Roman"/>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rFonts w:ascii="Times New Roman" w:hAnsi="Times New Roman"/>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rFonts w:ascii="Times New Roman" w:hAnsi="Times New Roman"/>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rFonts w:ascii="Times New Roman" w:hAnsi="Times New Roman"/>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rFonts w:ascii="Times New Roman" w:hAnsi="Times New Roman"/>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rFonts w:ascii="Times New Roman" w:hAnsi="Times New Roman"/>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rFonts w:ascii="Times New Roman" w:hAnsi="Times New Roman"/>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rFonts w:ascii="Times New Roman" w:hAnsi="Times New Roman"/>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rFonts w:ascii="Times New Roman" w:hAnsi="Times New Roman"/>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rFonts w:ascii="Times New Roman" w:hAnsi="Times New Roman"/>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rFonts w:ascii="Times New Roman" w:hAnsi="Times New Roman"/>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rFonts w:ascii="Times New Roman" w:hAnsi="Times New Roman"/>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rFonts w:ascii="Times New Roman" w:hAnsi="Times New Roman"/>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rFonts w:ascii="Times New Roman" w:hAnsi="Times New Roman"/>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rFonts w:ascii="Times New Roman" w:hAnsi="Times New Roman"/>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rFonts w:ascii="Times New Roman" w:hAnsi="Times New Roman"/>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rFonts w:ascii="Times New Roman" w:hAnsi="Times New Roman"/>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rFonts w:ascii="Times New Roman" w:hAnsi="Times New Roman"/>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2026-06-13T16:12:07Z</dcterms:created>
  <dcterms:modified xsi:type="dcterms:W3CDTF">2026-06-13T16:12:07Z</dcterms:modified>
</cp:coreProperties>
</file>

<file path=docProps/custom.xml><?xml version="1.0" encoding="utf-8"?>
<Properties xmlns="http://schemas.openxmlformats.org/officeDocument/2006/custom-properties" xmlns:vt="http://schemas.openxmlformats.org/officeDocument/2006/docPropsVTypes"/>
</file>