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r7y79aeu5f5" w:id="0"/>
    <w:bookmarkEnd w:id="0"/>
    <w:p w:rsidR="00000000" w:rsidDel="00000000" w:rsidP="00000000" w:rsidRDefault="00000000" w:rsidRPr="00000000" w14:paraId="00000001">
      <w:pPr>
        <w:pStyle w:val="Heading1"/>
        <w:jc w:val="both"/>
        <w:rPr/>
      </w:pPr>
      <w:r w:rsidDel="00000000" w:rsidR="00000000" w:rsidRPr="00000000">
        <w:rPr>
          <w:rtl w:val="0"/>
        </w:rPr>
        <w:t xml:space="preserve">Counselorbot: un </w:t>
      </w:r>
      <w:r w:rsidDel="00000000" w:rsidR="00000000" w:rsidRPr="00000000">
        <w:rPr>
          <w:i w:val="1"/>
          <w:iCs w:val="1"/>
          <w:rtl w:val="0"/>
        </w:rPr>
        <w:t xml:space="preserve">chatbot</w:t>
      </w:r>
      <w:r w:rsidDel="00000000" w:rsidR="00000000" w:rsidRPr="00000000">
        <w:rPr>
          <w:rtl w:val="0"/>
        </w:rPr>
        <w:t xml:space="preserve"> per l’orientamento</w:t>
      </w:r>
    </w:p>
    <w:p w:rsidR="00000000" w:rsidDel="00000000" w:rsidP="00000000" w:rsidRDefault="00000000" w:rsidRPr="00000000" w14:paraId="00000002">
      <w:pPr>
        <w:jc w:val="both"/>
        <w:rPr/>
      </w:pPr>
      <w:r w:rsidDel="00000000" w:rsidR="00000000" w:rsidRPr="00000000">
        <w:rPr>
          <w:b w:val="1"/>
          <w:bCs w:val="1"/>
          <w:rtl w:val="0"/>
        </w:rPr>
        <w:t xml:space="preserve">Abstract</w:t>
      </w:r>
      <w:r w:rsidDel="00000000" w:rsidR="00000000" w:rsidRPr="00000000">
        <w:rPr>
          <w:rtl w:val="0"/>
        </w:rPr>
        <w:t xml:space="preserve"> (italiano)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L’articolo presenta Counselorbot, un assistente conversazionale basato su LLM per l’autovalutazione guidata delle competenze strategiche degli studenti. Il lavoro descrive l’architettura ibrida del sistema — che combina passi guidati deterministici con la flessibilità di un LLM — e il framework delle competenze strategiche (QSA) su cui si basa. La valutazione, condotta su 34 partecipanti confrontando due versioni (SBS e ai4educ), mostra miglioramenti in 9 dimensioni su 10, con incrementi in facilità d’uso (Δ = +0,79) e fiducia (Δ = +0,65). Il lavoro si colloca nella fase di test del modello ADDIE e discute limiti e direzioni di sviluppo.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(inglese)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paper presents Counselorbot, an LLM-based conversational assistant for guided self-assessment of students’ strategic competences. The paper describes the hybrid architecture — combining deterministic guided steps with LLM flexibility — and the strategic competences framework (QSA) it builds on. The evaluation, carried out on 34 participants comparing two versions (SBS and ai4educ), shows improvements in 9 out of 10 dimensions, with increases in ease of use (Δ = +0.79) and trust (Δ = +0.65). The study is positioned within the test phase of the ADDIE model and discusses limitations and future directions.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Parole chiave: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autovalutazione; competenze strategiche; LLM;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chatbot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educativo; QSA; intelligenza artificiale generativa; ADDIE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self-assessment; strategic competences; LLM; educational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chatbot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QSA; generative AI; ADDIE</w:t>
      </w:r>
    </w:p>
    <w:bookmarkStart w:colFirst="0" w:colLast="0" w:name="bookmark=id.w0y8y92mhrs9" w:id="1"/>
    <w:bookmarkEnd w:id="1"/>
    <w:p w:rsidR="00000000" w:rsidDel="00000000" w:rsidP="00000000" w:rsidRDefault="00000000" w:rsidRPr="00000000" w14:paraId="00000007">
      <w:pPr>
        <w:pStyle w:val="Heading2"/>
        <w:jc w:val="both"/>
        <w:rPr/>
      </w:pPr>
      <w:r w:rsidDel="00000000" w:rsidR="00000000" w:rsidRPr="00000000">
        <w:rPr>
          <w:rtl w:val="0"/>
        </w:rPr>
        <w:t xml:space="preserve">Introduzione</w:t>
      </w:r>
    </w:p>
    <w:p w:rsidR="00000000" w:rsidDel="00000000" w:rsidP="00000000" w:rsidRDefault="00000000" w:rsidRPr="00000000" w14:paraId="00000008">
      <w:pPr>
        <w:jc w:val="both"/>
        <w:rPr/>
      </w:pPr>
      <w:r w:rsidDel="00000000" w:rsidR="00000000" w:rsidRPr="00000000">
        <w:rPr>
          <w:rtl w:val="0"/>
        </w:rPr>
        <w:t xml:space="preserve">Nel panorama dell’orientamento scolastico e professionale, i questionari occupano un ruolo centrale. Presentano allo studente una serie di affermazioni — su stili di studio, strategie, concentrazione, emozioni, studio in gruppo — chiedendo il grado di accordo. Al termine, restituiscono un profilo che sintetizza i risultati in fattori o brevi commenti. Questo esito può essere oggetto di riflessione personale o discusso con tutor, docente o orientatore; tale accompagnamento trova però un limite nella disponibilità di chi lo svolge. I recenti modelli conversazionali basati su Large Language Model (LLM) possono costituire un ampliamento di questo accompagnamento. L’articolo esplora tale possibilitò decrivendo la costruzione e la validazione di Counselorbot, un assistente conversazionale progettato per guidare lo studente nella riflessione su questi strumenti. In particolare, è testato sul Questionario sulle Strategie di Apprendimento (QSA), ma è già predisposto per essere usato con altri strumenti.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lavoro si articola in sei paragrafi. Il §1 presenta il quadro teorico e lo stato dell’arte; il §2 descrive la progettazione e l’architettura di Counselorbot. Il §3 illustra la metodologia di validazine di Counselorbot, i cui risultati sono presentati al §4. Il §5 discute le implicazioni dei risultati, mentre il §6 conclude tracciando le direzioni di sviluppo futuro.</w:t>
      </w:r>
    </w:p>
    <w:bookmarkStart w:colFirst="0" w:colLast="0" w:name="bookmark=id.cebxcjj2ls4m" w:id="2"/>
    <w:bookmarkEnd w:id="2"/>
    <w:p w:rsidR="00000000" w:rsidDel="00000000" w:rsidP="00000000" w:rsidRDefault="00000000" w:rsidRPr="00000000" w14:paraId="0000000A">
      <w:pPr>
        <w:pStyle w:val="Heading2"/>
        <w:jc w:val="both"/>
        <w:rPr/>
      </w:pPr>
      <w:r w:rsidDel="00000000" w:rsidR="00000000" w:rsidRPr="00000000">
        <w:rPr>
          <w:rtl w:val="0"/>
        </w:rPr>
        <w:t xml:space="preserve">1. Quadro teorico e stato dell’arte</w:t>
      </w:r>
    </w:p>
    <w:bookmarkStart w:colFirst="0" w:colLast="0" w:name="bookmark=id.63lda42ui3c2" w:id="3"/>
    <w:bookmarkEnd w:id="3"/>
    <w:p w:rsidR="00000000" w:rsidDel="00000000" w:rsidP="00000000" w:rsidRDefault="00000000" w:rsidRPr="00000000" w14:paraId="0000000B">
      <w:pPr>
        <w:pStyle w:val="Heading3"/>
        <w:jc w:val="both"/>
        <w:rPr/>
      </w:pPr>
      <w:r w:rsidDel="00000000" w:rsidR="00000000" w:rsidRPr="00000000">
        <w:rPr>
          <w:rtl w:val="0"/>
        </w:rPr>
        <w:t xml:space="preserve">1.1 LLM e autovalutazione in educazione</w:t>
      </w:r>
    </w:p>
    <w:p w:rsidR="00000000" w:rsidDel="00000000" w:rsidP="00000000" w:rsidRDefault="00000000" w:rsidRPr="00000000" w14:paraId="0000000C">
      <w:pPr>
        <w:jc w:val="both"/>
        <w:rPr/>
      </w:pPr>
      <w:r w:rsidDel="00000000" w:rsidR="00000000" w:rsidRPr="00000000">
        <w:rPr>
          <w:rtl w:val="0"/>
        </w:rPr>
        <w:t xml:space="preserve">L’intelligenza artificiale generativa (GenAI) è un insieme di strumenti in grado di produrre contenuti originali. Alla base di questi strumenti vi sono i </w:t>
      </w:r>
      <w:r w:rsidDel="00000000" w:rsidR="00000000" w:rsidRPr="00000000">
        <w:rPr>
          <w:i w:val="1"/>
          <w:iCs w:val="1"/>
          <w:rtl w:val="0"/>
        </w:rPr>
        <w:t xml:space="preserve">foundation model</w:t>
      </w:r>
      <w:r w:rsidDel="00000000" w:rsidR="00000000" w:rsidRPr="00000000">
        <w:rPr>
          <w:rtl w:val="0"/>
        </w:rPr>
        <w:t xml:space="preserve">, ovvero grandi reti neurali in grado di apprendere dai dati (</w:t>
      </w:r>
      <w:r w:rsidDel="00000000" w:rsidR="00000000" w:rsidRPr="00000000">
        <w:rPr>
          <w:i w:val="1"/>
          <w:iCs w:val="1"/>
          <w:rtl w:val="0"/>
        </w:rPr>
        <w:t xml:space="preserve">data driven</w:t>
      </w:r>
      <w:r w:rsidDel="00000000" w:rsidR="00000000" w:rsidRPr="00000000">
        <w:rPr>
          <w:rtl w:val="0"/>
        </w:rPr>
        <w:t xml:space="preserve">), e tra queste famiglie la più diffusa è quella dei </w:t>
      </w:r>
      <w:r w:rsidDel="00000000" w:rsidR="00000000" w:rsidRPr="00000000">
        <w:rPr>
          <w:i w:val="1"/>
          <w:iCs w:val="1"/>
          <w:rtl w:val="0"/>
        </w:rPr>
        <w:t xml:space="preserve">Large Language Model</w:t>
      </w:r>
      <w:r w:rsidDel="00000000" w:rsidR="00000000" w:rsidRPr="00000000">
        <w:rPr>
          <w:rtl w:val="0"/>
        </w:rPr>
        <w:t xml:space="preserve"> (LLM), modelli specializzati nel linguaggio (Brown et al. 2020).</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Gli LLM permettono agli attuali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chatbot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le interfacce su cui accediamo a questi modelli — di superare i limiti dei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chatbot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passato basati su regole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rule-based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(ELIZA, Weizenbaum 1966). Sono infatti in grado di produrre output adattivi e coerenti in linguaggio naturale, rendendo l’interazione più fluida e aperta a casi non previsti dal programmatore (Brown et al. 2020; Kasneci et al. 2023). Introducono tuttavia nuovi problemi tecnici — bias, allucinazioni, comportamenti non in linea con la richiesta — che richiedono un’attenta gestione (Bender et al. 2021). A questi si aggiunge un problema di accettazione: a parità di contenuto, le indicazioni fornite da un sistema artificiale tendono a essere percepite come meno credibili rispetto a quelle di un operatore umano (Cukurova et al. 2020).</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ambito educativo, 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chatbot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hanno trovato impiego fin dagli anni Settanta nei primi sistemi di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tutoring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intelligente (Self 1974). I chatbot basati su regole si sono dimostrati efficaci per compiti strutturati — tutoring in discipline specifiche, assessment, predizione (Zawacki-Richter et al. 2019; Kuhail et al. 2022). 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mentoring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inteso come accompagnamento tutoriale al percorso dello studente, è invece rimasto uno degli spazi meno coperti (Wollny et al. 2021): i diversi tentativi hanno mostrato che i sistemi a regole non erano ottimali per dialogo esteso e riflessione guidata (Su et al. 2020; Mendez et al. 2020; D’Silva et al. 2020).</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Gli LLM, per la loro flessibilità, cambiano questo quadro. Possono essere istruiti con direttive specifiche — 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system prompt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meta prompt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che ne vincolano il comportamento a un ruolo e a uno scopo, e generano linguaggio naturale coerente anche in risposta a input imprevisti (Kasneci et al. 2023). A questa istruibilità si aggiunge la possibilità di richiamare conoscenze contestuali — strategie approvate, dati del profilo dello studente, frammenti di letteratura — migliorando l’accuratezza e la pertinenza delle risposte rispetto il contesto. Queste caratteristiche forniscono ingredienti promettenti per costruire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mentoring chatbot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 accompagna lo studente in un percorso di autovalutazione, adattandosi alle sue esigenze.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Tuttavia gli LLM presentano limiti che richiedono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guardrail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vincoli progettuali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system prompt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filtri, validazione output) che impediscono al modello di discostarsi dallo scopo dell’interazione.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chatbot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moderni possono quindi rendere scalabili processi di orientamento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mentoring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altrimenti non sostenibili (Neumann et al. 2021). Impiegati come tutor socratici — un modello dialogico in cui l’AI guida lo studente alla scoperta attraverso domande, non risposte dirette — possono inoltre sostenere lo sviluppo metacognitivo e l’</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epistemica, ossia la capacità dello studente di porsi come agente attivo nella costruzione della propria conoscenza (Antunes et al. 2025). Perché ciò avvenga, il dialogo va progettato attorno a principi di autoregolazione (Chang et al. 2023). Le strategie di autovalutazione supportate dall’AI risultano ancora tra le meno utilizzate dagli studenti (Liu et al. 2025). Inoltre, la consapevolezza metacognitiva richiesta per interagire con la GenAI è essa stessa un’abilità da sostenere (Tankelevitch et al. 2024). Il framework delle competenze strategiche, descritto nel paragrafo successivo, è uno strumento pensato proprio per rilevare e sostenere queste strategie.</w:t>
      </w:r>
    </w:p>
    <w:bookmarkStart w:colFirst="0" w:colLast="0" w:name="bookmark=id.qn604fh8ml8t" w:id="4"/>
    <w:bookmarkEnd w:id="4"/>
    <w:p w:rsidR="00000000" w:rsidDel="00000000" w:rsidP="00000000" w:rsidRDefault="00000000" w:rsidRPr="00000000" w14:paraId="00000012">
      <w:pPr>
        <w:pStyle w:val="Heading3"/>
        <w:jc w:val="both"/>
        <w:rPr/>
      </w:pPr>
      <w:r w:rsidDel="00000000" w:rsidR="00000000" w:rsidRPr="00000000">
        <w:rPr>
          <w:rtl w:val="0"/>
        </w:rPr>
        <w:t xml:space="preserve">1.2 Il framework delle competenze strategiche</w:t>
      </w:r>
    </w:p>
    <w:p w:rsidR="00000000" w:rsidDel="00000000" w:rsidP="00000000" w:rsidRDefault="00000000" w:rsidRPr="00000000" w14:paraId="00000013">
      <w:pPr>
        <w:jc w:val="both"/>
        <w:rPr/>
      </w:pPr>
      <w:r w:rsidDel="00000000" w:rsidR="00000000" w:rsidRPr="00000000">
        <w:rPr>
          <w:rtl w:val="0"/>
        </w:rPr>
        <w:t xml:space="preserve">Il costrutto di </w:t>
      </w:r>
      <w:r w:rsidDel="00000000" w:rsidR="00000000" w:rsidRPr="00000000">
        <w:rPr>
          <w:i w:val="1"/>
          <w:iCs w:val="1"/>
          <w:rtl w:val="0"/>
        </w:rPr>
        <w:t xml:space="preserve">competenza strategica</w:t>
      </w:r>
      <w:r w:rsidDel="00000000" w:rsidR="00000000" w:rsidRPr="00000000">
        <w:rPr>
          <w:rtl w:val="0"/>
        </w:rPr>
        <w:t xml:space="preserve"> — sviluppato dal gruppo di ricerca coordinato da Pellerey e Margottini nell’ambito del CNOS-FAP (Pellerey et al., 2013) — affonda le sue radici nel concetto aristotelico-tomista di </w:t>
      </w:r>
      <w:r w:rsidDel="00000000" w:rsidR="00000000" w:rsidRPr="00000000">
        <w:rPr>
          <w:i w:val="1"/>
          <w:iCs w:val="1"/>
          <w:rtl w:val="0"/>
        </w:rPr>
        <w:t xml:space="preserve">abito</w:t>
      </w:r>
      <w:r w:rsidDel="00000000" w:rsidR="00000000" w:rsidRPr="00000000">
        <w:rPr>
          <w:rtl w:val="0"/>
        </w:rPr>
        <w:t xml:space="preserve"> (habitus), inteso come disposizione stabile della persona che integra dimensioni intellettuali, operative e morali. Nel contesto educativo, designa l’insieme delle abilità cognitive, metacognitive, affettivo-motivazionali e volitive che uno studente attiva per pianificare, monitorare e regolare il proprio apprendimento, riconoscendo e mobilitando le risorse personali a disposizione. Il framework articola il costrutto in nove aree — che spaziano dalle strategie di studio alla collaborazione, dalla percezione di competenza all’autoregolazione, dal coping alla progettualità — e costituisce il riferimento teorico della piattaforma competenzestrategiche.it.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partire da questo costrutto è stato sviluppato il Questionario sulle Strategie di Apprendimento (QSA), che ne traduce le aree in fattori misurabili e ne restituisce un profilo individuale. Sulla piattaforma competenzestrategiche.it sono disponibili anche altri strumenti basati sul medesimo framework — tra cui lo ZTPI per la prospettiva temporale, il QAP per l’adattabilità professionale, il QPCS e il QPCC per diversi target di età — oltre a una forma ridotta del QSA (QSAr).</w:t>
      </w:r>
    </w:p>
    <w:bookmarkStart w:colFirst="0" w:colLast="0" w:name="bookmark=id.kmx2ie710zgi" w:id="5"/>
    <w:bookmarkEnd w:id="5"/>
    <w:p w:rsidR="00000000" w:rsidDel="00000000" w:rsidP="00000000" w:rsidRDefault="00000000" w:rsidRPr="00000000" w14:paraId="00000015">
      <w:pPr>
        <w:pStyle w:val="Heading3"/>
        <w:jc w:val="both"/>
        <w:rPr/>
      </w:pPr>
      <w:r w:rsidDel="00000000" w:rsidR="00000000" w:rsidRPr="00000000">
        <w:rPr>
          <w:rtl w:val="0"/>
        </w:rPr>
        <w:t xml:space="preserve">1.3 Posizionamento del lavoro</w:t>
      </w:r>
    </w:p>
    <w:p w:rsidR="00000000" w:rsidDel="00000000" w:rsidP="00000000" w:rsidRDefault="00000000" w:rsidRPr="00000000" w14:paraId="00000016">
      <w:pPr>
        <w:jc w:val="both"/>
        <w:rPr/>
      </w:pPr>
      <w:r w:rsidDel="00000000" w:rsidR="00000000" w:rsidRPr="00000000">
        <w:rPr>
          <w:rtl w:val="0"/>
        </w:rPr>
        <w:t xml:space="preserve">L’analisi della letteratura e degli strumenti esistenti evidenzia uno scarto. Da un lato, i sistemi basati su LLM per il dialogo in contesti educativi sono ancora prevalentemente orientati al supporto emotivo o al tutoring disciplinare. Esistono lavori che esplorano l’uso degli LLM per generare feedback personalizzati — Susnjak (2023), ad esempio, usa un LLM per tradurre in linguaggio naturale le indicazioni emerse da un modello predittivo: «se aumenti la tua media del 10% e studi a tempo pieno, il tuo rischio di abbandono si riduce» — ma questi casi restano slegati da strumenti strutturati di autovalutazione. Dall’altro, gli strumenti di autovalutazione — come il QSA — restituiscono un profilo senza offrire uno strumento avannzato che aiuti lo studente a interpretarlo e a tradurlo in azioni concrete.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Counselorbot si inserisce in questa lacuna.</w:t>
      </w:r>
    </w:p>
    <w:bookmarkStart w:colFirst="0" w:colLast="0" w:name="bookmark=id.gwwcilgn72iy" w:id="6"/>
    <w:bookmarkEnd w:id="6"/>
    <w:p w:rsidR="00000000" w:rsidDel="00000000" w:rsidP="00000000" w:rsidRDefault="00000000" w:rsidRPr="00000000" w14:paraId="00000018">
      <w:pPr>
        <w:pStyle w:val="Heading2"/>
        <w:jc w:val="both"/>
        <w:rPr/>
      </w:pPr>
      <w:r w:rsidDel="00000000" w:rsidR="00000000" w:rsidRPr="00000000">
        <w:rPr>
          <w:rtl w:val="0"/>
        </w:rPr>
        <w:t xml:space="preserve">2. Progettazione di Counselorbot</w:t>
      </w:r>
    </w:p>
    <w:bookmarkStart w:colFirst="0" w:colLast="0" w:name="bookmark=id.9iv6rpkc69uk" w:id="7"/>
    <w:bookmarkEnd w:id="7"/>
    <w:p w:rsidR="00000000" w:rsidDel="00000000" w:rsidP="00000000" w:rsidRDefault="00000000" w:rsidRPr="00000000" w14:paraId="00000019">
      <w:pPr>
        <w:pStyle w:val="Heading3"/>
        <w:jc w:val="both"/>
        <w:rPr/>
      </w:pPr>
      <w:r w:rsidDel="00000000" w:rsidR="00000000" w:rsidRPr="00000000">
        <w:rPr>
          <w:rtl w:val="0"/>
        </w:rPr>
        <w:t xml:space="preserve">2.1 Obiettivi di design e requisiti</w:t>
      </w:r>
    </w:p>
    <w:p w:rsidR="00000000" w:rsidDel="00000000" w:rsidP="00000000" w:rsidRDefault="00000000" w:rsidRPr="00000000" w14:paraId="0000001A">
      <w:pPr>
        <w:jc w:val="both"/>
        <w:rPr/>
      </w:pPr>
      <w:r w:rsidDel="00000000" w:rsidR="00000000" w:rsidRPr="00000000">
        <w:rPr>
          <w:rtl w:val="0"/>
        </w:rPr>
        <w:t xml:space="preserve">Il sistema è progettato per accompagnare lo studente in un percorso di autovalutazione e riflessione su strumenti di orientamento già validati e utilizzati, in particolare i questionari del sito competenzestrategiche.it menzionati poc’anzi. È aperto anche ad altri strumenti: al momento include la simulazione del </w:t>
      </w:r>
      <w:r w:rsidDel="00000000" w:rsidR="00000000" w:rsidRPr="00000000">
        <w:rPr>
          <w:i w:val="1"/>
          <w:iCs w:val="1"/>
          <w:rtl w:val="0"/>
        </w:rPr>
        <w:t xml:space="preserve">counseling interview</w:t>
      </w:r>
      <w:r w:rsidDel="00000000" w:rsidR="00000000" w:rsidRPr="00000000">
        <w:rPr>
          <w:rtl w:val="0"/>
        </w:rPr>
        <w:t xml:space="preserve"> di Savickas (Savickas 2018) e il sistema PQBL di Jemstedt e Bälter (2024), e altri strumenti potranno essere integrati in futuro. Il dialogo si fonda su un piano pedagogico predefinito (Puech et al. 2025) in cui la flessibilità dell’LLM è guidata da una sequenza strutturata di passi. I criteri che hanno guidato la progettazione del sistema sono:</w:t>
      </w:r>
    </w:p>
    <w:p w:rsidR="00000000" w:rsidDel="00000000" w:rsidP="00000000" w:rsidRDefault="00000000" w:rsidRPr="00000000" w14:paraId="0000001B">
      <w:pPr>
        <w:numPr>
          <w:ilvl w:val="0"/>
          <w:numId w:val="1"/>
        </w:numPr>
        <w:ind w:left="720" w:hanging="480"/>
        <w:jc w:val="both"/>
        <w:rPr/>
      </w:pPr>
      <w:r w:rsidDel="00000000" w:rsidR="00000000" w:rsidRPr="00000000">
        <w:rPr>
          <w:b w:val="1"/>
          <w:bCs w:val="1"/>
          <w:rtl w:val="0"/>
        </w:rPr>
        <w:t xml:space="preserve">Multi-strumento ed estensibile</w:t>
      </w:r>
      <w:r w:rsidDel="00000000" w:rsidR="00000000" w:rsidRPr="00000000">
        <w:rPr>
          <w:rtl w:val="0"/>
        </w:rPr>
        <w:t xml:space="preserve">: supporto per diversi strumenti di orientamento, ciascuno con la propria logica di calcolo e modalità di interazione, e possibilità di integrarne altri.</w:t>
      </w:r>
    </w:p>
    <w:p w:rsidR="00000000" w:rsidDel="00000000" w:rsidP="00000000" w:rsidRDefault="00000000" w:rsidRPr="00000000" w14:paraId="0000001C">
      <w:pPr>
        <w:numPr>
          <w:ilvl w:val="0"/>
          <w:numId w:val="1"/>
        </w:numPr>
        <w:ind w:left="720" w:hanging="480"/>
        <w:jc w:val="both"/>
        <w:rPr/>
      </w:pPr>
      <w:r w:rsidDel="00000000" w:rsidR="00000000" w:rsidRPr="00000000">
        <w:rPr>
          <w:b w:val="1"/>
          <w:bCs w:val="1"/>
          <w:rtl w:val="0"/>
        </w:rPr>
        <w:t xml:space="preserve">Chat guidata</w:t>
      </w:r>
      <w:r w:rsidDel="00000000" w:rsidR="00000000" w:rsidRPr="00000000">
        <w:rPr>
          <w:rtl w:val="0"/>
        </w:rPr>
        <w:t xml:space="preserve">: la conversazione segue una sequenza di passi predefiniti; all’interno di ciascun passo, l’LLM adatta il linguaggio e le risposte agli input dello studente.</w:t>
      </w:r>
    </w:p>
    <w:p w:rsidR="00000000" w:rsidDel="00000000" w:rsidP="00000000" w:rsidRDefault="00000000" w:rsidRPr="00000000" w14:paraId="0000001D">
      <w:pPr>
        <w:numPr>
          <w:ilvl w:val="0"/>
          <w:numId w:val="1"/>
        </w:numPr>
        <w:ind w:left="720" w:hanging="480"/>
        <w:jc w:val="both"/>
        <w:rPr/>
      </w:pPr>
      <w:r w:rsidDel="00000000" w:rsidR="00000000" w:rsidRPr="00000000">
        <w:rPr>
          <w:b w:val="1"/>
          <w:bCs w:val="1"/>
          <w:rtl w:val="0"/>
        </w:rPr>
        <w:t xml:space="preserve">Configurabilità da pannello amministrativo</w:t>
      </w:r>
      <w:r w:rsidDel="00000000" w:rsidR="00000000" w:rsidRPr="00000000">
        <w:rPr>
          <w:rtl w:val="0"/>
        </w:rPr>
        <w:t xml:space="preserve">: prompt, sequenze e messaggi sono memorizzati nel database e modificabili senza intervento sul codice.</w:t>
      </w:r>
    </w:p>
    <w:p w:rsidR="00000000" w:rsidDel="00000000" w:rsidP="00000000" w:rsidRDefault="00000000" w:rsidRPr="00000000" w14:paraId="0000001E">
      <w:pPr>
        <w:numPr>
          <w:ilvl w:val="0"/>
          <w:numId w:val="1"/>
        </w:numPr>
        <w:ind w:left="720" w:hanging="480"/>
        <w:jc w:val="both"/>
        <w:rPr/>
      </w:pPr>
      <w:r w:rsidDel="00000000" w:rsidR="00000000" w:rsidRPr="00000000">
        <w:rPr>
          <w:b w:val="1"/>
          <w:bCs w:val="1"/>
          <w:rtl w:val="0"/>
        </w:rPr>
        <w:t xml:space="preserve">Flessibilità del provider AI</w:t>
      </w:r>
      <w:r w:rsidDel="00000000" w:rsidR="00000000" w:rsidRPr="00000000">
        <w:rPr>
          <w:rtl w:val="0"/>
        </w:rPr>
        <w:t xml:space="preserve">: supporto per molteplici provider (remoti e locali) intercambiabili senza modifiche al sistema.</w:t>
      </w:r>
    </w:p>
    <w:p w:rsidR="00000000" w:rsidDel="00000000" w:rsidP="00000000" w:rsidRDefault="00000000" w:rsidRPr="00000000" w14:paraId="0000001F">
      <w:pPr>
        <w:numPr>
          <w:ilvl w:val="0"/>
          <w:numId w:val="1"/>
        </w:numPr>
        <w:ind w:left="720" w:hanging="480"/>
        <w:jc w:val="both"/>
        <w:rPr/>
      </w:pPr>
      <w:r w:rsidDel="00000000" w:rsidR="00000000" w:rsidRPr="00000000">
        <w:rPr>
          <w:b w:val="1"/>
          <w:bCs w:val="1"/>
          <w:rtl w:val="0"/>
        </w:rPr>
        <w:t xml:space="preserve">Base di conoscenza condivisa</w:t>
      </w:r>
      <w:r w:rsidDel="00000000" w:rsidR="00000000" w:rsidRPr="00000000">
        <w:rPr>
          <w:rtl w:val="0"/>
        </w:rPr>
        <w:t xml:space="preserve">: strategie editorialmente approvate sono conservate in un archivio e recuperate dinamicamente tramite embedding semantici e keyword, in modo da fornire all’LLM i suggerimenti più pertinenti al profilo dello studente. Un grafo della conoscenza connette strumenti, fattori e strategie, arricchendo la ricerca documentale e permettendo al sistema di navigare concettualmente il dominio orientativo.</w:t>
      </w:r>
    </w:p>
    <w:p w:rsidR="00000000" w:rsidDel="00000000" w:rsidP="00000000" w:rsidRDefault="00000000" w:rsidRPr="00000000" w14:paraId="00000020">
      <w:pPr>
        <w:numPr>
          <w:ilvl w:val="0"/>
          <w:numId w:val="1"/>
        </w:numPr>
        <w:ind w:left="720" w:hanging="480"/>
        <w:jc w:val="both"/>
        <w:rPr/>
      </w:pPr>
      <w:r w:rsidDel="00000000" w:rsidR="00000000" w:rsidRPr="00000000">
        <w:rPr>
          <w:b w:val="1"/>
          <w:bCs w:val="1"/>
          <w:rtl w:val="0"/>
        </w:rPr>
        <w:t xml:space="preserve">Multilingua</w:t>
      </w:r>
      <w:r w:rsidDel="00000000" w:rsidR="00000000" w:rsidRPr="00000000">
        <w:rPr>
          <w:rtl w:val="0"/>
        </w:rPr>
        <w:t xml:space="preserve">: interfaccia in sei lingue (italiano, inglese, spagnolo, francese, tedesco, svedese).</w:t>
      </w:r>
    </w:p>
    <w:bookmarkStart w:colFirst="0" w:colLast="0" w:name="bookmark=id.vqzrqu328bbf" w:id="8"/>
    <w:bookmarkEnd w:id="8"/>
    <w:p w:rsidR="00000000" w:rsidDel="00000000" w:rsidP="00000000" w:rsidRDefault="00000000" w:rsidRPr="00000000" w14:paraId="00000021">
      <w:pPr>
        <w:pStyle w:val="Heading3"/>
        <w:jc w:val="both"/>
        <w:rPr/>
      </w:pPr>
      <w:r w:rsidDel="00000000" w:rsidR="00000000" w:rsidRPr="00000000">
        <w:rPr>
          <w:rtl w:val="0"/>
        </w:rPr>
        <w:t xml:space="preserve">2.2 Architettura</w:t>
      </w:r>
    </w:p>
    <w:p w:rsidR="00000000" w:rsidDel="00000000" w:rsidP="00000000" w:rsidRDefault="00000000" w:rsidRPr="00000000" w14:paraId="00000022">
      <w:pPr>
        <w:jc w:val="both"/>
        <w:rPr/>
      </w:pPr>
      <w:r w:rsidDel="00000000" w:rsidR="00000000" w:rsidRPr="00000000">
        <w:rPr>
          <w:rtl w:val="0"/>
        </w:rPr>
        <w:t xml:space="preserve">L’architettura di Counselorbot si fonda su tre componenti. Un </w:t>
      </w:r>
      <w:r w:rsidDel="00000000" w:rsidR="00000000" w:rsidRPr="00000000">
        <w:rPr>
          <w:b w:val="1"/>
          <w:bCs w:val="1"/>
          <w:rtl w:val="0"/>
        </w:rPr>
        <w:t xml:space="preserve">backend</w:t>
      </w:r>
      <w:r w:rsidDel="00000000" w:rsidR="00000000" w:rsidRPr="00000000">
        <w:rPr>
          <w:rtl w:val="0"/>
        </w:rPr>
        <w:t xml:space="preserve"> espone i servizi di chat, amministrazione, gestione dei questionari e memoria di sessione; un livello di astrazione verso i provider AI rende il sistema indipendente dal modello linguistico sottostante, permettendo di commutare tra provider remoti e locali senza interruzioni. Un </w:t>
      </w:r>
      <w:r w:rsidDel="00000000" w:rsidR="00000000" w:rsidRPr="00000000">
        <w:rPr>
          <w:b w:val="1"/>
          <w:bCs w:val="1"/>
          <w:rtl w:val="0"/>
        </w:rPr>
        <w:t xml:space="preserve">frontend</w:t>
      </w:r>
      <w:r w:rsidDel="00000000" w:rsidR="00000000" w:rsidRPr="00000000">
        <w:rPr>
          <w:rtl w:val="0"/>
        </w:rPr>
        <w:t xml:space="preserve"> modulare offre all’utente un selettore di strumenti, un modulo di inserimento punteggi, una visualizzazione del profilo e l’interfaccia di chat guidata. Un </w:t>
      </w:r>
      <w:r w:rsidDel="00000000" w:rsidR="00000000" w:rsidRPr="00000000">
        <w:rPr>
          <w:b w:val="1"/>
          <w:bCs w:val="1"/>
          <w:rtl w:val="0"/>
        </w:rPr>
        <w:t xml:space="preserve">database relazionale</w:t>
      </w:r>
      <w:r w:rsidDel="00000000" w:rsidR="00000000" w:rsidRPr="00000000">
        <w:rPr>
          <w:rtl w:val="0"/>
        </w:rPr>
        <w:t xml:space="preserve"> conserva le configurazioni (prompt, passi guidati, strategie) e la memoria di sessione.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sistema non si limita a ricevere punteggi esterni: conosce la struttura di ciascun questionario — fattori, item, scale, stanine — e genera interpretazioni coerenti con le proprietà psicometriche del test. Le strategie editorialmente approvate sono indicizzate per contenuto semantico e parole chiave, e il sistema le recupera automaticamente in base al fattore corrente e al profilo dello studente, integrandole nella risposta dell’LLM senza richiedere all’amministratore di aggiornare manualmente il prompt. Un grafo della conoscenza — che collega strumenti, fattori, strategie e riferimenti — estende la ricerca documentale alle voci concettualmente vicine, consentendo al sistema di attingere a contenuti correlati anche quando non corrispondono esattamente ai termini della query. A questo si aggiunge una memoria condivisa delle risposte: quando uno studente valuta positivamente una risposta dell’assistente, questa viene conservata e riproposta come riferimento in sessioni successive per domande analoghe, creando un meccanismo di apprendimento collettivo che migliora la qualità del supporto nel tempo.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Tutte le interazioni sono registrate in un archivio consultabile dagli amministratori per monitorare l’uso del sistema e identificare aree di miglioramento. È in fase di progettazione un sistema di anonimizzazione che consenta di analizzare i contenuti delle conversazioni — strategie discusse, fattori critici, efficacia percepita — senza esporre i dati personali degli studenti, in modo da poter studiare l’impatto del sistema su scala più ampia.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L’elemento centrale dell’interazione è la sequenza di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passi guidati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guided steps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serie di fasi predefinite che determinano l’ordine del dialogo e il prompt di sistema per ciascuna fase, garantendo che la conversazione copra tutti gli ambiti del profilo. All’interno di ogni passo, l’LLM dispone della flessibilità necessaria per adattare linguaggio e risposte agli input dello studente, realizzando la forma ibrida tra controllo deterministico e adattività conversazionale.</w:t>
      </w:r>
    </w:p>
    <w:bookmarkStart w:colFirst="0" w:colLast="0" w:name="bookmark=id.bdxvn1xjyrz5" w:id="9"/>
    <w:bookmarkEnd w:id="9"/>
    <w:p w:rsidR="00000000" w:rsidDel="00000000" w:rsidP="00000000" w:rsidRDefault="00000000" w:rsidRPr="00000000" w14:paraId="00000026">
      <w:pPr>
        <w:pStyle w:val="Heading3"/>
        <w:jc w:val="both"/>
        <w:rPr/>
      </w:pPr>
      <w:r w:rsidDel="00000000" w:rsidR="00000000" w:rsidRPr="00000000">
        <w:rPr>
          <w:rtl w:val="0"/>
        </w:rPr>
        <w:t xml:space="preserve">2.3 Flusso di interazione</w:t>
      </w:r>
    </w:p>
    <w:p w:rsidR="00000000" w:rsidDel="00000000" w:rsidP="00000000" w:rsidRDefault="00000000" w:rsidRPr="00000000" w14:paraId="00000027">
      <w:pPr>
        <w:jc w:val="both"/>
        <w:rPr/>
      </w:pPr>
      <w:r w:rsidDel="00000000" w:rsidR="00000000" w:rsidRPr="00000000">
        <w:rPr>
          <w:rtl w:val="0"/>
        </w:rPr>
        <w:t xml:space="preserve">Il percorso tipo si articola in quattro fasi.</w:t>
      </w:r>
    </w:p>
    <w:p w:rsidR="00000000" w:rsidDel="00000000" w:rsidP="00000000" w:rsidRDefault="00000000" w:rsidRPr="00000000" w14:paraId="00000028">
      <w:pPr>
        <w:numPr>
          <w:ilvl w:val="0"/>
          <w:numId w:val="2"/>
        </w:numPr>
        <w:ind w:left="720" w:hanging="480"/>
        <w:jc w:val="both"/>
        <w:rPr/>
      </w:pPr>
      <w:r w:rsidDel="00000000" w:rsidR="00000000" w:rsidRPr="00000000">
        <w:rPr>
          <w:b w:val="1"/>
          <w:bCs w:val="1"/>
          <w:rtl w:val="0"/>
        </w:rPr>
        <w:t xml:space="preserve">Selezione dello strumento.</w:t>
      </w:r>
      <w:r w:rsidDel="00000000" w:rsidR="00000000" w:rsidRPr="00000000">
        <w:rPr>
          <w:rtl w:val="0"/>
        </w:rPr>
        <w:t xml:space="preserve"> L’utente sceglie tra QSA, QSAr, ZTPI, PQBL o intervista Savickas. Ciascuno strumento attiva una propria sequenza di passi guidati e un set di </w:t>
      </w:r>
      <w:r w:rsidDel="00000000" w:rsidR="00000000" w:rsidRPr="00000000">
        <w:rPr>
          <w:i w:val="1"/>
          <w:iCs w:val="1"/>
          <w:rtl w:val="0"/>
        </w:rPr>
        <w:t xml:space="preserve">prompt</w:t>
      </w:r>
      <w:r w:rsidDel="00000000" w:rsidR="00000000" w:rsidRPr="00000000">
        <w:rPr>
          <w:rtl w:val="0"/>
        </w:rPr>
        <w:t xml:space="preserve"> specifici.</w:t>
      </w:r>
    </w:p>
    <w:p w:rsidR="00000000" w:rsidDel="00000000" w:rsidP="00000000" w:rsidRDefault="00000000" w:rsidRPr="00000000" w14:paraId="00000029">
      <w:pPr>
        <w:numPr>
          <w:ilvl w:val="0"/>
          <w:numId w:val="2"/>
        </w:numPr>
        <w:ind w:left="720" w:hanging="480"/>
        <w:jc w:val="both"/>
        <w:rPr/>
      </w:pPr>
      <w:r w:rsidDel="00000000" w:rsidR="00000000" w:rsidRPr="00000000">
        <w:rPr>
          <w:b w:val="1"/>
          <w:bCs w:val="1"/>
          <w:rtl w:val="0"/>
        </w:rPr>
        <w:t xml:space="preserve">Inserimento del profilo.</w:t>
      </w:r>
      <w:r w:rsidDel="00000000" w:rsidR="00000000" w:rsidRPr="00000000">
        <w:rPr>
          <w:rtl w:val="0"/>
        </w:rPr>
        <w:t xml:space="preserve"> Per QSA, QSAr, ZTPI e PQBL, l’utente inserisce i risultati del questionario; per Savickas, il sistema avvia un’intervista qualitativa a cinque domande, in cui l’LLM conduce la conversazione e genera una sintesi narrativa al termine.</w:t>
      </w:r>
    </w:p>
    <w:p w:rsidR="00000000" w:rsidDel="00000000" w:rsidP="00000000" w:rsidRDefault="00000000" w:rsidRPr="00000000" w14:paraId="0000002A">
      <w:pPr>
        <w:numPr>
          <w:ilvl w:val="0"/>
          <w:numId w:val="2"/>
        </w:numPr>
        <w:ind w:left="720" w:hanging="480"/>
        <w:jc w:val="both"/>
        <w:rPr/>
      </w:pPr>
      <w:r w:rsidDel="00000000" w:rsidR="00000000" w:rsidRPr="00000000">
        <w:rPr>
          <w:b w:val="1"/>
          <w:bCs w:val="1"/>
          <w:rtl w:val="0"/>
        </w:rPr>
        <w:t xml:space="preserve">Visualizzazione.</w:t>
      </w:r>
      <w:r w:rsidDel="00000000" w:rsidR="00000000" w:rsidRPr="00000000">
        <w:rPr>
          <w:rtl w:val="0"/>
        </w:rPr>
        <w:t xml:space="preserve"> Il profilo è mostrato come grafico a barre con codifica cromatica (verde per punti di forza, giallo per fascia media, rosso per aree di crescita).</w:t>
      </w:r>
    </w:p>
    <w:p w:rsidR="00000000" w:rsidDel="00000000" w:rsidP="00000000" w:rsidRDefault="00000000" w:rsidRPr="00000000" w14:paraId="0000002B">
      <w:pPr>
        <w:numPr>
          <w:ilvl w:val="0"/>
          <w:numId w:val="2"/>
        </w:numPr>
        <w:ind w:left="720" w:hanging="480"/>
        <w:jc w:val="both"/>
        <w:rPr/>
      </w:pPr>
      <w:r w:rsidDel="00000000" w:rsidR="00000000" w:rsidRPr="00000000">
        <w:rPr>
          <w:b w:val="1"/>
          <w:bCs w:val="1"/>
          <w:rtl w:val="0"/>
        </w:rPr>
        <w:t xml:space="preserve">Chat guidata.</w:t>
      </w:r>
      <w:r w:rsidDel="00000000" w:rsidR="00000000" w:rsidRPr="00000000">
        <w:rPr>
          <w:rtl w:val="0"/>
        </w:rPr>
        <w:t xml:space="preserve"> Il sistema propone una lettura fattore per fattore. Per ciascun fattore, l’LLM presenta l’esito, ne discute il significato e suggerisce strategie, attingendo alla </w:t>
      </w:r>
      <w:r w:rsidDel="00000000" w:rsidR="00000000" w:rsidRPr="00000000">
        <w:rPr>
          <w:i w:val="1"/>
          <w:iCs w:val="1"/>
          <w:rtl w:val="0"/>
        </w:rPr>
        <w:t xml:space="preserve">knowledge base</w:t>
      </w:r>
      <w:r w:rsidDel="00000000" w:rsidR="00000000" w:rsidRPr="00000000">
        <w:rPr>
          <w:rtl w:val="0"/>
        </w:rPr>
        <w:t xml:space="preserve"> quando pertinente. L’utente può approfondire liberamente prima di passare al fattore successivo. Oltre alla lettura dei singoli esiti, il sistema ne evidenzia le connessioni — ad esempio tra l’ambito cognitivo e quello affettivo-motivazionale — aiutando lo studente a costruire una visione d’insieme del proprio profilo. Al termine viene offerta una sintesi complessiva e la possibilità di condividere le strategie ritenute più utili.</w:t>
      </w:r>
    </w:p>
    <w:bookmarkStart w:colFirst="0" w:colLast="0" w:name="bookmark=id.pp8w3jf45anl" w:id="10"/>
    <w:bookmarkEnd w:id="10"/>
    <w:p w:rsidR="00000000" w:rsidDel="00000000" w:rsidP="00000000" w:rsidRDefault="00000000" w:rsidRPr="00000000" w14:paraId="0000002C">
      <w:pPr>
        <w:pStyle w:val="Heading2"/>
        <w:jc w:val="both"/>
        <w:rPr/>
      </w:pPr>
      <w:r w:rsidDel="00000000" w:rsidR="00000000" w:rsidRPr="00000000">
        <w:rPr>
          <w:rtl w:val="0"/>
        </w:rPr>
        <w:t xml:space="preserve">3. Metodologia di valutazione</w:t>
      </w:r>
    </w:p>
    <w:bookmarkStart w:colFirst="0" w:colLast="0" w:name="bookmark=id.ipxndea7x733" w:id="11"/>
    <w:bookmarkEnd w:id="11"/>
    <w:p w:rsidR="00000000" w:rsidDel="00000000" w:rsidP="00000000" w:rsidRDefault="00000000" w:rsidRPr="00000000" w14:paraId="0000002D">
      <w:pPr>
        <w:pStyle w:val="Heading3"/>
        <w:jc w:val="both"/>
        <w:rPr/>
      </w:pPr>
      <w:r w:rsidDel="00000000" w:rsidR="00000000" w:rsidRPr="00000000">
        <w:rPr>
          <w:rtl w:val="0"/>
        </w:rPr>
        <w:t xml:space="preserve">3.1 Disegno della ricerca</w:t>
      </w:r>
    </w:p>
    <w:p w:rsidR="00000000" w:rsidDel="00000000" w:rsidP="00000000" w:rsidRDefault="00000000" w:rsidRPr="00000000" w14:paraId="0000002E">
      <w:pPr>
        <w:jc w:val="both"/>
        <w:rPr/>
      </w:pPr>
      <w:r w:rsidDel="00000000" w:rsidR="00000000" w:rsidRPr="00000000">
        <w:rPr>
          <w:rtl w:val="0"/>
        </w:rPr>
        <w:t xml:space="preserve">Lo sviluppo di Counselorbot segue il modello ADDIE (Branch 2009), un acronimo che indica cinque fasi: </w:t>
      </w:r>
      <w:r w:rsidDel="00000000" w:rsidR="00000000" w:rsidRPr="00000000">
        <w:rPr>
          <w:i w:val="1"/>
          <w:iCs w:val="1"/>
          <w:rtl w:val="0"/>
        </w:rPr>
        <w:t xml:space="preserve">Analysis</w:t>
      </w:r>
      <w:r w:rsidDel="00000000" w:rsidR="00000000" w:rsidRPr="00000000">
        <w:rPr>
          <w:rtl w:val="0"/>
        </w:rPr>
        <w:t xml:space="preserve"> (analisi dei bisogni formativi e del contesto), </w:t>
      </w:r>
      <w:r w:rsidDel="00000000" w:rsidR="00000000" w:rsidRPr="00000000">
        <w:rPr>
          <w:i w:val="1"/>
          <w:iCs w:val="1"/>
          <w:rtl w:val="0"/>
        </w:rPr>
        <w:t xml:space="preserve">Design</w:t>
      </w:r>
      <w:r w:rsidDel="00000000" w:rsidR="00000000" w:rsidRPr="00000000">
        <w:rPr>
          <w:rtl w:val="0"/>
        </w:rPr>
        <w:t xml:space="preserve"> (progettazione dell’architettura e dell’interazione), </w:t>
      </w:r>
      <w:r w:rsidDel="00000000" w:rsidR="00000000" w:rsidRPr="00000000">
        <w:rPr>
          <w:i w:val="1"/>
          <w:iCs w:val="1"/>
          <w:rtl w:val="0"/>
        </w:rPr>
        <w:t xml:space="preserve">Development</w:t>
      </w:r>
      <w:r w:rsidDel="00000000" w:rsidR="00000000" w:rsidRPr="00000000">
        <w:rPr>
          <w:rtl w:val="0"/>
        </w:rPr>
        <w:t xml:space="preserve"> (realizzazione del sistema), </w:t>
      </w:r>
      <w:r w:rsidDel="00000000" w:rsidR="00000000" w:rsidRPr="00000000">
        <w:rPr>
          <w:i w:val="1"/>
          <w:iCs w:val="1"/>
          <w:rtl w:val="0"/>
        </w:rPr>
        <w:t xml:space="preserve">Implementation</w:t>
      </w:r>
      <w:r w:rsidDel="00000000" w:rsidR="00000000" w:rsidRPr="00000000">
        <w:rPr>
          <w:rtl w:val="0"/>
        </w:rPr>
        <w:t xml:space="preserve"> (rilascio e formazione degli utenti) ed </w:t>
      </w:r>
      <w:r w:rsidDel="00000000" w:rsidR="00000000" w:rsidRPr="00000000">
        <w:rPr>
          <w:i w:val="1"/>
          <w:iCs w:val="1"/>
          <w:rtl w:val="0"/>
        </w:rPr>
        <w:t xml:space="preserve">Evaluation</w:t>
      </w:r>
      <w:r w:rsidDel="00000000" w:rsidR="00000000" w:rsidRPr="00000000">
        <w:rPr>
          <w:rtl w:val="0"/>
        </w:rPr>
        <w:t xml:space="preserve"> (valutazione dei risultati). Il lavoro descritto in questo articolo si colloca nella fase di </w:t>
      </w:r>
      <w:r w:rsidDel="00000000" w:rsidR="00000000" w:rsidRPr="00000000">
        <w:rPr>
          <w:i w:val="1"/>
          <w:iCs w:val="1"/>
          <w:rtl w:val="0"/>
        </w:rPr>
        <w:t xml:space="preserve">Evaluation</w:t>
      </w:r>
      <w:r w:rsidDel="00000000" w:rsidR="00000000" w:rsidRPr="00000000">
        <w:rPr>
          <w:rtl w:val="0"/>
        </w:rPr>
        <w:t xml:space="preserve"> del secondo ciclo di sviluppo.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primo ciclo ha prodotto una versione basata su un’architettura RAG (Retrieval-Augmented Generation) con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system prompt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(ai4educ), in cui l’LLM rispondeva alle domande dello studente attingendo da documenti caricati in una memoria vettoriale, senza una logica di navigazione predefinita. I risultati di questo primo ciclo — discussi in §4 — hanno evidenziato criticità nella coerenza delle analisi e nell’inserimento manuale dei dati, portando a un secondo ciclo di progettazione. Tra i due cicli sono state condotte prove interne e messe a punto incrementali che hanno guidato la progettazione della versione successiva. Il secondo ciclo ha prodotto la versione Step-by-Step (SBS), che introduce i passi guidati, il grafo della conoscenza, l’indicizzazione semantica delle strategie e l’interfaccia ottimizzata per l’inserimento dei profili.</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valutazione presentata in questo lavoro adotta un disegno comparativo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between-subjects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 le due versioni (SBS e ai4educ): ciascun partecipante ha utilizzato una sola versione, al termine della quale ha compilato un questionario di gradimento, descritto nel §3.3.</w:t>
      </w:r>
    </w:p>
    <w:bookmarkStart w:colFirst="0" w:colLast="0" w:name="bookmark=id.4hpwvivmffhl" w:id="12"/>
    <w:bookmarkEnd w:id="12"/>
    <w:p w:rsidR="00000000" w:rsidDel="00000000" w:rsidP="00000000" w:rsidRDefault="00000000" w:rsidRPr="00000000" w14:paraId="00000031">
      <w:pPr>
        <w:pStyle w:val="Heading3"/>
        <w:jc w:val="both"/>
        <w:rPr/>
      </w:pPr>
      <w:r w:rsidDel="00000000" w:rsidR="00000000" w:rsidRPr="00000000">
        <w:rPr>
          <w:rtl w:val="0"/>
        </w:rPr>
        <w:t xml:space="preserve">3.2 Partecipanti e procedura</w:t>
      </w:r>
    </w:p>
    <w:p w:rsidR="00000000" w:rsidDel="00000000" w:rsidP="00000000" w:rsidRDefault="00000000" w:rsidRPr="00000000" w14:paraId="00000032">
      <w:pPr>
        <w:jc w:val="both"/>
        <w:rPr/>
      </w:pPr>
      <w:r w:rsidDel="00000000" w:rsidR="00000000" w:rsidRPr="00000000">
        <w:rPr>
          <w:rtl w:val="0"/>
        </w:rPr>
        <w:t xml:space="preserve">Al momento della scrittura — la raccolta è in corso — hanno completato il questionario 34 partecipanti: 7 attraverso la versione SBS e 27 attraverso la versione precedente (ai4educ). Il campione è eterogeneo per età (14–53 anni) e livello di istruzione (dalla scuola secondaria di primo grado alla laurea magistrale). La procedura prevedeva la compilazione del QSA, la visualizzazione del profilo e la chat guidata fattore per fattore, al termine della quale veniva proposto il questionario di gradimento.</w:t>
      </w:r>
    </w:p>
    <w:bookmarkStart w:colFirst="0" w:colLast="0" w:name="bookmark=id.9f1yv9lzx3tk" w:id="13"/>
    <w:bookmarkEnd w:id="13"/>
    <w:p w:rsidR="00000000" w:rsidDel="00000000" w:rsidP="00000000" w:rsidRDefault="00000000" w:rsidRPr="00000000" w14:paraId="00000033">
      <w:pPr>
        <w:pStyle w:val="Heading3"/>
        <w:jc w:val="both"/>
        <w:rPr/>
      </w:pPr>
      <w:r w:rsidDel="00000000" w:rsidR="00000000" w:rsidRPr="00000000">
        <w:rPr>
          <w:rtl w:val="0"/>
        </w:rPr>
        <w:t xml:space="preserve">3.3 Strumenti e metriche</w:t>
      </w:r>
    </w:p>
    <w:p w:rsidR="00000000" w:rsidDel="00000000" w:rsidP="00000000" w:rsidRDefault="00000000" w:rsidRPr="00000000" w14:paraId="00000034">
      <w:pPr>
        <w:jc w:val="both"/>
        <w:rPr/>
      </w:pPr>
      <w:r w:rsidDel="00000000" w:rsidR="00000000" w:rsidRPr="00000000">
        <w:rPr>
          <w:rtl w:val="0"/>
        </w:rPr>
        <w:t xml:space="preserve">Il questionario di gradimento si compone di dieci item su scala Likert a cinque punti (1 = «Per niente», 5 = «Molto»), che coprono le seguenti dimensioni: utilità percepita, pertinenza delle risposte, chiarezza delle spiegazioni, adeguatezza del dettaglio, facilità d’uso dell’interfaccia, velocità di risposta, fiducia nelle informazioni ricevute, capacità di stimolare la riflessione su di sé, coinvolgimento generale e intenzione di riutilizzo o raccomandazione ad altri. Per ciascun item è calcolata la media aritmetica, separatamente per le due versioni del sistema (SBS e ai4educ), senza aggregazioni in sottoscale. Sono inoltre raccolti dati demografici (età, sesso, titolo di studio, tipo di istituto, provenienza geografica) e, nella versione estesa del questionario, due domande aperte per la raccolta di riflessioni libere e suggerimenti, analizzate qualitativamente tramite categorizzazione tematica.</w:t>
      </w:r>
    </w:p>
    <w:bookmarkStart w:colFirst="0" w:colLast="0" w:name="bookmark=id.f03tflqrppzu" w:id="14"/>
    <w:bookmarkEnd w:id="14"/>
    <w:p w:rsidR="00000000" w:rsidDel="00000000" w:rsidP="00000000" w:rsidRDefault="00000000" w:rsidRPr="00000000" w14:paraId="00000035">
      <w:pPr>
        <w:pStyle w:val="Heading2"/>
        <w:jc w:val="both"/>
        <w:rPr/>
      </w:pPr>
      <w:r w:rsidDel="00000000" w:rsidR="00000000" w:rsidRPr="00000000">
        <w:rPr>
          <w:rtl w:val="0"/>
        </w:rPr>
        <w:t xml:space="preserve">4. Risultati</w:t>
      </w:r>
    </w:p>
    <w:bookmarkStart w:colFirst="0" w:colLast="0" w:name="bookmark=id.566zn0v4fpmj" w:id="15"/>
    <w:bookmarkEnd w:id="15"/>
    <w:p w:rsidR="00000000" w:rsidDel="00000000" w:rsidP="00000000" w:rsidRDefault="00000000" w:rsidRPr="00000000" w14:paraId="00000036">
      <w:pPr>
        <w:pStyle w:val="Heading3"/>
        <w:jc w:val="both"/>
        <w:rPr/>
      </w:pPr>
      <w:r w:rsidDel="00000000" w:rsidR="00000000" w:rsidRPr="00000000">
        <w:rPr>
          <w:rtl w:val="0"/>
        </w:rPr>
        <w:t xml:space="preserve">4.1 Esperienza utente</w:t>
      </w:r>
    </w:p>
    <w:p w:rsidR="00000000" w:rsidDel="00000000" w:rsidP="00000000" w:rsidRDefault="00000000" w:rsidRPr="00000000" w14:paraId="00000037">
      <w:pPr>
        <w:jc w:val="both"/>
        <w:rPr/>
      </w:pPr>
      <w:r w:rsidDel="00000000" w:rsidR="00000000" w:rsidRPr="00000000">
        <w:rPr>
          <w:rtl w:val="0"/>
        </w:rPr>
        <w:t xml:space="preserve">La versione SBS ottiene valutazioni superiori alla precedente in 9 dimensioni su 10. Dei 27 partecipanti della versione ai4educ, 16 hanno fornito valutazioni numeriche e 11 solo commenti aperti; per SBS è stato escluso un record di test, portando il numeratore a 6. La tabella seguente confronta le medie delle due versioni.</w:t>
      </w:r>
    </w:p>
    <w:tbl>
      <w:tblPr>
        <w:tblStyle w:val="Table1"/>
        <w:tblW w:w="7920.0" w:type="dxa"/>
        <w:jc w:val="left"/>
        <w:tblInd w:w="-115.0" w:type="dxa"/>
        <w:tblLayout w:type="fixed"/>
        <w:tblLook w:val="00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38">
            <w:pPr>
              <w:jc w:val="both"/>
              <w:rPr/>
            </w:pPr>
            <w:r w:rsidDel="00000000" w:rsidR="00000000" w:rsidRPr="00000000">
              <w:rPr>
                <w:rtl w:val="0"/>
              </w:rPr>
              <w:t xml:space="preserve">Dimensione</w:t>
            </w:r>
          </w:p>
        </w:tc>
        <w:tc>
          <w:tcPr/>
          <w:p w:rsidR="00000000" w:rsidDel="00000000" w:rsidP="00000000" w:rsidRDefault="00000000" w:rsidRPr="00000000" w14:paraId="00000039">
            <w:pPr>
              <w:jc w:val="both"/>
              <w:rPr/>
            </w:pPr>
            <w:r w:rsidDel="00000000" w:rsidR="00000000" w:rsidRPr="00000000">
              <w:rPr>
                <w:rtl w:val="0"/>
              </w:rPr>
              <w:t xml:space="preserve">SBS (n=6)</w:t>
            </w:r>
          </w:p>
        </w:tc>
        <w:tc>
          <w:tcPr/>
          <w:p w:rsidR="00000000" w:rsidDel="00000000" w:rsidP="00000000" w:rsidRDefault="00000000" w:rsidRPr="00000000" w14:paraId="0000003A">
            <w:pPr>
              <w:jc w:val="both"/>
              <w:rPr/>
            </w:pPr>
            <w:r w:rsidDel="00000000" w:rsidR="00000000" w:rsidRPr="00000000">
              <w:rPr>
                <w:rtl w:val="0"/>
              </w:rPr>
              <w:t xml:space="preserve">ai4educ (n=16)</w:t>
            </w:r>
          </w:p>
        </w:tc>
        <w:tc>
          <w:tcPr/>
          <w:p w:rsidR="00000000" w:rsidDel="00000000" w:rsidP="00000000" w:rsidRDefault="00000000" w:rsidRPr="00000000" w14:paraId="0000003B">
            <w:pPr>
              <w:jc w:val="both"/>
              <w:rPr/>
            </w:pPr>
            <w:r w:rsidDel="00000000" w:rsidR="00000000" w:rsidRPr="00000000">
              <w:rPr>
                <w:rtl w:val="0"/>
              </w:rPr>
              <w:t xml:space="preserve">Δ</w:t>
            </w:r>
          </w:p>
        </w:tc>
        <w:tc>
          <w:tcPr/>
          <w:p w:rsidR="00000000" w:rsidDel="00000000" w:rsidP="00000000" w:rsidRDefault="00000000" w:rsidRPr="00000000" w14:paraId="0000003C">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3D">
            <w:pPr>
              <w:jc w:val="both"/>
              <w:rPr/>
            </w:pPr>
            <w:r w:rsidDel="00000000" w:rsidR="00000000" w:rsidRPr="00000000">
              <w:rPr>
                <w:rtl w:val="0"/>
              </w:rPr>
              <w:t xml:space="preserve">Facilità d’uso</w:t>
            </w:r>
          </w:p>
        </w:tc>
        <w:tc>
          <w:tcPr/>
          <w:p w:rsidR="00000000" w:rsidDel="00000000" w:rsidP="00000000" w:rsidRDefault="00000000" w:rsidRPr="00000000" w14:paraId="0000003E">
            <w:pPr>
              <w:jc w:val="both"/>
              <w:rPr/>
            </w:pPr>
            <w:r w:rsidDel="00000000" w:rsidR="00000000" w:rsidRPr="00000000">
              <w:rPr>
                <w:rtl w:val="0"/>
              </w:rPr>
              <w:t xml:space="preserve">4,17</w:t>
            </w:r>
          </w:p>
        </w:tc>
        <w:tc>
          <w:tcPr/>
          <w:p w:rsidR="00000000" w:rsidDel="00000000" w:rsidP="00000000" w:rsidRDefault="00000000" w:rsidRPr="00000000" w14:paraId="0000003F">
            <w:pPr>
              <w:jc w:val="both"/>
              <w:rPr/>
            </w:pPr>
            <w:r w:rsidDel="00000000" w:rsidR="00000000" w:rsidRPr="00000000">
              <w:rPr>
                <w:rtl w:val="0"/>
              </w:rPr>
              <w:t xml:space="preserve">3,38</w:t>
            </w:r>
          </w:p>
        </w:tc>
        <w:tc>
          <w:tcPr/>
          <w:p w:rsidR="00000000" w:rsidDel="00000000" w:rsidP="00000000" w:rsidRDefault="00000000" w:rsidRPr="00000000" w14:paraId="00000040">
            <w:pPr>
              <w:jc w:val="both"/>
              <w:rPr/>
            </w:pPr>
            <w:r w:rsidDel="00000000" w:rsidR="00000000" w:rsidRPr="00000000">
              <w:rPr>
                <w:rtl w:val="0"/>
              </w:rPr>
              <w:t xml:space="preserve">+0,79</w:t>
            </w:r>
          </w:p>
        </w:tc>
        <w:tc>
          <w:tcPr/>
          <w:p w:rsidR="00000000" w:rsidDel="00000000" w:rsidP="00000000" w:rsidRDefault="00000000" w:rsidRPr="00000000" w14:paraId="00000041">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42">
            <w:pPr>
              <w:jc w:val="both"/>
              <w:rPr/>
            </w:pPr>
            <w:r w:rsidDel="00000000" w:rsidR="00000000" w:rsidRPr="00000000">
              <w:rPr>
                <w:rtl w:val="0"/>
              </w:rPr>
              <w:t xml:space="preserve">Pertinenza delle risposte</w:t>
            </w:r>
          </w:p>
        </w:tc>
        <w:tc>
          <w:tcPr/>
          <w:p w:rsidR="00000000" w:rsidDel="00000000" w:rsidP="00000000" w:rsidRDefault="00000000" w:rsidRPr="00000000" w14:paraId="00000043">
            <w:pPr>
              <w:jc w:val="both"/>
              <w:rPr/>
            </w:pPr>
            <w:r w:rsidDel="00000000" w:rsidR="00000000" w:rsidRPr="00000000">
              <w:rPr>
                <w:rtl w:val="0"/>
              </w:rPr>
              <w:t xml:space="preserve">4,17</w:t>
            </w:r>
          </w:p>
        </w:tc>
        <w:tc>
          <w:tcPr/>
          <w:p w:rsidR="00000000" w:rsidDel="00000000" w:rsidP="00000000" w:rsidRDefault="00000000" w:rsidRPr="00000000" w14:paraId="00000044">
            <w:pPr>
              <w:jc w:val="both"/>
              <w:rPr/>
            </w:pPr>
            <w:r w:rsidDel="00000000" w:rsidR="00000000" w:rsidRPr="00000000">
              <w:rPr>
                <w:rtl w:val="0"/>
              </w:rPr>
              <w:t xml:space="preserve">3,56</w:t>
            </w:r>
          </w:p>
        </w:tc>
        <w:tc>
          <w:tcPr/>
          <w:p w:rsidR="00000000" w:rsidDel="00000000" w:rsidP="00000000" w:rsidRDefault="00000000" w:rsidRPr="00000000" w14:paraId="00000045">
            <w:pPr>
              <w:jc w:val="both"/>
              <w:rPr/>
            </w:pPr>
            <w:r w:rsidDel="00000000" w:rsidR="00000000" w:rsidRPr="00000000">
              <w:rPr>
                <w:rtl w:val="0"/>
              </w:rPr>
              <w:t xml:space="preserve">+0,60</w:t>
            </w:r>
          </w:p>
        </w:tc>
        <w:tc>
          <w:tcPr/>
          <w:p w:rsidR="00000000" w:rsidDel="00000000" w:rsidP="00000000" w:rsidRDefault="00000000" w:rsidRPr="00000000" w14:paraId="00000046">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47">
            <w:pPr>
              <w:jc w:val="both"/>
              <w:rPr/>
            </w:pPr>
            <w:r w:rsidDel="00000000" w:rsidR="00000000" w:rsidRPr="00000000">
              <w:rPr>
                <w:rtl w:val="0"/>
              </w:rPr>
              <w:t xml:space="preserve">Fiducia nelle informazioni</w:t>
            </w:r>
          </w:p>
        </w:tc>
        <w:tc>
          <w:tcPr/>
          <w:p w:rsidR="00000000" w:rsidDel="00000000" w:rsidP="00000000" w:rsidRDefault="00000000" w:rsidRPr="00000000" w14:paraId="00000048">
            <w:pPr>
              <w:jc w:val="both"/>
              <w:rPr/>
            </w:pPr>
            <w:r w:rsidDel="00000000" w:rsidR="00000000" w:rsidRPr="00000000">
              <w:rPr>
                <w:rtl w:val="0"/>
              </w:rPr>
              <w:t xml:space="preserve">3,83</w:t>
            </w:r>
          </w:p>
        </w:tc>
        <w:tc>
          <w:tcPr/>
          <w:p w:rsidR="00000000" w:rsidDel="00000000" w:rsidP="00000000" w:rsidRDefault="00000000" w:rsidRPr="00000000" w14:paraId="00000049">
            <w:pPr>
              <w:jc w:val="both"/>
              <w:rPr/>
            </w:pPr>
            <w:r w:rsidDel="00000000" w:rsidR="00000000" w:rsidRPr="00000000">
              <w:rPr>
                <w:rtl w:val="0"/>
              </w:rPr>
              <w:t xml:space="preserve">3,19</w:t>
            </w:r>
          </w:p>
        </w:tc>
        <w:tc>
          <w:tcPr/>
          <w:p w:rsidR="00000000" w:rsidDel="00000000" w:rsidP="00000000" w:rsidRDefault="00000000" w:rsidRPr="00000000" w14:paraId="0000004A">
            <w:pPr>
              <w:jc w:val="both"/>
              <w:rPr/>
            </w:pPr>
            <w:r w:rsidDel="00000000" w:rsidR="00000000" w:rsidRPr="00000000">
              <w:rPr>
                <w:rtl w:val="0"/>
              </w:rPr>
              <w:t xml:space="preserve">+0,65</w:t>
            </w:r>
          </w:p>
        </w:tc>
        <w:tc>
          <w:tcPr/>
          <w:p w:rsidR="00000000" w:rsidDel="00000000" w:rsidP="00000000" w:rsidRDefault="00000000" w:rsidRPr="00000000" w14:paraId="0000004B">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4C">
            <w:pPr>
              <w:jc w:val="both"/>
              <w:rPr/>
            </w:pPr>
            <w:r w:rsidDel="00000000" w:rsidR="00000000" w:rsidRPr="00000000">
              <w:rPr>
                <w:rtl w:val="0"/>
              </w:rPr>
              <w:t xml:space="preserve">Coinvolgimento</w:t>
            </w:r>
          </w:p>
        </w:tc>
        <w:tc>
          <w:tcPr/>
          <w:p w:rsidR="00000000" w:rsidDel="00000000" w:rsidP="00000000" w:rsidRDefault="00000000" w:rsidRPr="00000000" w14:paraId="0000004D">
            <w:pPr>
              <w:jc w:val="both"/>
              <w:rPr/>
            </w:pPr>
            <w:r w:rsidDel="00000000" w:rsidR="00000000" w:rsidRPr="00000000">
              <w:rPr>
                <w:rtl w:val="0"/>
              </w:rPr>
              <w:t xml:space="preserve">3,67</w:t>
            </w:r>
          </w:p>
        </w:tc>
        <w:tc>
          <w:tcPr/>
          <w:p w:rsidR="00000000" w:rsidDel="00000000" w:rsidP="00000000" w:rsidRDefault="00000000" w:rsidRPr="00000000" w14:paraId="0000004E">
            <w:pPr>
              <w:jc w:val="both"/>
              <w:rPr/>
            </w:pPr>
            <w:r w:rsidDel="00000000" w:rsidR="00000000" w:rsidRPr="00000000">
              <w:rPr>
                <w:rtl w:val="0"/>
              </w:rPr>
              <w:t xml:space="preserve">3,06</w:t>
            </w:r>
          </w:p>
        </w:tc>
        <w:tc>
          <w:tcPr/>
          <w:p w:rsidR="00000000" w:rsidDel="00000000" w:rsidP="00000000" w:rsidRDefault="00000000" w:rsidRPr="00000000" w14:paraId="0000004F">
            <w:pPr>
              <w:jc w:val="both"/>
              <w:rPr/>
            </w:pPr>
            <w:r w:rsidDel="00000000" w:rsidR="00000000" w:rsidRPr="00000000">
              <w:rPr>
                <w:rtl w:val="0"/>
              </w:rPr>
              <w:t xml:space="preserve">+0,60</w:t>
            </w:r>
          </w:p>
        </w:tc>
        <w:tc>
          <w:tcPr/>
          <w:p w:rsidR="00000000" w:rsidDel="00000000" w:rsidP="00000000" w:rsidRDefault="00000000" w:rsidRPr="00000000" w14:paraId="00000050">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51">
            <w:pPr>
              <w:jc w:val="both"/>
              <w:rPr/>
            </w:pPr>
            <w:r w:rsidDel="00000000" w:rsidR="00000000" w:rsidRPr="00000000">
              <w:rPr>
                <w:rtl w:val="0"/>
              </w:rPr>
              <w:t xml:space="preserve">Capacità di stimolare la riflessione</w:t>
            </w:r>
          </w:p>
        </w:tc>
        <w:tc>
          <w:tcPr/>
          <w:p w:rsidR="00000000" w:rsidDel="00000000" w:rsidP="00000000" w:rsidRDefault="00000000" w:rsidRPr="00000000" w14:paraId="00000052">
            <w:pPr>
              <w:jc w:val="both"/>
              <w:rPr/>
            </w:pPr>
            <w:r w:rsidDel="00000000" w:rsidR="00000000" w:rsidRPr="00000000">
              <w:rPr>
                <w:rtl w:val="0"/>
              </w:rPr>
              <w:t xml:space="preserve">3,83</w:t>
            </w:r>
          </w:p>
        </w:tc>
        <w:tc>
          <w:tcPr/>
          <w:p w:rsidR="00000000" w:rsidDel="00000000" w:rsidP="00000000" w:rsidRDefault="00000000" w:rsidRPr="00000000" w14:paraId="00000053">
            <w:pPr>
              <w:jc w:val="both"/>
              <w:rPr/>
            </w:pPr>
            <w:r w:rsidDel="00000000" w:rsidR="00000000" w:rsidRPr="00000000">
              <w:rPr>
                <w:rtl w:val="0"/>
              </w:rPr>
              <w:t xml:space="preserve">3,25</w:t>
            </w:r>
          </w:p>
        </w:tc>
        <w:tc>
          <w:tcPr/>
          <w:p w:rsidR="00000000" w:rsidDel="00000000" w:rsidP="00000000" w:rsidRDefault="00000000" w:rsidRPr="00000000" w14:paraId="00000054">
            <w:pPr>
              <w:jc w:val="both"/>
              <w:rPr/>
            </w:pPr>
            <w:r w:rsidDel="00000000" w:rsidR="00000000" w:rsidRPr="00000000">
              <w:rPr>
                <w:rtl w:val="0"/>
              </w:rPr>
              <w:t xml:space="preserve">+0,58</w:t>
            </w:r>
          </w:p>
        </w:tc>
        <w:tc>
          <w:tcPr/>
          <w:p w:rsidR="00000000" w:rsidDel="00000000" w:rsidP="00000000" w:rsidRDefault="00000000" w:rsidRPr="00000000" w14:paraId="00000055">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56">
            <w:pPr>
              <w:jc w:val="both"/>
              <w:rPr/>
            </w:pPr>
            <w:r w:rsidDel="00000000" w:rsidR="00000000" w:rsidRPr="00000000">
              <w:rPr>
                <w:rtl w:val="0"/>
              </w:rPr>
              <w:t xml:space="preserve">Chiarezza</w:t>
            </w:r>
          </w:p>
        </w:tc>
        <w:tc>
          <w:tcPr/>
          <w:p w:rsidR="00000000" w:rsidDel="00000000" w:rsidP="00000000" w:rsidRDefault="00000000" w:rsidRPr="00000000" w14:paraId="00000057">
            <w:pPr>
              <w:jc w:val="both"/>
              <w:rPr/>
            </w:pPr>
            <w:r w:rsidDel="00000000" w:rsidR="00000000" w:rsidRPr="00000000">
              <w:rPr>
                <w:rtl w:val="0"/>
              </w:rPr>
              <w:t xml:space="preserve">4,00</w:t>
            </w:r>
          </w:p>
        </w:tc>
        <w:tc>
          <w:tcPr/>
          <w:p w:rsidR="00000000" w:rsidDel="00000000" w:rsidP="00000000" w:rsidRDefault="00000000" w:rsidRPr="00000000" w14:paraId="00000058">
            <w:pPr>
              <w:jc w:val="both"/>
              <w:rPr/>
            </w:pPr>
            <w:r w:rsidDel="00000000" w:rsidR="00000000" w:rsidRPr="00000000">
              <w:rPr>
                <w:rtl w:val="0"/>
              </w:rPr>
              <w:t xml:space="preserve">3,69</w:t>
            </w:r>
          </w:p>
        </w:tc>
        <w:tc>
          <w:tcPr/>
          <w:p w:rsidR="00000000" w:rsidDel="00000000" w:rsidP="00000000" w:rsidRDefault="00000000" w:rsidRPr="00000000" w14:paraId="00000059">
            <w:pPr>
              <w:jc w:val="both"/>
              <w:rPr/>
            </w:pPr>
            <w:r w:rsidDel="00000000" w:rsidR="00000000" w:rsidRPr="00000000">
              <w:rPr>
                <w:rtl w:val="0"/>
              </w:rPr>
              <w:t xml:space="preserve">+0,31</w:t>
            </w:r>
          </w:p>
        </w:tc>
        <w:tc>
          <w:tcPr/>
          <w:p w:rsidR="00000000" w:rsidDel="00000000" w:rsidP="00000000" w:rsidRDefault="00000000" w:rsidRPr="00000000" w14:paraId="0000005A">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5B">
            <w:pPr>
              <w:jc w:val="both"/>
              <w:rPr/>
            </w:pPr>
            <w:r w:rsidDel="00000000" w:rsidR="00000000" w:rsidRPr="00000000">
              <w:rPr>
                <w:rtl w:val="0"/>
              </w:rPr>
              <w:t xml:space="preserve">Velocità di risposta</w:t>
            </w:r>
          </w:p>
        </w:tc>
        <w:tc>
          <w:tcPr/>
          <w:p w:rsidR="00000000" w:rsidDel="00000000" w:rsidP="00000000" w:rsidRDefault="00000000" w:rsidRPr="00000000" w14:paraId="0000005C">
            <w:pPr>
              <w:jc w:val="both"/>
              <w:rPr/>
            </w:pPr>
            <w:r w:rsidDel="00000000" w:rsidR="00000000" w:rsidRPr="00000000">
              <w:rPr>
                <w:rtl w:val="0"/>
              </w:rPr>
              <w:t xml:space="preserve">3,83</w:t>
            </w:r>
          </w:p>
        </w:tc>
        <w:tc>
          <w:tcPr/>
          <w:p w:rsidR="00000000" w:rsidDel="00000000" w:rsidP="00000000" w:rsidRDefault="00000000" w:rsidRPr="00000000" w14:paraId="0000005D">
            <w:pPr>
              <w:jc w:val="both"/>
              <w:rPr/>
            </w:pPr>
            <w:r w:rsidDel="00000000" w:rsidR="00000000" w:rsidRPr="00000000">
              <w:rPr>
                <w:rtl w:val="0"/>
              </w:rPr>
              <w:t xml:space="preserve">3,44</w:t>
            </w:r>
          </w:p>
        </w:tc>
        <w:tc>
          <w:tcPr/>
          <w:p w:rsidR="00000000" w:rsidDel="00000000" w:rsidP="00000000" w:rsidRDefault="00000000" w:rsidRPr="00000000" w14:paraId="0000005E">
            <w:pPr>
              <w:jc w:val="both"/>
              <w:rPr/>
            </w:pPr>
            <w:r w:rsidDel="00000000" w:rsidR="00000000" w:rsidRPr="00000000">
              <w:rPr>
                <w:rtl w:val="0"/>
              </w:rPr>
              <w:t xml:space="preserve">+0,40</w:t>
            </w:r>
          </w:p>
        </w:tc>
        <w:tc>
          <w:tcPr/>
          <w:p w:rsidR="00000000" w:rsidDel="00000000" w:rsidP="00000000" w:rsidRDefault="00000000" w:rsidRPr="00000000" w14:paraId="0000005F">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60">
            <w:pPr>
              <w:jc w:val="both"/>
              <w:rPr/>
            </w:pPr>
            <w:r w:rsidDel="00000000" w:rsidR="00000000" w:rsidRPr="00000000">
              <w:rPr>
                <w:rtl w:val="0"/>
              </w:rPr>
              <w:t xml:space="preserve">Dettaglio delle risposte</w:t>
            </w:r>
          </w:p>
        </w:tc>
        <w:tc>
          <w:tcPr/>
          <w:p w:rsidR="00000000" w:rsidDel="00000000" w:rsidP="00000000" w:rsidRDefault="00000000" w:rsidRPr="00000000" w14:paraId="00000061">
            <w:pPr>
              <w:jc w:val="both"/>
              <w:rPr/>
            </w:pPr>
            <w:r w:rsidDel="00000000" w:rsidR="00000000" w:rsidRPr="00000000">
              <w:rPr>
                <w:rtl w:val="0"/>
              </w:rPr>
              <w:t xml:space="preserve">3,67</w:t>
            </w:r>
          </w:p>
        </w:tc>
        <w:tc>
          <w:tcPr/>
          <w:p w:rsidR="00000000" w:rsidDel="00000000" w:rsidP="00000000" w:rsidRDefault="00000000" w:rsidRPr="00000000" w14:paraId="00000062">
            <w:pPr>
              <w:jc w:val="both"/>
              <w:rPr/>
            </w:pPr>
            <w:r w:rsidDel="00000000" w:rsidR="00000000" w:rsidRPr="00000000">
              <w:rPr>
                <w:rtl w:val="0"/>
              </w:rPr>
              <w:t xml:space="preserve">3,56</w:t>
            </w:r>
          </w:p>
        </w:tc>
        <w:tc>
          <w:tcPr/>
          <w:p w:rsidR="00000000" w:rsidDel="00000000" w:rsidP="00000000" w:rsidRDefault="00000000" w:rsidRPr="00000000" w14:paraId="00000063">
            <w:pPr>
              <w:jc w:val="both"/>
              <w:rPr/>
            </w:pPr>
            <w:r w:rsidDel="00000000" w:rsidR="00000000" w:rsidRPr="00000000">
              <w:rPr>
                <w:rtl w:val="0"/>
              </w:rPr>
              <w:t xml:space="preserve">+0,10</w:t>
            </w:r>
          </w:p>
        </w:tc>
        <w:tc>
          <w:tcPr/>
          <w:p w:rsidR="00000000" w:rsidDel="00000000" w:rsidP="00000000" w:rsidRDefault="00000000" w:rsidRPr="00000000" w14:paraId="00000064">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65">
            <w:pPr>
              <w:jc w:val="both"/>
              <w:rPr/>
            </w:pPr>
            <w:r w:rsidDel="00000000" w:rsidR="00000000" w:rsidRPr="00000000">
              <w:rPr>
                <w:rtl w:val="0"/>
              </w:rPr>
              <w:t xml:space="preserve">Utilità percepita</w:t>
            </w:r>
          </w:p>
        </w:tc>
        <w:tc>
          <w:tcPr/>
          <w:p w:rsidR="00000000" w:rsidDel="00000000" w:rsidP="00000000" w:rsidRDefault="00000000" w:rsidRPr="00000000" w14:paraId="00000066">
            <w:pPr>
              <w:jc w:val="both"/>
              <w:rPr/>
            </w:pPr>
            <w:r w:rsidDel="00000000" w:rsidR="00000000" w:rsidRPr="00000000">
              <w:rPr>
                <w:rtl w:val="0"/>
              </w:rPr>
              <w:t xml:space="preserve">3,17</w:t>
            </w:r>
          </w:p>
        </w:tc>
        <w:tc>
          <w:tcPr/>
          <w:p w:rsidR="00000000" w:rsidDel="00000000" w:rsidP="00000000" w:rsidRDefault="00000000" w:rsidRPr="00000000" w14:paraId="00000067">
            <w:pPr>
              <w:jc w:val="both"/>
              <w:rPr/>
            </w:pPr>
            <w:r w:rsidDel="00000000" w:rsidR="00000000" w:rsidRPr="00000000">
              <w:rPr>
                <w:rtl w:val="0"/>
              </w:rPr>
              <w:t xml:space="preserve">3,31</w:t>
            </w:r>
          </w:p>
        </w:tc>
        <w:tc>
          <w:tcPr/>
          <w:p w:rsidR="00000000" w:rsidDel="00000000" w:rsidP="00000000" w:rsidRDefault="00000000" w:rsidRPr="00000000" w14:paraId="00000068">
            <w:pPr>
              <w:jc w:val="both"/>
              <w:rPr/>
            </w:pPr>
            <w:sdt>
              <w:sdtPr>
                <w:id w:val="-1144715141"/>
                <w:tag w:val="goog_rdk_0"/>
              </w:sdtPr>
              <w:sdtContent>
                <w:r w:rsidDel="00000000" w:rsidR="00000000" w:rsidRPr="00000000">
                  <w:rPr>
                    <w:rFonts w:ascii="Gungsuh" w:cs="Gungsuh" w:eastAsia="Gungsuh" w:hAnsi="Gungsuh"/>
                    <w:rtl w:val="0"/>
                  </w:rPr>
                  <w:t xml:space="preserve">−0,15</w:t>
                </w:r>
              </w:sdtContent>
            </w:sdt>
          </w:p>
        </w:tc>
        <w:tc>
          <w:tcPr/>
          <w:p w:rsidR="00000000" w:rsidDel="00000000" w:rsidP="00000000" w:rsidRDefault="00000000" w:rsidRPr="00000000" w14:paraId="00000069">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6A">
            <w:pPr>
              <w:jc w:val="both"/>
              <w:rPr/>
            </w:pPr>
            <w:r w:rsidDel="00000000" w:rsidR="00000000" w:rsidRPr="00000000">
              <w:rPr>
                <w:rtl w:val="0"/>
              </w:rPr>
              <w:t xml:space="preserve">Intenzione di riutilizzo</w:t>
            </w:r>
          </w:p>
        </w:tc>
        <w:tc>
          <w:tcPr/>
          <w:p w:rsidR="00000000" w:rsidDel="00000000" w:rsidP="00000000" w:rsidRDefault="00000000" w:rsidRPr="00000000" w14:paraId="0000006B">
            <w:pPr>
              <w:jc w:val="both"/>
              <w:rPr/>
            </w:pPr>
            <w:r w:rsidDel="00000000" w:rsidR="00000000" w:rsidRPr="00000000">
              <w:rPr>
                <w:rtl w:val="0"/>
              </w:rPr>
              <w:t xml:space="preserve">3,83</w:t>
            </w:r>
          </w:p>
        </w:tc>
        <w:tc>
          <w:tcPr/>
          <w:p w:rsidR="00000000" w:rsidDel="00000000" w:rsidP="00000000" w:rsidRDefault="00000000" w:rsidRPr="00000000" w14:paraId="0000006C">
            <w:pPr>
              <w:jc w:val="both"/>
              <w:rPr/>
            </w:pPr>
            <w:r w:rsidDel="00000000" w:rsidR="00000000" w:rsidRPr="00000000">
              <w:rPr>
                <w:rtl w:val="0"/>
              </w:rPr>
              <w:t xml:space="preserve">3,12</w:t>
            </w:r>
          </w:p>
        </w:tc>
        <w:tc>
          <w:tcPr/>
          <w:p w:rsidR="00000000" w:rsidDel="00000000" w:rsidP="00000000" w:rsidRDefault="00000000" w:rsidRPr="00000000" w14:paraId="0000006D">
            <w:pPr>
              <w:jc w:val="both"/>
              <w:rPr/>
            </w:pPr>
            <w:r w:rsidDel="00000000" w:rsidR="00000000" w:rsidRPr="00000000">
              <w:rPr>
                <w:rtl w:val="0"/>
              </w:rPr>
              <w:t xml:space="preserve">+0,71</w:t>
            </w:r>
          </w:p>
        </w:tc>
        <w:tc>
          <w:tcPr/>
          <w:p w:rsidR="00000000" w:rsidDel="00000000" w:rsidP="00000000" w:rsidRDefault="00000000" w:rsidRPr="00000000" w14:paraId="0000006E">
            <w:pPr>
              <w:jc w:val="both"/>
              <w:rPr/>
            </w:pP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34566320"/>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 miglioramenti più marcati riguardano facilità d’uso (Δ = +0,79), intenzione di riutilizzo (Δ = +0,71) e fiducia (Δ = +0,65); l’unica dimensione sostanzialmente invariata è l’utilità percepita (Δ = −0,15, entro il range di variabilità atteso per campioni ridotti).</w:t>
          </w:r>
        </w:sdtContent>
      </w:sdt>
    </w:p>
    <w:bookmarkStart w:colFirst="0" w:colLast="0" w:name="bookmark=id.ufip5saoaerz" w:id="16"/>
    <w:bookmarkEnd w:id="16"/>
    <w:p w:rsidR="00000000" w:rsidDel="00000000" w:rsidP="00000000" w:rsidRDefault="00000000" w:rsidRPr="00000000" w14:paraId="00000070">
      <w:pPr>
        <w:pStyle w:val="Heading3"/>
        <w:jc w:val="both"/>
        <w:rPr/>
      </w:pPr>
      <w:r w:rsidDel="00000000" w:rsidR="00000000" w:rsidRPr="00000000">
        <w:rPr>
          <w:rtl w:val="0"/>
        </w:rPr>
        <w:t xml:space="preserve">4.2 Autovalutazione pedagogica</w:t>
      </w:r>
    </w:p>
    <w:p w:rsidR="00000000" w:rsidDel="00000000" w:rsidP="00000000" w:rsidRDefault="00000000" w:rsidRPr="00000000" w14:paraId="00000071">
      <w:pPr>
        <w:jc w:val="both"/>
        <w:rPr/>
      </w:pPr>
      <w:r w:rsidDel="00000000" w:rsidR="00000000" w:rsidRPr="00000000">
        <w:rPr>
          <w:rtl w:val="0"/>
        </w:rPr>
        <w:t xml:space="preserve">Undici partecipanti hanno fornito risposte alle domande aperte (tutti della versione ai4educ). Dall’analisi tematica emergono quattro aree di criticità, affrontate nella versione SBS.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Inserimento dati.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 partecipanti segnalano difficoltà nel caricamento dei punteggi: «mi ha chiesto di fare una cosa che avevo appena fatto», «inserirli 1 per 1 in chat è stato scomodo», con la richiesta esplicita di poter caricare un PDF per evitare errori di digitazione. Nella versione SBS questa fase è stata sostituita da un form iniziale di inserimento e dal caricamento diretto dei PDF degli esiti.</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Coerenza della memoria di sessione.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partecipante riporta «incongruenze molto grandi tra i dati forniti e i riassunti finali» nella prima analisi, pur riconoscendo che una seconda analisi era più coerente. Nella versione SBS la gestione della memoria di sessione è stata rivista per garantire che il riassunto rotante della conversazione rifletta fedelmente il profilo senza perdita di informazioni.</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Completezza del contesto.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partecipante osserva che 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chatbot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«dimentica alcune informazioni». Nella versione SBS la memoria di sessione è stata potenziata per preservare il contesto lungo l’intero dialogo, riducendo i fenomeni di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forgetting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Lunghezza delle risposte.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partecipante suggerisce di «sintetizzare le risposte». Nella versione SBS è stato introdotto un limite di token per contenere l’estensione degli interventi del LLM, favorendo risposte più concise.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queste soluzioni si aggiunge la scelta del modello linguistico per l’istanza SBS, basata su un benchmark sistematico dei modelli Ollama (&lt;15B parametri) sull’intero flusso QSA a 11 passi. Il modello selezionato — Gemma 4 4B (in tag Ollama gemma4:e4b) — ha ottenuto il punteggio di qualità più alto (0.83/1.00), coprendo tutti i fattori con interpretazioni accurate e consigli pratici, con una velocità media di 472 tok/s e un TTFT di 4.5 s. I benchmark ufficiali su conoscenza generale (MMLU-Pro: 69.4%), ragionamento scientifico (GPQA Diamond: 58.6%) e coding (LiveCodeBench: 52.0%) confermano che, pur con soli 4B parametri effettivi (8B totali con MoE), il modello è adeguato per compiti di analisi strutturata (Gemma Team 2025). La tabella seguente riporta i punteggi dei modelli valutati nei benchmark di knowledge work.</w:t>
      </w:r>
    </w:p>
    <w:tbl>
      <w:tblPr>
        <w:tblStyle w:val="Table2"/>
        <w:tblW w:w="7920.0" w:type="dxa"/>
        <w:jc w:val="left"/>
        <w:tblInd w:w="-115.0" w:type="dxa"/>
        <w:tblLayout w:type="fixed"/>
        <w:tblLook w:val="00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77">
            <w:pPr>
              <w:jc w:val="both"/>
              <w:rPr/>
            </w:pPr>
            <w:r w:rsidDel="00000000" w:rsidR="00000000" w:rsidRPr="00000000">
              <w:rPr>
                <w:rtl w:val="0"/>
              </w:rPr>
              <w:t xml:space="preserve">Modello</w:t>
            </w:r>
          </w:p>
        </w:tc>
        <w:tc>
          <w:tcPr/>
          <w:p w:rsidR="00000000" w:rsidDel="00000000" w:rsidP="00000000" w:rsidRDefault="00000000" w:rsidRPr="00000000" w14:paraId="00000078">
            <w:pPr>
              <w:jc w:val="both"/>
              <w:rPr/>
            </w:pPr>
            <w:r w:rsidDel="00000000" w:rsidR="00000000" w:rsidRPr="00000000">
              <w:rPr>
                <w:rtl w:val="0"/>
              </w:rPr>
              <w:t xml:space="preserve">Parametri</w:t>
            </w:r>
          </w:p>
        </w:tc>
        <w:tc>
          <w:tcPr/>
          <w:p w:rsidR="00000000" w:rsidDel="00000000" w:rsidP="00000000" w:rsidRDefault="00000000" w:rsidRPr="00000000" w14:paraId="00000079">
            <w:pPr>
              <w:jc w:val="both"/>
              <w:rPr/>
            </w:pPr>
            <w:r w:rsidDel="00000000" w:rsidR="00000000" w:rsidRPr="00000000">
              <w:rPr>
                <w:rtl w:val="0"/>
              </w:rPr>
              <w:t xml:space="preserve">MMLU-Pro</w:t>
            </w:r>
          </w:p>
        </w:tc>
        <w:tc>
          <w:tcPr/>
          <w:p w:rsidR="00000000" w:rsidDel="00000000" w:rsidP="00000000" w:rsidRDefault="00000000" w:rsidRPr="00000000" w14:paraId="0000007A">
            <w:pPr>
              <w:jc w:val="both"/>
              <w:rPr/>
            </w:pPr>
            <w:r w:rsidDel="00000000" w:rsidR="00000000" w:rsidRPr="00000000">
              <w:rPr>
                <w:rtl w:val="0"/>
              </w:rPr>
              <w:t xml:space="preserve">GPQA Diamond</w:t>
            </w:r>
          </w:p>
        </w:tc>
        <w:tc>
          <w:tcPr/>
          <w:p w:rsidR="00000000" w:rsidDel="00000000" w:rsidP="00000000" w:rsidRDefault="00000000" w:rsidRPr="00000000" w14:paraId="0000007B">
            <w:pPr>
              <w:jc w:val="both"/>
              <w:rPr/>
            </w:pPr>
            <w:r w:rsidDel="00000000" w:rsidR="00000000" w:rsidRPr="00000000">
              <w:rPr>
                <w:rtl w:val="0"/>
              </w:rPr>
              <w:t xml:space="preserve">LiveCodeBench</w:t>
            </w:r>
          </w:p>
        </w:tc>
      </w:tr>
      <w:tr>
        <w:trPr>
          <w:cantSplit w:val="0"/>
          <w:tblHeader w:val="0"/>
        </w:trPr>
        <w:tc>
          <w:tcPr/>
          <w:p w:rsidR="00000000" w:rsidDel="00000000" w:rsidP="00000000" w:rsidRDefault="00000000" w:rsidRPr="00000000" w14:paraId="0000007C">
            <w:pPr>
              <w:jc w:val="both"/>
              <w:rPr/>
            </w:pPr>
            <w:r w:rsidDel="00000000" w:rsidR="00000000" w:rsidRPr="00000000">
              <w:rPr>
                <w:rtl w:val="0"/>
              </w:rPr>
              <w:t xml:space="preserve">Gemma 4 4B</w:t>
            </w:r>
          </w:p>
        </w:tc>
        <w:tc>
          <w:tcPr/>
          <w:p w:rsidR="00000000" w:rsidDel="00000000" w:rsidP="00000000" w:rsidRDefault="00000000" w:rsidRPr="00000000" w14:paraId="0000007D">
            <w:pPr>
              <w:jc w:val="both"/>
              <w:rPr/>
            </w:pPr>
            <w:r w:rsidDel="00000000" w:rsidR="00000000" w:rsidRPr="00000000">
              <w:rPr>
                <w:rtl w:val="0"/>
              </w:rPr>
              <w:t xml:space="preserve">4B</w:t>
            </w:r>
          </w:p>
        </w:tc>
        <w:tc>
          <w:tcPr/>
          <w:p w:rsidR="00000000" w:rsidDel="00000000" w:rsidP="00000000" w:rsidRDefault="00000000" w:rsidRPr="00000000" w14:paraId="0000007E">
            <w:pPr>
              <w:jc w:val="both"/>
              <w:rPr/>
            </w:pPr>
            <w:r w:rsidDel="00000000" w:rsidR="00000000" w:rsidRPr="00000000">
              <w:rPr>
                <w:rtl w:val="0"/>
              </w:rPr>
              <w:t xml:space="preserve">69.4%</w:t>
            </w:r>
          </w:p>
        </w:tc>
        <w:tc>
          <w:tcPr/>
          <w:p w:rsidR="00000000" w:rsidDel="00000000" w:rsidP="00000000" w:rsidRDefault="00000000" w:rsidRPr="00000000" w14:paraId="0000007F">
            <w:pPr>
              <w:jc w:val="both"/>
              <w:rPr/>
            </w:pPr>
            <w:r w:rsidDel="00000000" w:rsidR="00000000" w:rsidRPr="00000000">
              <w:rPr>
                <w:rtl w:val="0"/>
              </w:rPr>
              <w:t xml:space="preserve">58.6%</w:t>
            </w:r>
          </w:p>
        </w:tc>
        <w:tc>
          <w:tcPr/>
          <w:p w:rsidR="00000000" w:rsidDel="00000000" w:rsidP="00000000" w:rsidRDefault="00000000" w:rsidRPr="00000000" w14:paraId="00000080">
            <w:pPr>
              <w:jc w:val="both"/>
              <w:rPr/>
            </w:pPr>
            <w:r w:rsidDel="00000000" w:rsidR="00000000" w:rsidRPr="00000000">
              <w:rPr>
                <w:rtl w:val="0"/>
              </w:rPr>
              <w:t xml:space="preserve">52.0%</w:t>
            </w:r>
          </w:p>
        </w:tc>
      </w:tr>
      <w:tr>
        <w:trPr>
          <w:cantSplit w:val="0"/>
          <w:tblHeader w:val="0"/>
        </w:trPr>
        <w:tc>
          <w:tcPr/>
          <w:p w:rsidR="00000000" w:rsidDel="00000000" w:rsidP="00000000" w:rsidRDefault="00000000" w:rsidRPr="00000000" w14:paraId="00000081">
            <w:pPr>
              <w:jc w:val="both"/>
              <w:rPr/>
            </w:pPr>
            <w:r w:rsidDel="00000000" w:rsidR="00000000" w:rsidRPr="00000000">
              <w:rPr>
                <w:rtl w:val="0"/>
              </w:rPr>
              <w:t xml:space="preserve">Gemma 4 2B</w:t>
            </w:r>
          </w:p>
        </w:tc>
        <w:tc>
          <w:tcPr/>
          <w:p w:rsidR="00000000" w:rsidDel="00000000" w:rsidP="00000000" w:rsidRDefault="00000000" w:rsidRPr="00000000" w14:paraId="00000082">
            <w:pPr>
              <w:jc w:val="both"/>
              <w:rPr/>
            </w:pPr>
            <w:r w:rsidDel="00000000" w:rsidR="00000000" w:rsidRPr="00000000">
              <w:rPr>
                <w:rtl w:val="0"/>
              </w:rPr>
              <w:t xml:space="preserve">2B</w:t>
            </w:r>
          </w:p>
        </w:tc>
        <w:tc>
          <w:tcPr/>
          <w:p w:rsidR="00000000" w:rsidDel="00000000" w:rsidP="00000000" w:rsidRDefault="00000000" w:rsidRPr="00000000" w14:paraId="00000083">
            <w:pPr>
              <w:jc w:val="both"/>
              <w:rPr/>
            </w:pPr>
            <w:r w:rsidDel="00000000" w:rsidR="00000000" w:rsidRPr="00000000">
              <w:rPr>
                <w:rtl w:val="0"/>
              </w:rPr>
              <w:t xml:space="preserve">60.0%</w:t>
            </w:r>
          </w:p>
        </w:tc>
        <w:tc>
          <w:tcPr/>
          <w:p w:rsidR="00000000" w:rsidDel="00000000" w:rsidP="00000000" w:rsidRDefault="00000000" w:rsidRPr="00000000" w14:paraId="00000084">
            <w:pPr>
              <w:jc w:val="both"/>
              <w:rPr/>
            </w:pPr>
            <w:r w:rsidDel="00000000" w:rsidR="00000000" w:rsidRPr="00000000">
              <w:rPr>
                <w:rtl w:val="0"/>
              </w:rPr>
              <w:t xml:space="preserve">43.4%</w:t>
            </w:r>
          </w:p>
        </w:tc>
        <w:tc>
          <w:tcPr/>
          <w:p w:rsidR="00000000" w:rsidDel="00000000" w:rsidP="00000000" w:rsidRDefault="00000000" w:rsidRPr="00000000" w14:paraId="00000085">
            <w:pPr>
              <w:jc w:val="both"/>
              <w:rPr/>
            </w:pPr>
            <w:r w:rsidDel="00000000" w:rsidR="00000000" w:rsidRPr="00000000">
              <w:rPr>
                <w:rtl w:val="0"/>
              </w:rPr>
              <w:t xml:space="preserve">44.0%</w:t>
            </w:r>
          </w:p>
        </w:tc>
      </w:tr>
      <w:tr>
        <w:trPr>
          <w:cantSplit w:val="0"/>
          <w:tblHeader w:val="0"/>
        </w:trPr>
        <w:tc>
          <w:tcPr/>
          <w:p w:rsidR="00000000" w:rsidDel="00000000" w:rsidP="00000000" w:rsidRDefault="00000000" w:rsidRPr="00000000" w14:paraId="00000086">
            <w:pPr>
              <w:jc w:val="both"/>
              <w:rPr/>
            </w:pPr>
            <w:r w:rsidDel="00000000" w:rsidR="00000000" w:rsidRPr="00000000">
              <w:rPr>
                <w:rtl w:val="0"/>
              </w:rPr>
              <w:t xml:space="preserve">Gemma 4 12B</w:t>
            </w:r>
          </w:p>
        </w:tc>
        <w:tc>
          <w:tcPr/>
          <w:p w:rsidR="00000000" w:rsidDel="00000000" w:rsidP="00000000" w:rsidRDefault="00000000" w:rsidRPr="00000000" w14:paraId="00000087">
            <w:pPr>
              <w:jc w:val="both"/>
              <w:rPr/>
            </w:pPr>
            <w:r w:rsidDel="00000000" w:rsidR="00000000" w:rsidRPr="00000000">
              <w:rPr>
                <w:rtl w:val="0"/>
              </w:rPr>
              <w:t xml:space="preserve">12B</w:t>
            </w:r>
          </w:p>
        </w:tc>
        <w:tc>
          <w:tcPr/>
          <w:p w:rsidR="00000000" w:rsidDel="00000000" w:rsidP="00000000" w:rsidRDefault="00000000" w:rsidRPr="00000000" w14:paraId="00000088">
            <w:pPr>
              <w:jc w:val="both"/>
              <w:rPr/>
            </w:pPr>
            <w:r w:rsidDel="00000000" w:rsidR="00000000" w:rsidRPr="00000000">
              <w:rPr>
                <w:rtl w:val="0"/>
              </w:rPr>
              <w:t xml:space="preserve">77.2%</w:t>
            </w:r>
          </w:p>
        </w:tc>
        <w:tc>
          <w:tcPr/>
          <w:p w:rsidR="00000000" w:rsidDel="00000000" w:rsidP="00000000" w:rsidRDefault="00000000" w:rsidRPr="00000000" w14:paraId="00000089">
            <w:pPr>
              <w:jc w:val="both"/>
              <w:rPr/>
            </w:pPr>
            <w:r w:rsidDel="00000000" w:rsidR="00000000" w:rsidRPr="00000000">
              <w:rPr>
                <w:rtl w:val="0"/>
              </w:rPr>
              <w:t xml:space="preserve">78.8%</w:t>
            </w:r>
          </w:p>
        </w:tc>
        <w:tc>
          <w:tcPr/>
          <w:p w:rsidR="00000000" w:rsidDel="00000000" w:rsidP="00000000" w:rsidRDefault="00000000" w:rsidRPr="00000000" w14:paraId="0000008A">
            <w:pPr>
              <w:jc w:val="both"/>
              <w:rPr/>
            </w:pPr>
            <w:r w:rsidDel="00000000" w:rsidR="00000000" w:rsidRPr="00000000">
              <w:rPr>
                <w:rtl w:val="0"/>
              </w:rPr>
              <w:t xml:space="preserve">72.0%</w:t>
            </w:r>
          </w:p>
        </w:tc>
      </w:tr>
      <w:tr>
        <w:trPr>
          <w:cantSplit w:val="0"/>
          <w:tblHeader w:val="0"/>
        </w:trPr>
        <w:tc>
          <w:tcPr/>
          <w:p w:rsidR="00000000" w:rsidDel="00000000" w:rsidP="00000000" w:rsidRDefault="00000000" w:rsidRPr="00000000" w14:paraId="0000008B">
            <w:pPr>
              <w:jc w:val="both"/>
              <w:rPr/>
            </w:pPr>
            <w:r w:rsidDel="00000000" w:rsidR="00000000" w:rsidRPr="00000000">
              <w:rPr>
                <w:rtl w:val="0"/>
              </w:rPr>
              <w:t xml:space="preserve">DeepSeek-R1-Distill 8B</w:t>
            </w:r>
          </w:p>
        </w:tc>
        <w:tc>
          <w:tcPr/>
          <w:p w:rsidR="00000000" w:rsidDel="00000000" w:rsidP="00000000" w:rsidRDefault="00000000" w:rsidRPr="00000000" w14:paraId="0000008C">
            <w:pPr>
              <w:jc w:val="both"/>
              <w:rPr/>
            </w:pPr>
            <w:r w:rsidDel="00000000" w:rsidR="00000000" w:rsidRPr="00000000">
              <w:rPr>
                <w:rtl w:val="0"/>
              </w:rPr>
              <w:t xml:space="preserve">8B</w:t>
            </w:r>
          </w:p>
        </w:tc>
        <w:tc>
          <w:tcPr/>
          <w:p w:rsidR="00000000" w:rsidDel="00000000" w:rsidP="00000000" w:rsidRDefault="00000000" w:rsidRPr="00000000" w14:paraId="0000008D">
            <w:pPr>
              <w:jc w:val="both"/>
              <w:rPr/>
            </w:pPr>
            <w:r w:rsidDel="00000000" w:rsidR="00000000" w:rsidRPr="00000000">
              <w:rPr>
                <w:rtl w:val="0"/>
              </w:rPr>
              <w:t xml:space="preserve">—</w:t>
            </w:r>
          </w:p>
        </w:tc>
        <w:tc>
          <w:tcPr/>
          <w:p w:rsidR="00000000" w:rsidDel="00000000" w:rsidP="00000000" w:rsidRDefault="00000000" w:rsidRPr="00000000" w14:paraId="0000008E">
            <w:pPr>
              <w:jc w:val="both"/>
              <w:rPr/>
            </w:pPr>
            <w:r w:rsidDel="00000000" w:rsidR="00000000" w:rsidRPr="00000000">
              <w:rPr>
                <w:rtl w:val="0"/>
              </w:rPr>
              <w:t xml:space="preserve">49.0%</w:t>
            </w:r>
          </w:p>
        </w:tc>
        <w:tc>
          <w:tcPr/>
          <w:p w:rsidR="00000000" w:rsidDel="00000000" w:rsidP="00000000" w:rsidRDefault="00000000" w:rsidRPr="00000000" w14:paraId="0000008F">
            <w:pPr>
              <w:jc w:val="both"/>
              <w:rPr/>
            </w:pPr>
            <w:r w:rsidDel="00000000" w:rsidR="00000000" w:rsidRPr="00000000">
              <w:rPr>
                <w:rtl w:val="0"/>
              </w:rPr>
              <w:t xml:space="preserve">39.6%</w:t>
            </w:r>
          </w:p>
        </w:tc>
      </w:tr>
      <w:tr>
        <w:trPr>
          <w:cantSplit w:val="0"/>
          <w:tblHeader w:val="0"/>
        </w:trPr>
        <w:tc>
          <w:tcPr/>
          <w:p w:rsidR="00000000" w:rsidDel="00000000" w:rsidP="00000000" w:rsidRDefault="00000000" w:rsidRPr="00000000" w14:paraId="00000090">
            <w:pPr>
              <w:jc w:val="both"/>
              <w:rPr/>
            </w:pPr>
            <w:r w:rsidDel="00000000" w:rsidR="00000000" w:rsidRPr="00000000">
              <w:rPr>
                <w:rtl w:val="0"/>
              </w:rPr>
              <w:t xml:space="preserve">Qwen 3.5 9B</w:t>
            </w:r>
          </w:p>
        </w:tc>
        <w:tc>
          <w:tcPr/>
          <w:p w:rsidR="00000000" w:rsidDel="00000000" w:rsidP="00000000" w:rsidRDefault="00000000" w:rsidRPr="00000000" w14:paraId="00000091">
            <w:pPr>
              <w:jc w:val="both"/>
              <w:rPr/>
            </w:pPr>
            <w:r w:rsidDel="00000000" w:rsidR="00000000" w:rsidRPr="00000000">
              <w:rPr>
                <w:rtl w:val="0"/>
              </w:rPr>
              <w:t xml:space="preserve">9B</w:t>
            </w:r>
          </w:p>
        </w:tc>
        <w:tc>
          <w:tcPr/>
          <w:p w:rsidR="00000000" w:rsidDel="00000000" w:rsidP="00000000" w:rsidRDefault="00000000" w:rsidRPr="00000000" w14:paraId="00000092">
            <w:pPr>
              <w:jc w:val="both"/>
              <w:rPr/>
            </w:pPr>
            <w:r w:rsidDel="00000000" w:rsidR="00000000" w:rsidRPr="00000000">
              <w:rPr>
                <w:rtl w:val="0"/>
              </w:rPr>
              <w:t xml:space="preserve">82.5%</w:t>
            </w:r>
          </w:p>
        </w:tc>
        <w:tc>
          <w:tcPr/>
          <w:p w:rsidR="00000000" w:rsidDel="00000000" w:rsidP="00000000" w:rsidRDefault="00000000" w:rsidRPr="00000000" w14:paraId="00000093">
            <w:pPr>
              <w:jc w:val="both"/>
              <w:rPr/>
            </w:pPr>
            <w:r w:rsidDel="00000000" w:rsidR="00000000" w:rsidRPr="00000000">
              <w:rPr>
                <w:rtl w:val="0"/>
              </w:rPr>
              <w:t xml:space="preserve">81.7%</w:t>
            </w:r>
          </w:p>
        </w:tc>
        <w:tc>
          <w:tcPr/>
          <w:p w:rsidR="00000000" w:rsidDel="00000000" w:rsidP="00000000" w:rsidRDefault="00000000" w:rsidRPr="00000000" w14:paraId="00000094">
            <w:pPr>
              <w:jc w:val="both"/>
              <w:rPr/>
            </w:pPr>
            <w:r w:rsidDel="00000000" w:rsidR="00000000" w:rsidRPr="00000000">
              <w:rPr>
                <w:rtl w:val="0"/>
              </w:rPr>
              <w:t xml:space="preserve">65.6%</w:t>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Sei partecipanti hanno espresso valutazioni positive sulla chiarezza, la pertinenza e l’utilità del sistema, descrivendo l’esperienza come «positiva», «interessante» e «il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chatbot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 risposto alle aspettative in modo esauriente».</w:t>
      </w:r>
    </w:p>
    <w:bookmarkStart w:colFirst="0" w:colLast="0" w:name="bookmark=id.9a01fwhnlanl" w:id="17"/>
    <w:bookmarkEnd w:id="17"/>
    <w:p w:rsidR="00000000" w:rsidDel="00000000" w:rsidP="00000000" w:rsidRDefault="00000000" w:rsidRPr="00000000" w14:paraId="00000096">
      <w:pPr>
        <w:pStyle w:val="Heading2"/>
        <w:jc w:val="both"/>
        <w:rPr/>
      </w:pPr>
      <w:r w:rsidDel="00000000" w:rsidR="00000000" w:rsidRPr="00000000">
        <w:rPr>
          <w:rtl w:val="0"/>
        </w:rPr>
        <w:t xml:space="preserve">5. Discussione</w:t>
      </w:r>
    </w:p>
    <w:p w:rsidR="00000000" w:rsidDel="00000000" w:rsidP="00000000" w:rsidRDefault="00000000" w:rsidRPr="00000000" w14:paraId="00000097">
      <w:pPr>
        <w:jc w:val="both"/>
        <w:rPr/>
      </w:pPr>
      <w:r w:rsidDel="00000000" w:rsidR="00000000" w:rsidRPr="00000000">
        <w:rPr>
          <w:rtl w:val="0"/>
        </w:rPr>
        <w:t xml:space="preserve">I risultati mostrano un miglioramento diffuso della versione SBS rispetto alla precedente su 9 dimensioni su 10, con incrementi particolarmente marcati su facilità d’uso (Δ = +0,79), fiducia nelle informazioni (Δ = +0,65) e intenzione di riutilizzo (Δ = +0,71). Questi dati suggeriscono che le modifiche introdotte nell’architettura SBS — il form iniziale di inserimento dati, il potenziamento della memoria di sessione, il limite di token e l’adozione di Gemma 4 4B — hanno prodotto un effetto positivo sull’esperienza utente.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criticità emerse dalle risposte aperte della versione ai4educ riguardavano principalmente l’inserimento manuale dei dati e la coerenza delle analisi. La loro risoluzione nella versione SBS — il form iniziale di inserimento, il caricamento diretto dei PDF e il potenziamento della memoria di sessione — è coerente con i punteggi più alti registrati in facilità d’uso e fiducia. Rimane da verificare su un campione più ampio se anche le altre dimensioni — in particolare l’utilità percepita, sostanzialmente invariata — beneficino delle stesse modifiche.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presente lavoro si colloca nella fase di test del modello ADDIE: i dati raccolti informano il ciclo iterativo di sviluppo, più che costituire una validazione conclusiva. Il campione è ridotto (n=6 per SBS, n=16 per ai4educ con dati numerici) e non probabilistico, e la differenza tra le due versioni potrebbe risentire di fattori confondenti come la diversa composizione demografica o la maturità del percorso di sviluppo. Per queste ragioni i risultati vanno letti come indicatori di tendenza, non come evidenza definitiva.</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Sul piano più generale, l’architettura ibrida di Counselorbot — che combina passi guidati deterministici con la flessibilità di un LLM — si dimostra praticabile per l’autovalutazione assistita delle competenze strategiche. La possibilità di istruire il modello con direttive specifiche e di richiamare conoscenze contestuali apre la strada a forme di accompagnamento scalabili che la letteratura indica come ancora poco coperte (Wollny et al. 2021; Liu et al. 2025). Quanto alla sostenibilità economica sollevata in apertura, l’impiego di modelli aperti di dimensioni contenute, eseguibili anche su infrastrutture locali — come Gemma 4 4B, selezionato tramite benchmark sistematico per l’istanza SBS — suggerisce una via percorribile per contenere i costi di esercizio.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dato disponibile è esclusivamente basato sull’autovalutazione degli studenti, che potrebbe risentire di effetti di desiderabilità sociale.</w:t>
      </w:r>
    </w:p>
    <w:p w:rsidR="00000000" w:rsidDel="00000000" w:rsidP="00000000" w:rsidRDefault="00000000" w:rsidRPr="00000000" w14:paraId="0000009C">
      <w:pPr>
        <w:jc w:val="both"/>
        <w:rPr/>
      </w:pPr>
      <w:r w:rsidDel="00000000" w:rsidR="00000000" w:rsidRPr="00000000">
        <w:rPr>
          <w:i w:val="1"/>
          <w:iCs w:val="1"/>
          <w:rtl w:val="0"/>
        </w:rPr>
        <w:t xml:space="preserve">Metriche oggettive (tempi di risposta, tassi di completamento) da acquisire.</w:t>
      </w:r>
      <w:r w:rsidDel="00000000" w:rsidR="00000000" w:rsidRPr="00000000">
        <w:rPr>
          <w:rtl w:val="0"/>
        </w:rPr>
      </w:r>
    </w:p>
    <w:bookmarkStart w:colFirst="0" w:colLast="0" w:name="bookmark=id.g1dyyw27c81h" w:id="18"/>
    <w:bookmarkEnd w:id="18"/>
    <w:p w:rsidR="00000000" w:rsidDel="00000000" w:rsidP="00000000" w:rsidRDefault="00000000" w:rsidRPr="00000000" w14:paraId="0000009D">
      <w:pPr>
        <w:pStyle w:val="Heading2"/>
        <w:jc w:val="both"/>
        <w:rPr/>
      </w:pPr>
      <w:r w:rsidDel="00000000" w:rsidR="00000000" w:rsidRPr="00000000">
        <w:rPr>
          <w:rtl w:val="0"/>
        </w:rPr>
        <w:t xml:space="preserve">6. Conclusioni</w:t>
      </w:r>
    </w:p>
    <w:p w:rsidR="00000000" w:rsidDel="00000000" w:rsidP="00000000" w:rsidRDefault="00000000" w:rsidRPr="00000000" w14:paraId="0000009E">
      <w:pPr>
        <w:jc w:val="both"/>
        <w:rPr/>
      </w:pPr>
      <w:r w:rsidDel="00000000" w:rsidR="00000000" w:rsidRPr="00000000">
        <w:rPr>
          <w:rtl w:val="0"/>
        </w:rPr>
        <w:t xml:space="preserve">I risultati ottenuti indicano che i modelli conversazionali basati su LLM sono oggi maturi per sostenere compiti riflessivi come l’autovalutazione delle competenze strategiche, a condizione che siano inseriti in un’architettura ibrida che ne guidi il comportamento. Questo lavoro ha presentato Counselorbot, un assistente conversazionale che realizza questa architettura. I risultati della fase di test — condotta su 34 partecipanti tra due versioni del sistema — mostrano che l’architettura SBS, con il suo dialogo guidato, la memoria di sessione potenziata e l’interfaccia ottimizzata per l’inserimento dati, ottiene valutazioni superiori alla versione precedente in 9 dimensioni su 10, con miglioramenti rilevanti in facilità d’uso e fiducia.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 studio si inserisce in un processo di sviluppo iterativo di tipo ADDIE e non costituisce una validazione conclusiva. I limiti — campione ridotto, non probabilistico, assenza di metriche oggettive — suggeriscono cautela nell’estensione dei risultati. È necessario un test su scala più ampia, con un disegno controllato e la raccolta di dati sia quantitativi sia qualitativi, per confermare le tendenze emerse.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prove finora condotte hanno riguardato il solo QSA, sebbene il sistema supporti già molteplici strumenti (QSAr, ZTPI, intervista Savickas, QPCS, QPCC, QAP). Una volta stabilizzata l’usabilità della risorsa, l’architettura a passi guidati potrà essere estesa agli altri questionari. Altre direzioni di sviluppo includono l’integrazione nativa con la piattaforma competenzestrategiche.it per il recupero automatico dei profili, lo studio longitudinale dell’impatto sulle strategie di apprendimento degli studenti e la traduzione dei questionari nelle lingue supportate dall’interfaccia.</w:t>
      </w:r>
    </w:p>
    <w:bookmarkStart w:colFirst="0" w:colLast="0" w:name="bookmark=id.58ae5dnhv5u0" w:id="19"/>
    <w:bookmarkEnd w:id="19"/>
    <w:p w:rsidR="00000000" w:rsidDel="00000000" w:rsidP="00000000" w:rsidRDefault="00000000" w:rsidRPr="00000000" w14:paraId="000000A1">
      <w:pPr>
        <w:pStyle w:val="Heading2"/>
        <w:jc w:val="both"/>
        <w:rPr/>
      </w:pPr>
      <w:r w:rsidDel="00000000" w:rsidR="00000000" w:rsidRPr="00000000">
        <w:rPr>
          <w:rtl w:val="0"/>
        </w:rPr>
        <w:t xml:space="preserve">Bibliografia</w:t>
      </w:r>
    </w:p>
    <w:p w:rsidR="00000000" w:rsidDel="00000000" w:rsidP="00000000" w:rsidRDefault="00000000" w:rsidRPr="00000000" w14:paraId="000000A2">
      <w:pPr>
        <w:jc w:val="both"/>
        <w:rPr/>
      </w:pPr>
      <w:r w:rsidDel="00000000" w:rsidR="00000000" w:rsidRPr="00000000">
        <w:rPr>
          <w:rtl w:val="0"/>
        </w:rPr>
        <w:t xml:space="preserve">DeepSeek-AI. (2025). DeepSeek-R1: Incentivizing reasoning capability in LLMs via reinforcement learning. </w:t>
      </w:r>
      <w:r w:rsidDel="00000000" w:rsidR="00000000" w:rsidRPr="00000000">
        <w:rPr>
          <w:i w:val="1"/>
          <w:iCs w:val="1"/>
          <w:rtl w:val="0"/>
        </w:rPr>
        <w:t xml:space="preserve">arXiv preprint</w:t>
      </w:r>
      <w:r w:rsidDel="00000000" w:rsidR="00000000" w:rsidRPr="00000000">
        <w:rPr>
          <w:rtl w:val="0"/>
        </w:rPr>
        <w:t xml:space="preserve">, arXiv:2501.12948. https://arxiv.org/abs/2501.12948</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Gemma Team, Google DeepMind. (2025). Gemma 4: Advancing open language models. https://ai.google.dev/gemma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Puech, R., Mačina, J., Chatain, J., Sachan, M., &amp; Kapur, M. (2025). Towards the pedagogical steering of large language models for tutoring: A case study with modeling productive failure.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Findings of the Association for Computational Linguistics: ACL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https://doi.org/10.18653/v1/2025.findings-acl.1348</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Antunes, L. G., Passarelli, B., &amp; Claro, S. V. (2025). Large language models as Socratic mentors: Transforming educational approaches for epistemic development.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Aracê,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24921–24936. https://doi.org/10.56238/arev7n5-229</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Bender, E. M., Gebru, T., McMillan-Major, A., &amp; Shmitchell, S. (2021). On the dangers of stochastic parrots: Can language models be too big?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2021 ACM Conference on Fairness, Accountability, and Transparency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610–623). https://doi.org/10.1145/3442188.3445922</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R. M. (2009).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Instructional design: The ADDIE approach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https://doi.org/10.1007/978-0-387-09506-6</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Brown, T. B., Mann, B., Ryder, N., et al. (2020). Language models are few-shot learners.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Neural Information Processing Systems, 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1877–1901.</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 D. H., Lin, M. P.-C., Hajian, S., &amp; Wang, Q. Q. (2023). Educational design principles of using 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chatbot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supports self-regulated learning in education: Goal setting, feedback, and personalization.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Sustainability, 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12921. https://doi.org/10.3390/su151712921</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Cukurova, M., Luckin, R., &amp; Kent, C. (2020). Impact of an artificial intelligence research frame on the perceived credibility of educational research evidence.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Artificial Intelligence in Education, 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205–235. https://doi.org/10.1007/s40593-019-00188-w</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D’Silva, G. M., Jani, M., Jadhav, V., Bhoir, A., &amp; Amin, P. N. (2020). Career counselling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chatbot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cognitive science and artificial intelligence. In H. Vasudevan, A. Michalas, N. Shekokar, &amp; M. Narvekar (Eds.),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Advanced computing technologies and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1–9). Springer. https://doi.org/10.1007/978-981-15-3242-9_1</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Kasneci, E., Seßler, K., Küchemann, S., et al. (2023). ChatGPT for good? On opportunities and challenges of large language models for education.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Learning and Individual Differences, 103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102274. https://doi.org/10.1016/j.lindif.2023.102274</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Kuhail, M. A., Alturki, N., Alramlawi, S., &amp; Alhejori, K. (2022). Interacting with educational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chatbot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A systematic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Education and Information Technologies, 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973–1018. https://doi.org/10.1007/s10639-022-11177-3</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Lewis, P., Perez, E., Piktus, A., et al. (2020). Retrieval-Augmented Generation for knowledge-intensive NLP tasks.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Neural Information Processing Systems, 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9459–9474.</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Liu, X., Xiao, Y., &amp; Li, D. (2025). Assessing strategic use of artificial intelligence in self-regulated learning: Instrument development and evidence from Chinese university students.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Educational Technology in Higher Education, 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69. https://doi.org/10.1186/s41239-025-00567-5</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Mendez, S., Johanson, K., Conley, V. M., et al.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chatbot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A tool to supplement the future faculty mentoring of doctoral engineering students.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Doctoral Studies, 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373–392. https://doi.org/10.28945/4579</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Neumann, A. T., Arndt, T., Köbis, L., et al.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chatbot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as a tool to scale mentoring processes: Individually supporting self-study in higher education.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Artificial Intelligence,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668220. https://doi.org/10.3389/frai.2021.668220</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Savickas, M. L. (2018). The career construction interview.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Career counseling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(2a ed., pp. 57–70). American Psychological Association. https://doi.org/10.1037/0000105-004</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Qwen Team, Alibaba Group. (2025). Qwen3.5: Technical report. https://qwenlm.github.io/blog/qwen3.5/</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Self, J. A. (1974). Student models in computer-aided instruction.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Man-Machine Studies,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261–276. https://doi.org/10.1016/S0020-7373(74)80005-2</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 L. H., Truong, D.-H., Tran, T.-Y.-L., et al. (2020). Development of an 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chatbot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support admissions and career guidance for universities.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Emerging Multidisciplinary Research,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13–20. https://doi.org/10.22662/IJEMR.2020.4.2.013</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Susnjak, T. (2023). Beyond predictive learning analytics modelling and onto explainable artificial intelligence with prescriptive analytics and ChatGPT.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Artificial Intelligence in Education, 34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452–482. https://doi.org/10.1007/s40593-023-00336-3</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Tankelevitch, L., Kewenig, V., Simkute, A., et al. (2024). The metacognitive demands and opportunities of generative AI.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2024 CHI Conference on Human Factors in Computing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1–24). https://doi.org/10.1145/3613904.3642902</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Weizenbaum, J. (1966). ELIZA—A computer program for the study of natural language communication between man and machine.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Communications of the ACM,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36–45. https://doi.org/10.1145/365153.365168</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Wollny, S., Schneider, J., Di Mitri, D., et al. (2021). Are we there yet? A systematic literature review 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chatbot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in education.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Artificial Intelligence,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654924. https://doi.org/10.3389/frai.2021.654924</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Zawacki-Richter, O., Marín, V. I., Bond, M., &amp; Gouverneur, F. (2019). Systematic review of research on artificial intelligence applications in higher education: Where are the educators?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Educational Technology in Higher Education, 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39. https://doi.org/10.1186/s41239-019-0171-0</w:t>
      </w:r>
    </w:p>
    <w:p w:rsidR="00000000" w:rsidDel="00000000" w:rsidP="00000000" w:rsidRDefault="00000000" w:rsidRPr="00000000" w14:paraId="000000B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jc w:val="both"/>
        <w:rPr/>
      </w:pPr>
      <w:r w:rsidDel="00000000" w:rsidR="00000000" w:rsidRPr="00000000">
        <w:rPr>
          <w:i w:val="1"/>
          <w:iCs w:val="1"/>
          <w:rtl w:val="0"/>
        </w:rPr>
        <w:t xml:space="preserve">Articolo in preparazione. Limite: 30.000 battute (spazi inclusi). Norme editoriali Roma TrE-PRESS.</w:t>
      </w:r>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i w:val="1"/>
      <w:iCs w:val="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sz w:val="52"/>
      <w:szCs w:val="52"/>
    </w:rPr>
  </w:style>
  <w:style w:type="paragraph" w:styleId="Subtitle">
    <w:name w:val="Subtitle"/>
    <w:basedOn w:val="Normal"/>
    <w:next w:val="Normal"/>
    <w:pPr/>
    <w:rPr>
      <w:rFonts w:ascii="Times New Roman" w:cs="Times New Roman" w:eastAsia="Times New Roman" w:hAnsi="Times New Roman"/>
      <w:i w:val="1"/>
      <w:i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mPajtuTlvp79fPSYPRJZ1pbP0A==">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