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9j098bp7givg" w:id="0"/>
    <w:bookmarkEnd w:id="0"/>
    <w:p w:rsidR="00000000" w:rsidDel="00000000" w:rsidP="00000000" w:rsidRDefault="00000000" w:rsidRPr="00000000" w14:paraId="00000001">
      <w:pPr>
        <w:pStyle w:val="Heading1"/>
        <w:rPr/>
      </w:pPr>
      <w:r w:rsidDel="00000000" w:rsidR="00000000" w:rsidRPr="00000000">
        <w:rPr>
          <w:rtl w:val="0"/>
          <w:color w:val="000000"/>
        </w:rPr>
        <w:t xml:space="preserve">Counselorbot: un </w:t>
      </w:r>
      <w:r w:rsidDel="00000000" w:rsidR="00000000" w:rsidRPr="00000000">
        <w:rPr>
          <w:i w:val="1"/>
          <w:iCs w:val="1"/>
          <w:rtl w:val="0"/>
          <w:color w:val="000000"/>
        </w:rPr>
        <w:t xml:space="preserve">chatbot</w:t>
      </w:r>
      <w:r w:rsidDel="00000000" w:rsidR="00000000" w:rsidRPr="00000000">
        <w:rPr>
          <w:rtl w:val="0"/>
          <w:color w:val="000000"/>
        </w:rPr>
        <w:t xml:space="preserve"> per l’orientamento</w:t>
      </w:r>
    </w:p>
    <w:p w:rsidR="00000000" w:rsidDel="00000000" w:rsidP="00000000" w:rsidRDefault="00000000" w:rsidRPr="00000000" w14:paraId="00000002">
      <w:pPr>
        <w:rPr/>
        <w:jc w:val="both"/>
      </w:pPr>
      <w:r w:rsidDel="00000000" w:rsidR="00000000" w:rsidRPr="00000000">
        <w:rPr>
          <w:rtl w:val="0"/>
        </w:rPr>
        <w:t xml:space="preserve">Abstract (italiano)</w:t>
      </w:r>
    </w:p>
    <w:p w:rsidR="00000000" w:rsidDel="00000000" w:rsidP="00000000" w:rsidRDefault="00000000" w:rsidRPr="00000000" w14:paraId="00000003">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L’articolo presenta Counselorbot, un </w:t>
      </w:r>
      <w:r w:rsidDel="00000000" w:rsidR="00000000" w:rsidRPr="00000000">
        <w:rPr>
          <w:i w:val="1"/>
          <w:iCs w:val="1"/>
          <w:color w:val="000000"/>
          <w:rtl w:val="0"/>
        </w:rPr>
        <w:t xml:space="preserve">chatbot</w:t>
      </w:r>
      <w:r w:rsidDel="00000000" w:rsidR="00000000" w:rsidRPr="00000000">
        <w:rPr>
          <w:color w:val="000000"/>
          <w:rtl w:val="0"/>
        </w:rPr>
        <w:t xml:space="preserve"> basato su LLM per l’autovalutazione guidata delle competenze strategiche degli studenti. Il lavoro descrive l’architettura ibrida del sistema — che combina passi guidati deterministici con la flessibilità di un LLM — e il framework delle competenze strategiche (QSA) su cui si basa. La valutazione, condotta su 34 partecipanti confrontando due versioni (CB-SBS e CB-C), suggerisce tendenze positive in 9 dimensioni su 10, con incrementi in facilità d’uso (Δ = +0,79) e fiducia (Δ = +0,65). Il lavoro si colloca nella fase di test del modello ADDIE e discute limiti e direzioni di sviluppo.</w:t>
      </w:r>
    </w:p>
    <w:p w:rsidR="00000000" w:rsidDel="00000000" w:rsidP="00000000" w:rsidRDefault="00000000" w:rsidRPr="00000000" w14:paraId="00000004">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Abstract (inglese)</w:t>
      </w:r>
    </w:p>
    <w:p w:rsidR="00000000" w:rsidDel="00000000" w:rsidP="00000000" w:rsidRDefault="00000000" w:rsidRPr="00000000" w14:paraId="00000005">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This paper presents Counselorbot, an LLM-based conversational assistant for guided self-assessment of students’ strategic competences. The paper describes the hybrid architecture — combining deterministic guided steps with LLM flexibility — and the strategic competences framework (QSA) it builds on. The evaluation, carried out on 34 participants comparing two versions (CB-SBS and CB-C), suggests positive trends in 9 out of 10 dimensions, with increases in ease of use (Δ = +0.79) and trust (Δ = +0.65). The study is positioned within the test phase of the ADDIE model and discusses limitations and future directions.</w:t>
      </w:r>
    </w:p>
    <w:p w:rsidR="00000000" w:rsidDel="00000000" w:rsidP="00000000" w:rsidRDefault="00000000" w:rsidRPr="00000000" w14:paraId="00000006">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Parole chiave: autovalutazione; competenze strategiche; LLM; </w:t>
      </w:r>
      <w:r w:rsidDel="00000000" w:rsidR="00000000" w:rsidRPr="00000000">
        <w:rPr>
          <w:i w:val="1"/>
          <w:iCs w:val="1"/>
          <w:color w:val="000000"/>
          <w:rtl w:val="0"/>
        </w:rPr>
        <w:t xml:space="preserve">chatbot</w:t>
      </w:r>
      <w:r w:rsidDel="00000000" w:rsidR="00000000" w:rsidRPr="00000000">
        <w:rPr>
          <w:color w:val="000000"/>
          <w:rtl w:val="0"/>
        </w:rPr>
        <w:t xml:space="preserve"> educativo; QSA; intelligenza artificiale generativa; ADDIE Keywords: self-assessment; strategic competences; LLM; educational </w:t>
      </w:r>
      <w:r w:rsidDel="00000000" w:rsidR="00000000" w:rsidRPr="00000000">
        <w:rPr>
          <w:i w:val="1"/>
          <w:iCs w:val="1"/>
          <w:color w:val="000000"/>
          <w:rtl w:val="0"/>
        </w:rPr>
        <w:t xml:space="preserve">chatbot</w:t>
      </w:r>
      <w:r w:rsidDel="00000000" w:rsidR="00000000" w:rsidRPr="00000000">
        <w:rPr>
          <w:color w:val="000000"/>
          <w:rtl w:val="0"/>
        </w:rPr>
        <w:t xml:space="preserve">; QSA; generative AI; ADDIE</w:t>
      </w:r>
    </w:p>
    <w:p w:rsidR="00000000" w:rsidDel="00000000" w:rsidP="00000000" w:rsidRDefault="00000000" w:rsidRPr="00000000" w14:paraId="00000007">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Nota biografica [da completare: max 300 battute]</w:t>
      </w:r>
    </w:p>
    <w:bookmarkStart w:colFirst="0" w:colLast="0" w:name="bookmark=id.xx4xilopg06a" w:id="1"/>
    <w:bookmarkEnd w:id="1"/>
    <w:p w:rsidR="00000000" w:rsidDel="00000000" w:rsidP="00000000" w:rsidRDefault="00000000" w:rsidRPr="00000000" w14:paraId="00000008">
      <w:pPr>
        <w:pStyle w:val="Heading2"/>
        <w:rPr/>
      </w:pPr>
      <w:r w:rsidDel="00000000" w:rsidR="00000000" w:rsidRPr="00000000">
        <w:rPr>
          <w:rtl w:val="0"/>
          <w:color w:val="000000"/>
        </w:rPr>
        <w:t xml:space="preserve">Introduzione</w:t>
      </w:r>
    </w:p>
    <w:p w:rsidR="00000000" w:rsidDel="00000000" w:rsidP="00000000" w:rsidRDefault="00000000" w:rsidRPr="00000000" w14:paraId="00000009">
      <w:pPr>
        <w:rPr/>
        <w:jc w:val="both"/>
      </w:pPr>
      <w:r w:rsidDel="00000000" w:rsidR="00000000" w:rsidRPr="00000000">
        <w:rPr>
          <w:rtl w:val="0"/>
        </w:rP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ricevute in azioni concrete (Wollny et al. 2021).</w:t>
      </w:r>
    </w:p>
    <w:p w:rsidR="00000000" w:rsidDel="00000000" w:rsidP="00000000" w:rsidRDefault="00000000" w:rsidRPr="00000000" w14:paraId="0000000A">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I recenti assistenti conversazionali basati su </w:t>
      </w:r>
      <w:r w:rsidDel="00000000" w:rsidR="00000000" w:rsidRPr="00000000">
        <w:rPr>
          <w:i w:val="1"/>
          <w:iCs w:val="1"/>
          <w:color w:val="000000"/>
          <w:rtl w:val="0"/>
        </w:rPr>
        <w:t xml:space="preserve">Large Language Model</w:t>
      </w:r>
      <w:r w:rsidDel="00000000" w:rsidR="00000000" w:rsidRPr="00000000">
        <w:rPr>
          <w:color w:val="000000"/>
          <w:rtl w:val="0"/>
        </w:rPr>
        <w:t xml:space="preserve"> (LLM) possono costituire un nuovo strumento di supporto per i processi di orientamento ricoprendo alcune funzioni che fino ad ora erano competenze esclusivamente umane.</w:t>
      </w:r>
    </w:p>
    <w:p w:rsidR="00000000" w:rsidDel="00000000" w:rsidP="00000000" w:rsidRDefault="00000000" w:rsidRPr="00000000" w14:paraId="0000000B">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Per verificare questa ipotesi è stato sviluppato </w:t>
      </w:r>
      <w:r w:rsidDel="00000000" w:rsidR="00000000" w:rsidRPr="00000000">
        <w:rPr>
          <w:i w:val="1"/>
          <w:iCs w:val="1"/>
          <w:color w:val="000000"/>
          <w:rtl w:val="0"/>
        </w:rPr>
        <w:t xml:space="preserve">Counselorbot</w:t>
      </w:r>
      <w:r w:rsidDel="00000000" w:rsidR="00000000" w:rsidRPr="00000000">
        <w:rPr>
          <w:color w:val="000000"/>
          <w:rtl w:val="0"/>
        </w:rPr>
        <w:t xml:space="preserve">, un </w:t>
      </w:r>
      <w:r w:rsidDel="00000000" w:rsidR="00000000" w:rsidRPr="00000000">
        <w:rPr>
          <w:i w:val="1"/>
          <w:iCs w:val="1"/>
          <w:color w:val="000000"/>
          <w:rtl w:val="0"/>
        </w:rPr>
        <w:t xml:space="preserve">chatbot</w:t>
      </w:r>
      <w:r w:rsidDel="00000000" w:rsidR="00000000" w:rsidRPr="00000000">
        <w:rPr>
          <w:color w:val="000000"/>
          <w:rtl w:val="0"/>
        </w:rPr>
        <w:t xml:space="preserve"> implementato in due versioni. La prima, denominata </w:t>
      </w:r>
      <w:r w:rsidDel="00000000" w:rsidR="00000000" w:rsidRPr="00000000">
        <w:rPr>
          <w:i w:val="1"/>
          <w:iCs w:val="1"/>
          <w:color w:val="000000"/>
          <w:rtl w:val="0"/>
        </w:rPr>
        <w:t xml:space="preserve">Counselorbot-Conversetion </w:t>
      </w:r>
      <w:r w:rsidDel="00000000" w:rsidR="00000000" w:rsidRPr="00000000">
        <w:rPr>
          <w:color w:val="000000"/>
          <w:rtl w:val="0"/>
        </w:rPr>
        <w:t xml:space="preserve">(CB-C), adotta un approccio puramente conversazionale; la seconda </w:t>
      </w:r>
      <w:r w:rsidDel="00000000" w:rsidR="00000000" w:rsidRPr="00000000">
        <w:rPr>
          <w:i w:val="1"/>
          <w:iCs w:val="1"/>
          <w:color w:val="000000"/>
          <w:rtl w:val="0"/>
        </w:rPr>
        <w:t xml:space="preserve">Counselorbot-Step-by-Step</w:t>
      </w:r>
      <w:r w:rsidDel="00000000" w:rsidR="00000000" w:rsidRPr="00000000">
        <w:rPr>
          <w:color w:val="000000"/>
          <w:rtl w:val="0"/>
        </w:rPr>
        <w:t xml:space="preserve"> (CB-SBS), presenta un’architettura strutturato in passi prestabiliti.</w:t>
      </w:r>
    </w:p>
    <w:p w:rsidR="00000000" w:rsidDel="00000000" w:rsidP="00000000" w:rsidRDefault="00000000" w:rsidRPr="00000000" w14:paraId="0000000C">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Le domande di ricerca sono due: D1) si può costruire un </w:t>
      </w:r>
      <w:r w:rsidDel="00000000" w:rsidR="00000000" w:rsidRPr="00000000">
        <w:rPr>
          <w:i w:val="1"/>
          <w:iCs w:val="1"/>
          <w:color w:val="000000"/>
          <w:rtl w:val="0"/>
        </w:rPr>
        <w:t xml:space="preserve">chatbot mentoring</w:t>
      </w:r>
      <w:r w:rsidDel="00000000" w:rsidR="00000000" w:rsidRPr="00000000">
        <w:rPr>
          <w:color w:val="000000"/>
          <w:rtl w:val="0"/>
        </w:rPr>
        <w:t xml:space="preserve"> efficace? D2) quale architettura conversazionale è più efficace, una guidata o una libera?</w:t>
      </w:r>
    </w:p>
    <w:p w:rsidR="00000000" w:rsidDel="00000000" w:rsidP="00000000" w:rsidRDefault="00000000" w:rsidRPr="00000000" w14:paraId="0000000D">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La ricerca si colloca tuttavia in una fase ancora esplorativa.</w:t>
      </w:r>
    </w:p>
    <w:p w:rsidR="00000000" w:rsidDel="00000000" w:rsidP="00000000" w:rsidRDefault="00000000" w:rsidRPr="00000000" w14:paraId="0000000E">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Il lavoro si articola in sei paragrafi. Il §1 presenta il quadro teorico e lo stato dell’arte sui </w:t>
      </w:r>
      <w:r w:rsidDel="00000000" w:rsidR="00000000" w:rsidRPr="00000000">
        <w:rPr>
          <w:i w:val="1"/>
          <w:iCs w:val="1"/>
          <w:color w:val="000000"/>
          <w:rtl w:val="0"/>
        </w:rPr>
        <w:t xml:space="preserve">chatbot</w:t>
      </w:r>
      <w:r w:rsidDel="00000000" w:rsidR="00000000" w:rsidRPr="00000000">
        <w:rPr>
          <w:color w:val="000000"/>
          <w:rtl w:val="0"/>
        </w:rPr>
        <w:t xml:space="preserve"> in educazione; il §2 descrive la progettazione e l’architettura di </w:t>
      </w:r>
      <w:r w:rsidDel="00000000" w:rsidR="00000000" w:rsidRPr="00000000">
        <w:rPr>
          <w:i w:val="1"/>
          <w:iCs w:val="1"/>
          <w:color w:val="000000"/>
          <w:rtl w:val="0"/>
        </w:rPr>
        <w:t xml:space="preserve">Counselorbot</w:t>
      </w:r>
      <w:r w:rsidDel="00000000" w:rsidR="00000000" w:rsidRPr="00000000">
        <w:rPr>
          <w:color w:val="000000"/>
          <w:rtl w:val="0"/>
        </w:rPr>
        <w:t xml:space="preserve">. Il §3 illustra la metodologia di valutazione del sistema, i cui risultati sono presentati al §4. Il §5 discute le implicazioni dei risultati e i limiti dello studio, mentre il §6 conclude tracciando le direzioni di sviluppo futuro.</w:t>
      </w:r>
    </w:p>
    <w:bookmarkStart w:colFirst="0" w:colLast="0" w:name="bookmark=id.jh7sfbbjt8jg" w:id="2"/>
    <w:bookmarkEnd w:id="2"/>
    <w:p w:rsidR="00000000" w:rsidDel="00000000" w:rsidP="00000000" w:rsidRDefault="00000000" w:rsidRPr="00000000" w14:paraId="0000000F">
      <w:pPr>
        <w:pStyle w:val="Heading2"/>
        <w:rPr/>
      </w:pPr>
      <w:r w:rsidDel="00000000" w:rsidR="00000000" w:rsidRPr="00000000">
        <w:rPr>
          <w:rtl w:val="0"/>
          <w:color w:val="000000"/>
        </w:rPr>
        <w:t xml:space="preserve">1. Quadro teorico e stato dell’arte</w:t>
      </w:r>
    </w:p>
    <w:bookmarkStart w:colFirst="0" w:colLast="0" w:name="bookmark=id.qyckk97xvbji" w:id="3"/>
    <w:bookmarkEnd w:id="3"/>
    <w:p w:rsidR="00000000" w:rsidDel="00000000" w:rsidP="00000000" w:rsidRDefault="00000000" w:rsidRPr="00000000" w14:paraId="00000010">
      <w:pPr>
        <w:pStyle w:val="Heading3"/>
        <w:rPr/>
      </w:pPr>
      <w:r w:rsidDel="00000000" w:rsidR="00000000" w:rsidRPr="00000000">
        <w:rPr>
          <w:rtl w:val="0"/>
          <w:color w:val="000000"/>
        </w:rPr>
        <w:t xml:space="preserve">1.1 Large Language Models in educazione: potenzialità e rischi</w:t>
      </w:r>
    </w:p>
    <w:p w:rsidR="00000000" w:rsidDel="00000000" w:rsidP="00000000" w:rsidRDefault="00000000" w:rsidRPr="00000000" w14:paraId="00000011">
      <w:pPr>
        <w:rPr/>
        <w:jc w:val="both"/>
      </w:pPr>
      <w:r w:rsidDel="00000000" w:rsidR="00000000" w:rsidRPr="00000000">
        <w:rPr>
          <w:rtl w:val="0"/>
        </w:rPr>
        <w:t xml:space="preserve">Gli LLM — grandi reti neurali specializzate nel linguaggio (Brown et al. 2020) — costituiscono la famiglia più diffusa di strumenti di intelligenza artificiale generativa (GenAI) e sono il motore dei moderni </w:t>
      </w:r>
      <w:r w:rsidDel="00000000" w:rsidR="00000000" w:rsidRPr="00000000">
        <w:rPr>
          <w:i w:val="1"/>
          <w:iCs w:val="1"/>
          <w:rtl w:val="0"/>
        </w:rPr>
        <w:t xml:space="preserve">chatbot</w:t>
      </w:r>
      <w:r w:rsidDel="00000000" w:rsidR="00000000" w:rsidRPr="00000000">
        <w:rPr>
          <w:rtl w:val="0"/>
        </w:rPr>
        <w:t xml:space="preserve">. Essi permettono di superare i limiti dei sistemi del passato basati su regole (</w:t>
      </w:r>
      <w:r w:rsidDel="00000000" w:rsidR="00000000" w:rsidRPr="00000000">
        <w:rPr>
          <w:i w:val="1"/>
          <w:iCs w:val="1"/>
          <w:rtl w:val="0"/>
        </w:rPr>
        <w:t xml:space="preserve">rule-based</w:t>
      </w:r>
      <w:r w:rsidDel="00000000" w:rsidR="00000000" w:rsidRPr="00000000">
        <w:rPr>
          <w:rtl w:val="0"/>
        </w:rPr>
        <w:t xml:space="preserve">) (ELIZA, Weizenbaum 1966), grazie alla loro capacità di produrre output adattivi e coerenti in linguaggio naturale possono rispondere a domande non previste dalla programmazione (Brown et al. 2020; Kasneci et al. 2023).</w:t>
      </w:r>
    </w:p>
    <w:p w:rsidR="00000000" w:rsidDel="00000000" w:rsidP="00000000" w:rsidRDefault="00000000" w:rsidRPr="00000000" w14:paraId="00000012">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Tuttavia, l’integrazione di queste tecnologie introduce una serie di rischi e problematiche di natura tecnica, contenutistica, di accettazione della tecnologia e di dipendenza. Dal punto di vista del contenuto possono produrre risposte inaccurate o inventate, le cosiddette allucinazioni. Inoltre, possono riprodurre bias di genere e demografici o dare informazioni stereotipate (Bender et al. 2021; Tankelevitch et al. 2024).</w:t>
      </w:r>
    </w:p>
    <w:p w:rsidR="00000000" w:rsidDel="00000000" w:rsidP="00000000" w:rsidRDefault="00000000" w:rsidRPr="00000000" w14:paraId="00000013">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Dal lato dell’accettazione delle risposte da parte di umani, le indicazioni fornite da un sistema artificiale tendono a essere ritenute meno credibili rispetto a quelle di un operatore umano (Cukurova et al. 2020). Infine, un affidamento sproporzionato a tali strumenti per la risoluzione di problemi o la generazione di testi rischia di creare una dipendenza eccessiva, compromettendo lo sviluppo di abilità critiche come l’analisi, la sintesi e la creatività.</w:t>
      </w:r>
    </w:p>
    <w:bookmarkStart w:colFirst="0" w:colLast="0" w:name="bookmark=id.hvcblgyd0cgd" w:id="4"/>
    <w:bookmarkEnd w:id="4"/>
    <w:p w:rsidR="00000000" w:rsidDel="00000000" w:rsidP="00000000" w:rsidRDefault="00000000" w:rsidRPr="00000000" w14:paraId="00000014">
      <w:pPr>
        <w:pStyle w:val="Heading3"/>
        <w:rPr/>
      </w:pPr>
      <w:r w:rsidDel="00000000" w:rsidR="00000000" w:rsidRPr="00000000">
        <w:rPr>
          <w:rtl w:val="0"/>
          <w:color w:val="000000"/>
        </w:rPr>
        <w:t xml:space="preserve">1.2 Chatbot educativi e tutoraggio socratico: autoregolazione, metacognizione e agency epistemica</w:t>
      </w:r>
    </w:p>
    <w:p w:rsidR="00000000" w:rsidDel="00000000" w:rsidP="00000000" w:rsidRDefault="00000000" w:rsidRPr="00000000" w14:paraId="00000015">
      <w:pPr>
        <w:rPr/>
        <w:jc w:val="both"/>
      </w:pPr>
      <w:r w:rsidDel="00000000" w:rsidR="00000000" w:rsidRPr="00000000">
        <w:rPr>
          <w:rtl w:val="0"/>
        </w:rPr>
        <w:t xml:space="preserve">La letteratura scientifica evidenzia il potenziale dei </w:t>
      </w:r>
      <w:r w:rsidDel="00000000" w:rsidR="00000000" w:rsidRPr="00000000">
        <w:rPr>
          <w:i w:val="1"/>
          <w:iCs w:val="1"/>
          <w:rtl w:val="0"/>
        </w:rPr>
        <w:t xml:space="preserve">chatbot</w:t>
      </w:r>
      <w:r w:rsidDel="00000000" w:rsidR="00000000" w:rsidRPr="00000000">
        <w:rPr>
          <w:rtl w:val="0"/>
        </w:rPr>
        <w:t xml:space="preserve"> educativi, le cui funzioni spaziano dall’orientamento informativo (</w:t>
      </w:r>
      <w:r w:rsidDel="00000000" w:rsidR="00000000" w:rsidRPr="00000000">
        <w:rPr>
          <w:i w:val="1"/>
          <w:iCs w:val="1"/>
          <w:rtl w:val="0"/>
        </w:rPr>
        <w:t xml:space="preserve">informational</w:t>
      </w:r>
      <w:r w:rsidDel="00000000" w:rsidR="00000000" w:rsidRPr="00000000">
        <w:rPr>
          <w:rtl w:val="0"/>
        </w:rPr>
        <w:t xml:space="preserve">) al </w:t>
      </w:r>
      <w:r w:rsidDel="00000000" w:rsidR="00000000" w:rsidRPr="00000000">
        <w:rPr>
          <w:i w:val="1"/>
          <w:iCs w:val="1"/>
          <w:rtl w:val="0"/>
        </w:rPr>
        <w:t xml:space="preserve">tutoring</w:t>
      </w:r>
      <w:r w:rsidDel="00000000" w:rsidR="00000000" w:rsidRPr="00000000">
        <w:rPr>
          <w:rtl w:val="0"/>
        </w:rPr>
        <w:t xml:space="preserve"> disciplinare e al </w:t>
      </w:r>
      <w:r w:rsidDel="00000000" w:rsidR="00000000" w:rsidRPr="00000000">
        <w:rPr>
          <w:i w:val="1"/>
          <w:iCs w:val="1"/>
          <w:rtl w:val="0"/>
        </w:rPr>
        <w:t xml:space="preserve">mentoring</w:t>
      </w:r>
      <w:r w:rsidDel="00000000" w:rsidR="00000000" w:rsidRPr="00000000">
        <w:rPr>
          <w:rtl w:val="0"/>
        </w:rPr>
        <w:t xml:space="preserve"> formativo (Kuhail et al., 2022; Wollny et al., 2021; Zawacki-Richter et al., 2019). Gli LLM, in particolare, possono essere condizionati nell’interazione tramite vincoli di alto livello noti come </w:t>
      </w:r>
      <w:r w:rsidDel="00000000" w:rsidR="00000000" w:rsidRPr="00000000">
        <w:rPr>
          <w:i w:val="1"/>
          <w:iCs w:val="1"/>
          <w:rtl w:val="0"/>
        </w:rPr>
        <w:t xml:space="preserve">system prompt</w:t>
      </w:r>
      <w:r w:rsidDel="00000000" w:rsidR="00000000" w:rsidRPr="00000000">
        <w:rPr>
          <w:rtl w:val="0"/>
        </w:rPr>
        <w:t xml:space="preserve"> e </w:t>
      </w:r>
      <w:r w:rsidDel="00000000" w:rsidR="00000000" w:rsidRPr="00000000">
        <w:rPr>
          <w:i w:val="1"/>
          <w:iCs w:val="1"/>
          <w:rtl w:val="0"/>
        </w:rPr>
        <w:t xml:space="preserve">meta-prompt</w:t>
      </w:r>
      <w:r w:rsidDel="00000000" w:rsidR="00000000" w:rsidRPr="00000000">
        <w:rPr>
          <w:rtl w:val="0"/>
        </w:rPr>
        <w:t xml:space="preserve">. Tali istruzioni, ricevute dal modello prima del dialogo con l’utente, ne definiscono il ruolo, il comportamento e le modalità di interazione. Inoltre, mediante tecniche di </w:t>
      </w:r>
      <w:r w:rsidDel="00000000" w:rsidR="00000000" w:rsidRPr="00000000">
        <w:rPr>
          <w:i w:val="1"/>
          <w:iCs w:val="1"/>
          <w:rtl w:val="0"/>
        </w:rPr>
        <w:t xml:space="preserve">retrieval</w:t>
      </w:r>
      <w:r w:rsidDel="00000000" w:rsidR="00000000" w:rsidRPr="00000000">
        <w:rPr>
          <w:rtl w:val="0"/>
        </w:rPr>
        <w:t xml:space="preserve">, è possibile integrare nei prompt informazioni pertinenti estratte da documenti validati, migliorando l’accuratezza e l’affidabilità delle risposte (Kasneci et al., 2023). Tali sistemi sono dunque in grado di svolgere compiti finora di esclusiva competenza all’operatore umano, rendendo i processi di orientamento più scalabili e sostenibili (Neumann et al., 2021). Ad esempio, impiegati come </w:t>
      </w:r>
      <w:r w:rsidDel="00000000" w:rsidR="00000000" w:rsidRPr="00000000">
        <w:rPr>
          <w:i w:val="1"/>
          <w:iCs w:val="1"/>
          <w:rtl w:val="0"/>
        </w:rPr>
        <w:t xml:space="preserve">tutor socratici</w:t>
      </w:r>
      <w:r w:rsidDel="00000000" w:rsidR="00000000" w:rsidRPr="00000000">
        <w:rPr>
          <w:rtl w:val="0"/>
        </w:rPr>
        <w:t xml:space="preserve"> — secondo un modello dialogico nel quale l’intelligenza artificiale guida lo studente attraverso domande progressive, anziché fornire risposte dirette — possono sostenere lo sviluppo della metacognizione e dell’</w:t>
      </w:r>
      <w:r w:rsidDel="00000000" w:rsidR="00000000" w:rsidRPr="00000000">
        <w:rPr>
          <w:i w:val="1"/>
          <w:iCs w:val="1"/>
          <w:rtl w:val="0"/>
        </w:rPr>
        <w:t xml:space="preserve">agency</w:t>
      </w:r>
      <w:r w:rsidDel="00000000" w:rsidR="00000000" w:rsidRPr="00000000">
        <w:rPr>
          <w:rtl w:val="0"/>
        </w:rPr>
        <w:t xml:space="preserve"> epistemica, intesa come la capacità dello studente di assumere un ruolo attivo, consapevole e responsabile nella costruzione della propria conoscenza (Antunes et al., 2025; Chang et al., 2023).</w:t>
      </w:r>
    </w:p>
    <w:p w:rsidR="00000000" w:rsidDel="00000000" w:rsidP="00000000" w:rsidRDefault="00000000" w:rsidRPr="00000000" w14:paraId="00000016">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Tuttavia, è necessario che gli studenti sviluppino un senso critico verso l’AI che permetta loro di valutarne l’attendibilità e la pertinenza, al fine di integrare in maniera proficua questa interazione nel proprio percorso di apprendimento (Tankelevitch et al., 2024). Tale competenza assume particolare rilevanza, poiché le strategie di autovalutazione supportate dall’AI risultano ancora tra quelle meno conosciute dagli studenti (Liu et al., 2025).</w:t>
      </w:r>
    </w:p>
    <w:bookmarkStart w:colFirst="0" w:colLast="0" w:name="bookmark=id.qjhqti8ezfv0" w:id="5"/>
    <w:bookmarkEnd w:id="5"/>
    <w:p w:rsidR="00000000" w:rsidDel="00000000" w:rsidP="00000000" w:rsidRDefault="00000000" w:rsidRPr="00000000" w14:paraId="00000017">
      <w:pPr>
        <w:pStyle w:val="Heading3"/>
        <w:rPr/>
      </w:pPr>
      <w:r w:rsidDel="00000000" w:rsidR="00000000" w:rsidRPr="00000000">
        <w:rPr>
          <w:rtl w:val="0"/>
          <w:color w:val="000000"/>
        </w:rPr>
        <w:t xml:space="preserve">1.3 Il framework delle competenze strategiche come impalcatura semantica</w:t>
      </w:r>
    </w:p>
    <w:p w:rsidR="00000000" w:rsidDel="00000000" w:rsidP="00000000" w:rsidRDefault="00000000" w:rsidRPr="00000000" w14:paraId="00000018">
      <w:pPr>
        <w:rPr/>
        <w:jc w:val="both"/>
      </w:pPr>
      <w:r w:rsidDel="00000000" w:rsidR="00000000" w:rsidRPr="00000000">
        <w:rPr>
          <w:rtl w:val="0"/>
        </w:rPr>
        <w:t xml:space="preserve">Per comprendere meglio l’idea di </w:t>
      </w:r>
      <w:r w:rsidDel="00000000" w:rsidR="00000000" w:rsidRPr="00000000">
        <w:rPr>
          <w:i w:val="1"/>
          <w:iCs w:val="1"/>
          <w:rtl w:val="0"/>
        </w:rPr>
        <w:t xml:space="preserve">Counselorbot</w:t>
      </w:r>
      <w:r w:rsidDel="00000000" w:rsidR="00000000" w:rsidRPr="00000000">
        <w:rPr>
          <w:rtl w:val="0"/>
        </w:rPr>
        <w:t xml:space="preserve"> è opportuno accennare brevemente al portale </w:t>
      </w:r>
      <w:r w:rsidDel="00000000" w:rsidR="00000000" w:rsidRPr="00000000">
        <w:rPr>
          <w:i w:val="1"/>
          <w:iCs w:val="1"/>
          <w:rtl w:val="0"/>
        </w:rPr>
        <w:t xml:space="preserve">Competenze strategiche</w:t>
      </w:r>
      <w:r w:rsidDel="00000000" w:rsidR="00000000" w:rsidRPr="00000000">
        <w:rPr>
          <w:rtl w:val="0"/>
        </w:rPr>
        <w:t xml:space="preserve">. Il sito raccoglie strumenti di autovalutazione rivolti a studenti, docenti e operatori dell’orientamento. Questi strumenti aiutano a riflettere sulle proprie modalità di apprendimento, sulle strategie di studio, sulla motivazione, sulla gestione delle emozioni e sulla progettualità personale.</w:t>
      </w:r>
    </w:p>
    <w:p w:rsidR="00000000" w:rsidDel="00000000" w:rsidP="00000000" w:rsidRDefault="00000000" w:rsidRPr="00000000" w14:paraId="00000019">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Alla base del portale vi è il costrutto di competenza strategica, sviluppato dal gruppo di ricerca coordinato da Pellerey (Pellerey et al., 2013) e radicato nella nozione aristotelico-tomista di abito (</w:t>
      </w:r>
      <w:r w:rsidDel="00000000" w:rsidR="00000000" w:rsidRPr="00000000">
        <w:rPr>
          <w:i w:val="1"/>
          <w:iCs w:val="1"/>
          <w:color w:val="000000"/>
          <w:rtl w:val="0"/>
        </w:rPr>
        <w:t xml:space="preserve">habitus</w:t>
      </w:r>
      <w:r w:rsidDel="00000000" w:rsidR="00000000" w:rsidRPr="00000000">
        <w:rPr>
          <w:color w:val="000000"/>
          <w:rtl w:val="0"/>
        </w:rPr>
        <w:t xml:space="preserve">). Tale costrutto indica l’insieme delle abilità cognitive, metacognitive, affettivo-motivazionali e volitive che permettono allo studente di pianificare, monitorare e regolare il proprio apprendimento.</w:t>
      </w:r>
    </w:p>
    <w:p w:rsidR="00000000" w:rsidDel="00000000" w:rsidP="00000000" w:rsidRDefault="00000000" w:rsidRPr="00000000" w14:paraId="0000001A">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Tra i questionari disponibili nel portale vi sono il QSA, </w:t>
      </w:r>
      <w:r w:rsidDel="00000000" w:rsidR="00000000" w:rsidRPr="00000000">
        <w:rPr>
          <w:i w:val="1"/>
          <w:iCs w:val="1"/>
          <w:color w:val="000000"/>
          <w:rtl w:val="0"/>
        </w:rPr>
        <w:t xml:space="preserve">Questionario sulle Strategie di Apprendimento</w:t>
      </w:r>
      <w:r w:rsidDel="00000000" w:rsidR="00000000" w:rsidRPr="00000000">
        <w:rPr>
          <w:color w:val="000000"/>
          <w:rtl w:val="0"/>
        </w:rPr>
        <w:t xml:space="preserve">; il QSAr, nella sua versione ridotta; il QPCS, </w:t>
      </w:r>
      <w:r w:rsidDel="00000000" w:rsidR="00000000" w:rsidRPr="00000000">
        <w:rPr>
          <w:i w:val="1"/>
          <w:iCs w:val="1"/>
          <w:color w:val="000000"/>
          <w:rtl w:val="0"/>
        </w:rPr>
        <w:t xml:space="preserve">Questionario sulla Percezione delle proprie Competenze Strategiche</w:t>
      </w:r>
      <w:r w:rsidDel="00000000" w:rsidR="00000000" w:rsidRPr="00000000">
        <w:rPr>
          <w:color w:val="000000"/>
          <w:rtl w:val="0"/>
        </w:rPr>
        <w:t xml:space="preserve">; il QPCC; lo ZTPI, dedicato alla prospettiva temporale; e il QAP, relativo all’adattabilità professionale.</w:t>
      </w:r>
    </w:p>
    <w:bookmarkStart w:colFirst="0" w:colLast="0" w:name="bookmark=id.hff6piw75jpy" w:id="6"/>
    <w:bookmarkEnd w:id="6"/>
    <w:p w:rsidR="00000000" w:rsidDel="00000000" w:rsidP="00000000" w:rsidRDefault="00000000" w:rsidRPr="00000000" w14:paraId="0000001B">
      <w:pPr>
        <w:pStyle w:val="Heading2"/>
        <w:rPr/>
      </w:pPr>
      <w:r w:rsidDel="00000000" w:rsidR="00000000" w:rsidRPr="00000000">
        <w:rPr>
          <w:rtl w:val="0"/>
          <w:color w:val="000000"/>
        </w:rPr>
        <w:t xml:space="preserve">2. Progettazione di Counselorbot</w:t>
      </w:r>
    </w:p>
    <w:p w:rsidR="00000000" w:rsidDel="00000000" w:rsidP="00000000" w:rsidRDefault="00000000" w:rsidRPr="00000000" w14:paraId="0000001C">
      <w:pPr>
        <w:rPr/>
        <w:jc w:val="both"/>
      </w:pPr>
      <w:r w:rsidDel="00000000" w:rsidR="00000000" w:rsidRPr="00000000">
        <w:rPr>
          <w:rtl w:val="0"/>
        </w:rPr>
        <w:t xml:space="preserve">Counselorbot è stato concepito come un sistema multifunzionale dedicato all’orientamento formativo e professionale, all’autovalutazione e al supporto all’apprendimento. La piattaforma integra strumenti differenti, accomunati da un’interazione conversazionale strutturata, attraverso la quale l’utente viene accompagnato nell’interpretazione dei risultati, nella riflessione sulle proprie esperienze e nell’individuazione di strategie utili al proprio percorso.</w:t>
      </w:r>
    </w:p>
    <w:bookmarkStart w:colFirst="0" w:colLast="0" w:name="bookmark=id.i5em4590befj" w:id="7"/>
    <w:bookmarkEnd w:id="7"/>
    <w:p w:rsidR="00000000" w:rsidDel="00000000" w:rsidP="00000000" w:rsidRDefault="00000000" w:rsidRPr="00000000" w14:paraId="0000001D">
      <w:pPr>
        <w:pStyle w:val="Heading3"/>
        <w:rPr/>
      </w:pPr>
      <w:r w:rsidDel="00000000" w:rsidR="00000000" w:rsidRPr="00000000">
        <w:rPr>
          <w:rtl w:val="0"/>
          <w:color w:val="000000"/>
        </w:rPr>
        <w:t xml:space="preserve">2.1 Strumenti disponibili in Counselorbot</w:t>
      </w:r>
    </w:p>
    <w:p w:rsidR="00000000" w:rsidDel="00000000" w:rsidP="00000000" w:rsidRDefault="00000000" w:rsidRPr="00000000" w14:paraId="0000001E">
      <w:pPr>
        <w:rPr/>
        <w:jc w:val="both"/>
      </w:pPr>
      <w:r w:rsidDel="00000000" w:rsidR="00000000" w:rsidRPr="00000000">
        <w:rPr>
          <w:rtl w:val="0"/>
        </w:rPr>
        <w:t xml:space="preserve">Nella schermata iniziale, Counselorbot presenta un selettore attraverso il quale l’utente può scegliere uno dei questionari disponibili, la </w:t>
      </w:r>
      <w:r w:rsidDel="00000000" w:rsidR="00000000" w:rsidRPr="00000000">
        <w:rPr>
          <w:i w:val="1"/>
          <w:iCs w:val="1"/>
          <w:rtl w:val="0"/>
        </w:rPr>
        <w:t xml:space="preserve">Career Counseling Interview</w:t>
      </w:r>
      <w:r w:rsidDel="00000000" w:rsidR="00000000" w:rsidRPr="00000000">
        <w:rPr>
          <w:rtl w:val="0"/>
        </w:rPr>
        <w:t xml:space="preserve"> oppure il modulo di </w:t>
      </w:r>
      <w:r w:rsidDel="00000000" w:rsidR="00000000" w:rsidRPr="00000000">
        <w:rPr>
          <w:i w:val="1"/>
          <w:iCs w:val="1"/>
          <w:rtl w:val="0"/>
        </w:rPr>
        <w:t xml:space="preserve">Question-Based Learning</w:t>
      </w:r>
      <w:r w:rsidDel="00000000" w:rsidR="00000000" w:rsidRPr="00000000">
        <w:rPr>
          <w:rtl w:val="0"/>
        </w:rPr>
        <w:t xml:space="preserve">. In base alla scelta effettuata, il sistema attiva l’interfaccia e il percorso di interazione corrispondenti.</w:t>
      </w:r>
    </w:p>
    <w:p w:rsidR="00000000" w:rsidDel="00000000" w:rsidP="00000000" w:rsidRDefault="00000000" w:rsidRPr="00000000" w14:paraId="0000001F">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Una prima area funzionale riguarda l’interpretazione dei questionari presenti nel portale </w:t>
      </w:r>
      <w:r w:rsidDel="00000000" w:rsidR="00000000" w:rsidRPr="00000000">
        <w:rPr>
          <w:i w:val="1"/>
          <w:iCs w:val="1"/>
          <w:color w:val="000000"/>
          <w:rtl w:val="0"/>
        </w:rPr>
        <w:t xml:space="preserve">Competenze strategiche</w:t>
      </w:r>
      <w:r w:rsidDel="00000000" w:rsidR="00000000" w:rsidRPr="00000000">
        <w:rPr>
          <w:color w:val="000000"/>
          <w:rtl w:val="0"/>
        </w:rPr>
        <w:t xml:space="preserve">. Tra questi rientra il Questionario sulle Strategie di Apprendimento (QSA), finalizzato ad analizzare le modalità attraverso cui lo studente affronta, organizza e regola il proprio percorso formativo. Lo strumento prende in considerazione fattori cognitivi, metacognitivi, affettivi, motivazionali e volitivi.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rsidR="00000000" w:rsidDel="00000000" w:rsidP="00000000" w:rsidRDefault="00000000" w:rsidRPr="00000000" w14:paraId="00000020">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Accanto al QSA è integrato il QSAr, una versione ridotta del Questionario sulle Strategie di Apprendimento. Esso consente di ottenere una rappresentazione più sintetica delle principali modalità con cui lo studente affronta il proprio apprendimento. Anche in questo caso, Counselorbot restituisce il profilo in forma comprensibile, evidenzia i punti di forza e le aree suscettibili di sviluppo e guida l’utente nella riflessione sulle possibili strategie di miglioramento.</w:t>
      </w:r>
    </w:p>
    <w:p w:rsidR="00000000" w:rsidDel="00000000" w:rsidP="00000000" w:rsidRDefault="00000000" w:rsidRPr="00000000" w14:paraId="00000021">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Un ulteriore strumento è lo </w:t>
      </w:r>
      <w:r w:rsidDel="00000000" w:rsidR="00000000" w:rsidRPr="00000000">
        <w:rPr>
          <w:i w:val="1"/>
          <w:iCs w:val="1"/>
          <w:color w:val="000000"/>
          <w:rtl w:val="0"/>
        </w:rPr>
        <w:t xml:space="preserve">Zimbardo Time Perspective Inventory</w:t>
      </w:r>
      <w:r w:rsidDel="00000000" w:rsidR="00000000" w:rsidRPr="00000000">
        <w:rPr>
          <w:color w:val="000000"/>
          <w:rtl w:val="0"/>
        </w:rPr>
        <w:t xml:space="preserve"> (ZTPI), attraverso il quale viene analizzato il rapporto dell’individuo con le dimensioni temporali del passato, del presente e del futuro. Le prospettive temporali possono incidere sulla capacità progettuale, sulle decisioni e sull’atteggiamento assunto verso il percorso formativo e professionale. Counselorbot supporta l’utente nell’interpretazione del proprio profilo temporale e lo aiuta a individuare le relazioni tra orientamento temporale, obiettivi personali e scelte future.</w:t>
      </w:r>
    </w:p>
    <w:p w:rsidR="00000000" w:rsidDel="00000000" w:rsidP="00000000" w:rsidRDefault="00000000" w:rsidRPr="00000000" w14:paraId="00000022">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Per QSA, QSAr e ZTPI, l’interfaccia richiede l’inserimento dei risultati e restituisce una rappresentazione grafica del profilo. Il grafico a barre utilizza una codifica cromatica nella quale il verde identifica i punti di forza, il giallo i risultati collocati nella fascia intermedia e il rosso le possibili aree di crescita. La visualizzazione grafica non sostituisce l’interpretazione, ma offre una prima rappresentazione sintetica del profilo, che viene successivamente approfondita attraverso il dialogo guidato.</w:t>
      </w:r>
    </w:p>
    <w:p w:rsidR="00000000" w:rsidDel="00000000" w:rsidP="00000000" w:rsidRDefault="00000000" w:rsidRPr="00000000" w14:paraId="00000023">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Ai questionari si affiancano due strumenti aggiuntivi, caratterizzati da finalità e modalità di funzionamento differenti. Il primo è la </w:t>
      </w:r>
      <w:r w:rsidDel="00000000" w:rsidR="00000000" w:rsidRPr="00000000">
        <w:rPr>
          <w:i w:val="1"/>
          <w:iCs w:val="1"/>
          <w:color w:val="000000"/>
          <w:rtl w:val="0"/>
        </w:rPr>
        <w:t xml:space="preserve">Career Counseling Interview</w:t>
      </w:r>
      <w:r w:rsidDel="00000000" w:rsidR="00000000" w:rsidRPr="00000000">
        <w:rPr>
          <w:color w:val="000000"/>
          <w:rtl w:val="0"/>
        </w:rPr>
        <w:t xml:space="preserve"> di Savickas, un colloquio narrativo finalizzato a esplorare le esperienze, gli interessi, i modelli di riferimento e le aspirazioni dell’utente. Dopo la selezione dello strumento, il sistema avvia il colloquio e propone cinque domande qualitative, alle quali il modello linguistico può far seguire ulteriori richieste di approfondimento. Al termine dell’interazione, Counselorbot elabora una sintesi narrativa orientata alla ricostruzione dell’identità professionale e all’individuazione dei principali temi di vita emersi.</w:t>
      </w:r>
    </w:p>
    <w:p w:rsidR="00000000" w:rsidDel="00000000" w:rsidP="00000000" w:rsidRDefault="00000000" w:rsidRPr="00000000" w14:paraId="00000024">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Il secondo strumento aggiuntivo è il modulo di </w:t>
      </w:r>
      <w:r w:rsidDel="00000000" w:rsidR="00000000" w:rsidRPr="00000000">
        <w:rPr>
          <w:i w:val="1"/>
          <w:iCs w:val="1"/>
          <w:color w:val="000000"/>
          <w:rtl w:val="0"/>
        </w:rPr>
        <w:t xml:space="preserve">Question-Based Learning</w:t>
      </w:r>
      <w:r w:rsidDel="00000000" w:rsidR="00000000" w:rsidRPr="00000000">
        <w:rPr>
          <w:color w:val="000000"/>
          <w:rtl w:val="0"/>
        </w:rPr>
        <w:t xml:space="preserve"> (PQBL), basato sulla metodologia proposta da Jemstedt e Bälter. In questo caso, l’interfaccia richiede il caricamento di un documento didattico in formato PDF. Il sistema ne trasforma il contenuto in un percorso interattivo fondato su domande e feedback. Il testo non viene quindi proposto soltanto come materiale da leggere, ma diventa la base di un’attività di apprendimento attivo, nella quale l’utente è chiamato a recuperare, rielaborare e applicare le informazioni contenute nel documento.</w:t>
      </w:r>
    </w:p>
    <w:p w:rsidR="00000000" w:rsidDel="00000000" w:rsidP="00000000" w:rsidRDefault="00000000" w:rsidRPr="00000000" w14:paraId="00000025">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L’architettura modulare di Counselorbot è stata progettata in modo da consentire la futura integrazione di ulteriori questionari, interviste e strumenti di supporto all’orientamento e all’apprendimento.</w:t>
      </w:r>
    </w:p>
    <w:bookmarkStart w:colFirst="0" w:colLast="0" w:name="bookmark=id.ow1pdrfdau5w" w:id="8"/>
    <w:bookmarkEnd w:id="8"/>
    <w:p w:rsidR="00000000" w:rsidDel="00000000" w:rsidP="00000000" w:rsidRDefault="00000000" w:rsidRPr="00000000" w14:paraId="00000026">
      <w:pPr>
        <w:pStyle w:val="Heading3"/>
        <w:rPr/>
      </w:pPr>
      <w:r w:rsidDel="00000000" w:rsidR="00000000" w:rsidRPr="00000000">
        <w:rPr>
          <w:rtl w:val="0"/>
          <w:color w:val="000000"/>
        </w:rPr>
        <w:t xml:space="preserve">2.2 Passi guidati e flussi di interazione</w:t>
      </w:r>
    </w:p>
    <w:p w:rsidR="00000000" w:rsidDel="00000000" w:rsidP="00000000" w:rsidRDefault="00000000" w:rsidRPr="00000000" w14:paraId="00000027">
      <w:pPr>
        <w:rPr/>
        <w:jc w:val="both"/>
      </w:pPr>
      <w:r w:rsidDel="00000000" w:rsidR="00000000" w:rsidRPr="00000000">
        <w:rPr>
          <w:rtl w:val="0"/>
        </w:rPr>
        <w:t xml:space="preserve">Il principio organizzativo centrale di Counselorbot è rappresentato dai passi guidati (</w:t>
      </w:r>
      <w:r w:rsidDel="00000000" w:rsidR="00000000" w:rsidRPr="00000000">
        <w:rPr>
          <w:i w:val="1"/>
          <w:iCs w:val="1"/>
          <w:rtl w:val="0"/>
        </w:rPr>
        <w:t xml:space="preserve">guided steps</w:t>
      </w:r>
      <w:r w:rsidDel="00000000" w:rsidR="00000000" w:rsidRPr="00000000">
        <w:rPr>
          <w:rtl w:val="0"/>
        </w:rPr>
        <w:t xml:space="preserve">), ossia sequenze predefinite che determinano l’ordine delle diverse fasi del dialogo. A ciascun passo è associato uno specifico meta-prompt, nel quale vengono definiti l’obiettivo della fase, le informazioni da prendere in considerazione e il tipo di risposta che il modello linguistico deve produrre. Questa struttura permette di affrontare sistematicamente tutti gli ambiti previsti dallo strumento selezionato, riducendo il rischio che alcune dimensioni vengano trascurate.</w:t>
      </w:r>
    </w:p>
    <w:p w:rsidR="00000000" w:rsidDel="00000000" w:rsidP="00000000" w:rsidRDefault="00000000" w:rsidRPr="00000000" w14:paraId="00000028">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All’interno di ciascun passo, tuttavia, il modello linguistico mantiene la flessibilità necessaria per adattare il linguaggio, gli esempi, le domande e il livello di approfondimento alle risposte dell’utente. Counselorbot realizza così una modalità di interazione ibrida, nella quale il controllo deterministico del percorso si combina con l’adattività conversazionale dell’LLM. L’interfaccia conversazionale presenta progressivamente le domande, le interpretazioni e le strategie associate a ciascun passo. L’utente può chiedere chiarimenti, richiedere esempi o soffermarsi su uno specifico argomento prima di proseguire.</w:t>
      </w:r>
    </w:p>
    <w:p w:rsidR="00000000" w:rsidDel="00000000" w:rsidP="00000000" w:rsidRDefault="00000000" w:rsidRPr="00000000" w14:paraId="00000029">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Poiché gli strumenti integrati presentano caratteristiche differenti, il sistema non applica un unico flusso indistinto, ma adotta percorsi specifici per i questionari, per la </w:t>
      </w:r>
      <w:r w:rsidDel="00000000" w:rsidR="00000000" w:rsidRPr="00000000">
        <w:rPr>
          <w:i w:val="1"/>
          <w:iCs w:val="1"/>
          <w:color w:val="000000"/>
          <w:rtl w:val="0"/>
        </w:rPr>
        <w:t xml:space="preserve">Career Counseling Interview</w:t>
      </w:r>
      <w:r w:rsidDel="00000000" w:rsidR="00000000" w:rsidRPr="00000000">
        <w:rPr>
          <w:color w:val="000000"/>
          <w:rtl w:val="0"/>
        </w:rPr>
        <w:t xml:space="preserve"> e per il </w:t>
      </w:r>
      <w:r w:rsidDel="00000000" w:rsidR="00000000" w:rsidRPr="00000000">
        <w:rPr>
          <w:i w:val="1"/>
          <w:iCs w:val="1"/>
          <w:color w:val="000000"/>
          <w:rtl w:val="0"/>
        </w:rPr>
        <w:t xml:space="preserve">Question-Based Learning</w:t>
      </w:r>
      <w:r w:rsidDel="00000000" w:rsidR="00000000" w:rsidRPr="00000000">
        <w:rPr>
          <w:color w:val="000000"/>
          <w:rtl w:val="0"/>
        </w:rPr>
        <w:t xml:space="preserve">. Nel caso dei questionari QSA, QSAr e ZTPI, il percorso ha inizio con l’inserimento dei punteggi. Il sistema elabora quindi il profilo e ne presenta una prima visualizzazione grafica. Successivamente prende avvio l’analisi guidata dei risultati, durante la quale l’utente può approfondire liberamente ciascun fattore prima di passare al successivo. L’interpretazione dei questionari si sviluppa secondo due modalità complementari. La prima è analitica ed è dedicata all’esame progressivo dei singoli fattori. Per ciascuna dimensione, Counselorbot presenta il risultato, ne chiarisce il significato, formula eventuali domande di approfondimento e propone strategie personalizzate. La seconda modalità è sintetica e mette in relazione le diverse componenti del profilo, facendo emergere le connessioni tra aspetti cognitivi, metacognitivi, affettivi, motivazionali e volitivi. In questo modo, il sistema non si limita a restituire una serie di punteggi isolati, ma favorisce la costruzione di una rappresentazione unitaria del funzionamento dello studente. Al termine dell’analisi, Counselorbot propone una sintesi complessiva dei principali punti di forza, delle aree suscettibili di sviluppo e delle strategie emerse durante il dialogo. L’utente può quindi selezionare e salvare le indicazioni considerate maggiormente significative.</w:t>
      </w:r>
    </w:p>
    <w:p w:rsidR="00000000" w:rsidDel="00000000" w:rsidP="00000000" w:rsidRDefault="00000000" w:rsidRPr="00000000" w14:paraId="0000002A">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La </w:t>
      </w:r>
      <w:r w:rsidDel="00000000" w:rsidR="00000000" w:rsidRPr="00000000">
        <w:rPr>
          <w:i w:val="1"/>
          <w:iCs w:val="1"/>
          <w:color w:val="000000"/>
          <w:rtl w:val="0"/>
        </w:rPr>
        <w:t xml:space="preserve">Career Counseling Interview</w:t>
      </w:r>
      <w:r w:rsidDel="00000000" w:rsidR="00000000" w:rsidRPr="00000000">
        <w:rPr>
          <w:color w:val="000000"/>
          <w:rtl w:val="0"/>
        </w:rPr>
        <w:t xml:space="preserve"> segue invece un percorso qualitativo e narrativo. In questo modulo non vengono inseriti punteggi e non viene elaborato un profilo psicometrico. Il sistema presenta progressivamente le cinque domande previste dal protocollo, analizza le risposte dell’utente e può formulare ulteriori domande per approfondire gli elementi più significativi. Pur mantenendo la sequenza generale stabilita, il modello linguistico adatta il dialogo ai contenuti emersi. Al termine dell’intervista, Counselorbot individua i temi ricorrenti e li integra in una sintesi narrativa relativa agli interessi, ai modelli di riferimento, alle aspirazioni e alla costruzione dell’identità professionale.</w:t>
      </w:r>
    </w:p>
    <w:p w:rsidR="00000000" w:rsidDel="00000000" w:rsidP="00000000" w:rsidRDefault="00000000" w:rsidRPr="00000000" w14:paraId="0000002B">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Il modulo di </w:t>
      </w:r>
      <w:r w:rsidDel="00000000" w:rsidR="00000000" w:rsidRPr="00000000">
        <w:rPr>
          <w:i w:val="1"/>
          <w:iCs w:val="1"/>
          <w:color w:val="000000"/>
          <w:rtl w:val="0"/>
        </w:rPr>
        <w:t xml:space="preserve">Question-Based Learning</w:t>
      </w:r>
      <w:r w:rsidDel="00000000" w:rsidR="00000000" w:rsidRPr="00000000">
        <w:rPr>
          <w:color w:val="000000"/>
          <w:rtl w:val="0"/>
        </w:rPr>
        <w:t xml:space="preserve"> segue un terzo flusso, specificamente orientato all’apprendimento attivo. Dopo il caricamento del documento in formato PDF, il sistema ne analizza e segmenta il contenuto, genera una sequenza di domande e le presenta progressivamente all’utente. Dopo ciascuna risposta, Counselorbot restituisce un feedback, propone eventuali chiarimenti e può adattare la difficoltà o il livello di approfondimento delle domande successive. Il percorso rimane ancorato ai contenuti del documento e si conclude con una sintesi dell’attività svolta e degli aspetti principali affrontati.</w:t>
      </w:r>
    </w:p>
    <w:bookmarkStart w:colFirst="0" w:colLast="0" w:name="bookmark=id.drn9rmgrhejl" w:id="9"/>
    <w:bookmarkEnd w:id="9"/>
    <w:p w:rsidR="00000000" w:rsidDel="00000000" w:rsidP="00000000" w:rsidRDefault="00000000" w:rsidRPr="00000000" w14:paraId="0000002C">
      <w:pPr>
        <w:pStyle w:val="Heading3"/>
        <w:rPr/>
      </w:pPr>
      <w:r w:rsidDel="00000000" w:rsidR="00000000" w:rsidRPr="00000000">
        <w:rPr>
          <w:rtl w:val="0"/>
          <w:color w:val="000000"/>
        </w:rPr>
        <w:t xml:space="preserve">2.3 Infrastruttura hardware</w:t>
      </w:r>
    </w:p>
    <w:p w:rsidR="00000000" w:rsidDel="00000000" w:rsidP="00000000" w:rsidRDefault="00000000" w:rsidRPr="00000000" w14:paraId="0000002D">
      <w:pPr>
        <w:rPr/>
        <w:jc w:val="both"/>
      </w:pPr>
      <w:r w:rsidDel="00000000" w:rsidR="00000000" w:rsidRPr="00000000">
        <w:rPr>
          <w:rtl w:val="0"/>
        </w:rPr>
        <w:t xml:space="preserve">Counselorbot è eseguito su una workstation ad alte prestazioni, configurata per gestire localmente modelli linguistici e carichi computazionali intensivi. La macchina è dotata di un processore AMD Ryzen Threadripper 7980X con 64 core e 128 thread, di 256 GB di memoria RAM e di una GPU NVIDIA RTX 5090. La realizzazione dell’infrastruttura ha richiesto un investimento iniziale di circa 13.000 euro. La scelta di un’infrastruttura locale risponde innanzitutto all’esigenza di tutelare la riservatezza dei dati, poiché consente di ridurre il trasferimento delle conversazioni e delle informazioni degli utenti verso servizi esterni. Inoltre, permette di mantenere una maggiore indipendenza dai provider commerciali di intelligenza artificiale, evitando che il funzionamento del sistema dipenda esclusivamente dalla disponibilità, dai costi o dalle modifiche delle API esterne. Infine, l’investimento iniziale può contribuire alla sostenibilità economica nel medio e lungo periodo, soprattutto in presenza di un numero elevato di interazioni.</w:t>
      </w:r>
    </w:p>
    <w:bookmarkStart w:colFirst="0" w:colLast="0" w:name="bookmark=id.z8tz5v9likld" w:id="10"/>
    <w:bookmarkEnd w:id="10"/>
    <w:p w:rsidR="00000000" w:rsidDel="00000000" w:rsidP="00000000" w:rsidRDefault="00000000" w:rsidRPr="00000000" w14:paraId="0000002E">
      <w:pPr>
        <w:pStyle w:val="Heading3"/>
        <w:rPr/>
      </w:pPr>
      <w:r w:rsidDel="00000000" w:rsidR="00000000" w:rsidRPr="00000000">
        <w:rPr>
          <w:rtl w:val="0"/>
          <w:color w:val="000000"/>
        </w:rPr>
        <w:t xml:space="preserve">2.4 Software</w:t>
      </w:r>
    </w:p>
    <w:p w:rsidR="00000000" w:rsidDel="00000000" w:rsidP="00000000" w:rsidRDefault="00000000" w:rsidRPr="00000000" w14:paraId="0000002F">
      <w:pPr>
        <w:rPr/>
        <w:jc w:val="both"/>
      </w:pPr>
      <w:r w:rsidDel="00000000" w:rsidR="00000000" w:rsidRPr="00000000">
        <w:rPr>
          <w:rtl w:val="0"/>
        </w:rPr>
        <w:t xml:space="preserve">Il software di Counselorbot comprende il sistema di gestione dei modelli linguistici, i meccanismi di recupero delle conoscenze e della memoria e le funzioni di registrazione e analisi delle interazioni.</w:t>
      </w:r>
    </w:p>
    <w:bookmarkStart w:colFirst="0" w:colLast="0" w:name="bookmark=id.j287y2v0wgf2" w:id="11"/>
    <w:bookmarkEnd w:id="11"/>
    <w:p w:rsidR="00000000" w:rsidDel="00000000" w:rsidP="00000000" w:rsidRDefault="00000000" w:rsidRPr="00000000" w14:paraId="00000030">
      <w:pPr>
        <w:pStyle w:val="Heading4"/>
        <w:rPr/>
      </w:pPr>
      <w:r w:rsidDel="00000000" w:rsidR="00000000" w:rsidRPr="00000000">
        <w:rPr>
          <w:rtl w:val="0"/>
          <w:color w:val="000000"/>
        </w:rPr>
        <w:t xml:space="preserve">2.4.1 Modelli linguistici</w:t>
      </w:r>
    </w:p>
    <w:p w:rsidR="00000000" w:rsidDel="00000000" w:rsidP="00000000" w:rsidRDefault="00000000" w:rsidRPr="00000000" w14:paraId="00000031">
      <w:pPr>
        <w:rPr/>
        <w:jc w:val="both"/>
      </w:pPr>
      <w:r w:rsidDel="00000000" w:rsidR="00000000" w:rsidRPr="00000000">
        <w:rPr>
          <w:rtl w:val="0"/>
        </w:rPr>
        <w:t xml:space="preserve">Per la gestione dei modelli linguistici, Counselorbot utilizza Ollama, uno strumento che consente l’esecuzione locale ed efficiente di modelli open-source. Durante la fase di sviluppo, la scelta si è orientata verso modelli con un numero di parametri inferiore a 15 miliardi, per garantire un equilibrio ottimale tra prestazioni e sostenibilità dell’infrastruttura locale. Sono stati testati modelli appartenenti a diverse famiglie, tra cui Gemma (nelle varianti da 2B, 4B e 12B parametri), DeepSeek-R1-Distill 8B e Qwen 3.5 9B.</w:t>
      </w:r>
    </w:p>
    <w:bookmarkStart w:colFirst="0" w:colLast="0" w:name="bookmark=id.9sfcszdbo0rw" w:id="12"/>
    <w:bookmarkEnd w:id="12"/>
    <w:p w:rsidR="00000000" w:rsidDel="00000000" w:rsidP="00000000" w:rsidRDefault="00000000" w:rsidRPr="00000000" w14:paraId="00000032">
      <w:pPr>
        <w:pStyle w:val="Heading4"/>
        <w:rPr/>
      </w:pPr>
      <w:r w:rsidDel="00000000" w:rsidR="00000000" w:rsidRPr="00000000">
        <w:rPr>
          <w:rtl w:val="0"/>
          <w:color w:val="000000"/>
        </w:rPr>
        <w:t xml:space="preserve">2.4.2 Recupero delle conoscenze e gestione della memoria</w:t>
      </w:r>
    </w:p>
    <w:p w:rsidR="00000000" w:rsidDel="00000000" w:rsidP="00000000" w:rsidRDefault="00000000" w:rsidRPr="00000000" w14:paraId="00000033">
      <w:pPr>
        <w:rPr/>
        <w:jc w:val="both"/>
      </w:pPr>
      <w:r w:rsidDel="00000000" w:rsidR="00000000" w:rsidRPr="00000000">
        <w:rPr>
          <w:rtl w:val="0"/>
        </w:rPr>
        <w:t xml:space="preserve">Counselorbot utilizza diversi meccanismi per recuperare le informazioni rilevanti e mantenere la continuità delle interazioni. Tali meccanismi comprendono la memoria di sessione, la base di conoscenza, il grafo della conoscenza e una memoria condivisa delle risposte. La memoria di sessione conserva le informazioni emerse nel corso della singola conversazione. In questo modo, il sistema può ricordare i risultati, le risposte dell’utente e le strategie già discusse, evitando ripetizioni e garantendo coerenza tra le diverse fasi del percorso. 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maggiormente pertinenti rispetto al fattore, al punteggio e alle informazioni fornite dallo studente. Le informazioni recuperate vengono inserite nel contesto del modello linguistico e impiegate per generare la risposta. Questa soluzione consente agli amministratori di ampliare o aggiornare la base di conoscenza senza dover intervenire manualmente sui prompt. Il grafo della conoscenza collega tra loro gli strumenti, i fattori, le strategie e i riferimenti teorici. Tale struttura permette di estendere la ricerca documentale anche ai concetti semanticamente vicini, superando una corrispondenza esclusivamente letterale tra i termini utilizzati dall’utente e quelli presenti nei contenuti indicizzati. A questi meccanismi si aggiunge una memoria condivisa delle risposte. Quando un utente valuta positivamente una risposta dell’assistente, questa può essere conservata e utilizzata come riferimento per domande analoghe formulate in sessioni successive. Le risposte precedenti non vengono necessariamente riproposte in forma identica, ma possono essere recuperate come esempi utili alla produzione di nuove risposte. Si introduce così un meccanismo di apprendimento collettivo, nel quale le interazioni considerate efficaci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bookmarkStart w:colFirst="0" w:colLast="0" w:name="bookmark=id.dnt6xbps1xqt" w:id="13"/>
    <w:bookmarkEnd w:id="13"/>
    <w:p w:rsidR="00000000" w:rsidDel="00000000" w:rsidP="00000000" w:rsidRDefault="00000000" w:rsidRPr="00000000" w14:paraId="00000034">
      <w:pPr>
        <w:pStyle w:val="Heading4"/>
        <w:rPr/>
      </w:pPr>
      <w:r w:rsidDel="00000000" w:rsidR="00000000" w:rsidRPr="00000000">
        <w:rPr>
          <w:rtl w:val="0"/>
          <w:color w:val="000000"/>
        </w:rPr>
        <w:t xml:space="preserve">2.4.3 Gestione delle interazioni e anonimizzazione</w:t>
      </w:r>
    </w:p>
    <w:p w:rsidR="00000000" w:rsidDel="00000000" w:rsidP="00000000" w:rsidRDefault="00000000" w:rsidRPr="00000000" w14:paraId="00000035">
      <w:pPr>
        <w:rPr/>
        <w:jc w:val="both"/>
      </w:pPr>
      <w:r w:rsidDel="00000000" w:rsidR="00000000" w:rsidRPr="00000000">
        <w:rPr>
          <w:rtl w:val="0"/>
        </w:rPr>
        <w:t xml:space="preserve">Le interazioni vengono registrate in un archivio consultabile dagli amministratori. Tale archivio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rendere possibile lo studio aggregato delle strategie maggiormente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bookmarkStart w:colFirst="0" w:colLast="0" w:name="bookmark=id.fxmpy8u0zue5" w:id="14"/>
    <w:bookmarkEnd w:id="14"/>
    <w:p w:rsidR="00000000" w:rsidDel="00000000" w:rsidP="00000000" w:rsidRDefault="00000000" w:rsidRPr="00000000" w14:paraId="00000036">
      <w:pPr>
        <w:pStyle w:val="Heading3"/>
        <w:rPr/>
      </w:pPr>
      <w:r w:rsidDel="00000000" w:rsidR="00000000" w:rsidRPr="00000000">
        <w:rPr>
          <w:rtl w:val="0"/>
          <w:color w:val="000000"/>
        </w:rPr>
        <w:t xml:space="preserve">2.5 Struttura del sistema</w:t>
      </w:r>
    </w:p>
    <w:p w:rsidR="00000000" w:rsidDel="00000000" w:rsidP="00000000" w:rsidRDefault="00000000" w:rsidRPr="00000000" w14:paraId="00000037">
      <w:pPr>
        <w:rPr/>
        <w:jc w:val="both"/>
      </w:pPr>
      <w:r w:rsidDel="00000000" w:rsidR="00000000" w:rsidRPr="00000000">
        <w:rPr>
          <w:rtl w:val="0"/>
        </w:rPr>
        <w:t xml:space="preserve">L’architettura applicativa di Counselorbot si articola in quattro componenti principali: frontend, backend, database e livello di astrazione dei modelli linguistici. 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 Il backend gestisce la logica applicativa e coordina le differenti componenti del sistema. Esso espone i servizi relativi alla chat, ai questionari, ai passi guidati, alla memoria, alla base di conoscenza e alle funzioni amministrative. Durante l’interazione, il backend individua il passo corrente, seleziona il meta-prompt corrispondente, recupera le informazioni pertinenti e costruisce il contesto da inviare al modello linguistico. Successivamente riceve la risposta generata, la restituisce all’interfaccia e aggiorna la memoria della sessione. Il database relazionale conserva le configurazioni necessarie al funzionamento della piattaforma. Al suo interno sono registrati gli strumenti disponibili, la struttura dei questionari, i fattori, gli item, le scale, le stanine, i prompt, i meta-prompt, i passi guidati, le strategie, le configurazioni dei modelli, la memoria delle sessioni e le interazioni archiviate. Counselorbot non si limita quindi a ricevere punteggi esterni, ma dispone di una rappresentazione strutturata dei questionari e può interpretarli in relazione alle loro caratteristiche. Il livello di astrazione dei modelli linguistici mette infine in comunicazione il backend con i diversi provider di intelligenza artificiale. Attraverso un’interfaccia comune, esso gestisce l’invio dei prompt, la ricezione delle risposte e i parametri di generazione. Questa componente rende Counselorbot indipendente dal singolo modello e consente di utilizzare sia modelli eseguiti localmente mediante Ollama sia eventuali servizi remoti. L’organizzazione complessiva separa dunque i contenuti educativi, la logica dei percorsi, l’interfaccia utente e il modello linguistico. Tale separazione permette di aggiornare ed estendere Counselorbot intervenendo sulle singole componenti, senza dover riprogettare l’intero sistema.</w:t>
      </w:r>
    </w:p>
    <w:bookmarkStart w:colFirst="0" w:colLast="0" w:name="bookmark=id.e3m32ergirwg" w:id="15"/>
    <w:bookmarkEnd w:id="15"/>
    <w:p w:rsidR="00000000" w:rsidDel="00000000" w:rsidP="00000000" w:rsidRDefault="00000000" w:rsidRPr="00000000" w14:paraId="00000038">
      <w:pPr>
        <w:pStyle w:val="Heading2"/>
        <w:rPr/>
      </w:pPr>
      <w:r w:rsidDel="00000000" w:rsidR="00000000" w:rsidRPr="00000000">
        <w:rPr>
          <w:rtl w:val="0"/>
          <w:color w:val="000000"/>
        </w:rPr>
        <w:t xml:space="preserve">3. Metodologia di valutazione</w:t>
      </w:r>
    </w:p>
    <w:bookmarkStart w:colFirst="0" w:colLast="0" w:name="bookmark=id.j4h9s4fmin7l" w:id="16"/>
    <w:bookmarkEnd w:id="16"/>
    <w:p w:rsidR="00000000" w:rsidDel="00000000" w:rsidP="00000000" w:rsidRDefault="00000000" w:rsidRPr="00000000" w14:paraId="00000039">
      <w:pPr>
        <w:pStyle w:val="Heading3"/>
        <w:rPr/>
      </w:pPr>
      <w:r w:rsidDel="00000000" w:rsidR="00000000" w:rsidRPr="00000000">
        <w:rPr>
          <w:rtl w:val="0"/>
          <w:color w:val="000000"/>
        </w:rPr>
        <w:t xml:space="preserve">3.1 Disegno della ricerca</w:t>
      </w:r>
    </w:p>
    <w:p w:rsidR="00000000" w:rsidDel="00000000" w:rsidP="00000000" w:rsidRDefault="00000000" w:rsidRPr="00000000" w14:paraId="0000003A">
      <w:pPr>
        <w:rPr/>
        <w:jc w:val="both"/>
      </w:pPr>
      <w:r w:rsidDel="00000000" w:rsidR="00000000" w:rsidRPr="00000000">
        <w:rPr>
          <w:rtl w:val="0"/>
        </w:rPr>
        <w:t xml:space="preserve">Per valutare il sistema descritto nel § 2 è stato adottato un disegno di ricerca articolato secondo il modello ADDIE (Branch, 2009). L’acronimo identifica cinque fasi iterative: </w:t>
      </w:r>
      <w:r w:rsidDel="00000000" w:rsidR="00000000" w:rsidRPr="00000000">
        <w:rPr>
          <w:i w:val="1"/>
          <w:iCs w:val="1"/>
          <w:rtl w:val="0"/>
        </w:rPr>
        <w:t xml:space="preserve">Analysis</w:t>
      </w:r>
      <w:r w:rsidDel="00000000" w:rsidR="00000000" w:rsidRPr="00000000">
        <w:rPr>
          <w:rtl w:val="0"/>
        </w:rPr>
        <w:t xml:space="preserve">, relativa all’analisi dei bisogni formativi e del contesto; </w:t>
      </w:r>
      <w:r w:rsidDel="00000000" w:rsidR="00000000" w:rsidRPr="00000000">
        <w:rPr>
          <w:i w:val="1"/>
          <w:iCs w:val="1"/>
          <w:rtl w:val="0"/>
        </w:rPr>
        <w:t xml:space="preserve">Design</w:t>
      </w:r>
      <w:r w:rsidDel="00000000" w:rsidR="00000000" w:rsidRPr="00000000">
        <w:rPr>
          <w:rtl w:val="0"/>
        </w:rPr>
        <w:t xml:space="preserve">, dedicata alla progettazione dell’architettura e delle modalità di interazione; </w:t>
      </w:r>
      <w:r w:rsidDel="00000000" w:rsidR="00000000" w:rsidRPr="00000000">
        <w:rPr>
          <w:i w:val="1"/>
          <w:iCs w:val="1"/>
          <w:rtl w:val="0"/>
        </w:rPr>
        <w:t xml:space="preserve">Development</w:t>
      </w:r>
      <w:r w:rsidDel="00000000" w:rsidR="00000000" w:rsidRPr="00000000">
        <w:rPr>
          <w:rtl w:val="0"/>
        </w:rPr>
        <w:t xml:space="preserve">, riguardante la realizzazione del sistema; </w:t>
      </w:r>
      <w:r w:rsidDel="00000000" w:rsidR="00000000" w:rsidRPr="00000000">
        <w:rPr>
          <w:i w:val="1"/>
          <w:iCs w:val="1"/>
          <w:rtl w:val="0"/>
        </w:rPr>
        <w:t xml:space="preserve">Implementation</w:t>
      </w:r>
      <w:r w:rsidDel="00000000" w:rsidR="00000000" w:rsidRPr="00000000">
        <w:rPr>
          <w:rtl w:val="0"/>
        </w:rPr>
        <w:t xml:space="preserve">, riferita al rilascio e all’utilizzo del sistema; ed </w:t>
      </w:r>
      <w:r w:rsidDel="00000000" w:rsidR="00000000" w:rsidRPr="00000000">
        <w:rPr>
          <w:i w:val="1"/>
          <w:iCs w:val="1"/>
          <w:rtl w:val="0"/>
        </w:rPr>
        <w:t xml:space="preserve">Evaluation</w:t>
      </w:r>
      <w:r w:rsidDel="00000000" w:rsidR="00000000" w:rsidRPr="00000000">
        <w:rPr>
          <w:rtl w:val="0"/>
        </w:rPr>
        <w:t xml:space="preserve">, finalizzata alla valutazione del suo funzionamento e dei risultati ottenuti. Il lavoro presentato in questo articolo si colloca nella fase di </w:t>
      </w:r>
      <w:r w:rsidDel="00000000" w:rsidR="00000000" w:rsidRPr="00000000">
        <w:rPr>
          <w:i w:val="1"/>
          <w:iCs w:val="1"/>
          <w:rtl w:val="0"/>
        </w:rPr>
        <w:t xml:space="preserve">Evaluation</w:t>
      </w:r>
      <w:r w:rsidDel="00000000" w:rsidR="00000000" w:rsidRPr="00000000">
        <w:rPr>
          <w:rtl w:val="0"/>
        </w:rPr>
        <w:t xml:space="preserve"> del secondo ciclo di sviluppo. Il primo ciclo ha portato alla realizzazione di Counselorbot-Chat (CB-C), una versione basata su un’architettura RAG (</w:t>
      </w:r>
      <w:r w:rsidDel="00000000" w:rsidR="00000000" w:rsidRPr="00000000">
        <w:rPr>
          <w:i w:val="1"/>
          <w:iCs w:val="1"/>
          <w:rtl w:val="0"/>
        </w:rPr>
        <w:t xml:space="preserve">Retrieval-Augmented Generation</w:t>
      </w:r>
      <w:r w:rsidDel="00000000" w:rsidR="00000000" w:rsidRPr="00000000">
        <w:rPr>
          <w:rtl w:val="0"/>
        </w:rPr>
        <w:t xml:space="preserve">) e su un </w:t>
      </w:r>
      <w:r w:rsidDel="00000000" w:rsidR="00000000" w:rsidRPr="00000000">
        <w:rPr>
          <w:i w:val="1"/>
          <w:iCs w:val="1"/>
          <w:rtl w:val="0"/>
        </w:rPr>
        <w:t xml:space="preserve">system prompt</w:t>
      </w:r>
      <w:r w:rsidDel="00000000" w:rsidR="00000000" w:rsidRPr="00000000">
        <w:rPr>
          <w:rtl w:val="0"/>
        </w:rPr>
        <w:t xml:space="preserve">. In tale configurazione, il modello linguistico rispondeva alle domande dello studente recuperando le informazioni pertinenti da documenti indicizzati in una memoria vettoriale, senza seguire una sequenza di interazione prestabilita. I risultati del primo ciclo, discussi nel § 4, hanno evidenziato alcune criticità, in particolare nella coerenza delle analisi prodotte e nelle modalità di inserimento manuale dei dati. Tali risultati hanno orientato un successivo processo di ottimizzazione e la progettazione di una nuova versione del sistema. Il secondo ciclo ha quindi condotto allo sviluppo di Step-by-Step Counselorbot (CB-SBS), che introduce una procedura guidata per passi, un grafo della conoscenza, l’indicizzazione semantica delle strategie e un’interfaccia ottimizzata per l’inserimento e la visualizzazione dei profili. La valutazione presentata in questo studio adotta un disegno comparativo </w:t>
      </w:r>
      <w:r w:rsidDel="00000000" w:rsidR="00000000" w:rsidRPr="00000000">
        <w:rPr>
          <w:i w:val="1"/>
          <w:iCs w:val="1"/>
          <w:rtl w:val="0"/>
        </w:rPr>
        <w:t xml:space="preserve">between-subjects</w:t>
      </w:r>
      <w:r w:rsidDel="00000000" w:rsidR="00000000" w:rsidRPr="00000000">
        <w:rPr>
          <w:rtl w:val="0"/>
        </w:rPr>
        <w:t xml:space="preserve"> tra le due versioni, CB-C e CB-SBS. Ciascun partecipante ha utilizzato una sola versione di Counselorbot e, al termine dell’interazione, ha compilato il questionario di gradimento descritto nel § 3.3.</w:t>
      </w:r>
    </w:p>
    <w:bookmarkStart w:colFirst="0" w:colLast="0" w:name="bookmark=id.7wkdxfqbwj35" w:id="17"/>
    <w:bookmarkEnd w:id="17"/>
    <w:p w:rsidR="00000000" w:rsidDel="00000000" w:rsidP="00000000" w:rsidRDefault="00000000" w:rsidRPr="00000000" w14:paraId="0000003B">
      <w:pPr>
        <w:pStyle w:val="Heading3"/>
        <w:rPr/>
      </w:pPr>
      <w:r w:rsidDel="00000000" w:rsidR="00000000" w:rsidRPr="00000000">
        <w:rPr>
          <w:rtl w:val="0"/>
          <w:color w:val="000000"/>
        </w:rPr>
        <w:t xml:space="preserve">3.2 Partecipanti e procedura</w:t>
      </w:r>
    </w:p>
    <w:p w:rsidR="00000000" w:rsidDel="00000000" w:rsidP="00000000" w:rsidRDefault="00000000" w:rsidRPr="00000000" w14:paraId="0000003C">
      <w:pPr>
        <w:rPr/>
        <w:jc w:val="both"/>
      </w:pPr>
      <w:r w:rsidDel="00000000" w:rsidR="00000000" w:rsidRPr="00000000">
        <w:rPr>
          <w:rtl w:val="0"/>
        </w:rPr>
        <w:t xml:space="preserve">Al momento della stesura dell’articolo, la raccolta dei dati è ancora in corso. Hanno completato la procedura 34 partecipanti: 7 hanno utilizzato la versione CB-SBS, mentre 27 hanno interagito con la versione precedente, CB-C. Il campione presenta una composizione eterogenea sia per età, compresa tra 14 e 53 anni, sia per livello di istruzione, che varia dalla scuola secondaria di primo grado alla laurea magistrale. La procedura prevedeva inizialmente la compilazione del Questionario sulle Strategie di Apprendimento (QSA). Successivamente, i partecipanti visualizzavano il proprio profilo e avviavano un’interazione con il chatbot articolata nell’analisi dei singoli fattori del questionario. Al termine del percorso veniva somministrato il questionario di gradimento.</w:t>
      </w:r>
    </w:p>
    <w:bookmarkStart w:colFirst="0" w:colLast="0" w:name="bookmark=id.cyvwkcjb0609" w:id="18"/>
    <w:bookmarkEnd w:id="18"/>
    <w:p w:rsidR="00000000" w:rsidDel="00000000" w:rsidP="00000000" w:rsidRDefault="00000000" w:rsidRPr="00000000" w14:paraId="0000003D">
      <w:pPr>
        <w:pStyle w:val="Heading3"/>
        <w:rPr/>
      </w:pPr>
      <w:r w:rsidDel="00000000" w:rsidR="00000000" w:rsidRPr="00000000">
        <w:rPr>
          <w:rtl w:val="0"/>
          <w:color w:val="000000"/>
        </w:rPr>
        <w:t xml:space="preserve">3.3 Strumenti e metriche</w:t>
      </w:r>
    </w:p>
    <w:p w:rsidR="00000000" w:rsidDel="00000000" w:rsidP="00000000" w:rsidRDefault="00000000" w:rsidRPr="00000000" w14:paraId="0000003E">
      <w:pPr>
        <w:rPr/>
        <w:jc w:val="both"/>
      </w:pPr>
      <w:r w:rsidDel="00000000" w:rsidR="00000000" w:rsidRPr="00000000">
        <w:rPr>
          <w:rtl w:val="0"/>
        </w:rPr>
        <w:t xml:space="preserve">Il questionario di gradimento è composto da dieci item relativi ad altrettanti aspetti dell’esperienza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riutilizzare il chatbot o di raccomandarlo ad altri. Per ciascun item viene calcolata la media aritmetica, separatamente per le due versioni del sistema. Gli item vengono analizzati singolarmente e non sono aggregati in sottoscale. Il questionario raccoglie inoltre informazioni sociodemografiche relative a età, sesso, titolo di studio, tipo di istituto frequentato e provenienza geografica. Nella versione estesa sono presenti anche due domande aperte, finalizzate a raccogliere osservazioni sull’esperienza e suggerimenti per il miglioramento del sistema. Le risposte vengono analizzate qualitativamente mediante una categorizzazione tematica.</w:t>
      </w:r>
    </w:p>
    <w:bookmarkStart w:colFirst="0" w:colLast="0" w:name="bookmark=id.3qtj4m174cws" w:id="19"/>
    <w:bookmarkEnd w:id="19"/>
    <w:p w:rsidR="00000000" w:rsidDel="00000000" w:rsidP="00000000" w:rsidRDefault="00000000" w:rsidRPr="00000000" w14:paraId="0000003F">
      <w:pPr>
        <w:pStyle w:val="Heading3"/>
        <w:rPr/>
      </w:pPr>
      <w:r w:rsidDel="00000000" w:rsidR="00000000" w:rsidRPr="00000000">
        <w:rPr>
          <w:rtl w:val="0"/>
          <w:color w:val="000000"/>
        </w:rPr>
        <w:t xml:space="preserve">3.4 Selezione e valutazione del modello linguistico locale</w:t>
      </w:r>
    </w:p>
    <w:p w:rsidR="00000000" w:rsidDel="00000000" w:rsidP="00000000" w:rsidRDefault="00000000" w:rsidRPr="00000000" w14:paraId="00000040">
      <w:pPr>
        <w:rPr/>
        <w:jc w:val="both"/>
      </w:pPr>
      <w:r w:rsidDel="00000000" w:rsidR="00000000" w:rsidRPr="00000000">
        <w:rPr>
          <w:rtl w:val="0"/>
        </w:rPr>
        <w:t xml:space="preserve">La selezione del modello linguistico locale è stata articolata in due fasi. In una prima fase sono stati esaminati i risultati pubblicamente disponibili di alcuni benchmark utilizzati per confrontare le prestazioni dei modelli linguistici in compiti di conoscenza generale, ragionamento avanzato e generazione di codice. In particolare, sono stati considerati i risultati ottenuti in MMLU-Pro, GPQA Diamond e LiveCodeBench. L’analisi di tali benchmark ha permesso di individuare i modelli con le prestazioni complessivamente più elevate tra quelli compatibili con i requisiti dell’infrastruttura locale.</w:t>
      </w:r>
    </w:p>
    <w:tbl>
      <w:tblPr>
        <w:tblStyle w:val="Table1"/>
        <w:tblW w:w="7920.0" w:type="dxa"/>
        <w:jc w:val="left"/>
        <w:tblInd w:w="-115.0" w:type="dxa"/>
        <w:tblLayout w:type="fixed"/>
        <w:tblLook w:val="0000"/>
      </w:tblPr>
      <w:tblGrid>
        <w:gridCol w:w="2112"/>
        <w:gridCol w:w="1320"/>
        <w:gridCol w:w="1232"/>
        <w:gridCol w:w="1584"/>
        <w:gridCol w:w="1672"/>
        <w:tblGridChange w:id="0">
          <w:tblGrid>
            <w:gridCol w:w="2112"/>
            <w:gridCol w:w="1320"/>
            <w:gridCol w:w="1232"/>
            <w:gridCol w:w="1584"/>
            <w:gridCol w:w="1672"/>
          </w:tblGrid>
        </w:tblGridChange>
      </w:tblGrid>
      <w:tr>
        <w:trPr>
          <w:cantSplit w:val="0"/>
          <w:tblHeader w:val="1"/>
        </w:trPr>
        <w:tc>
          <w:tcPr/>
          <w:p w:rsidR="00000000" w:rsidDel="00000000" w:rsidP="00000000" w:rsidRDefault="00000000" w:rsidRPr="00000000" w14:paraId="00000041">
            <w:pPr>
              <w:rPr/>
              <w:jc w:val="both"/>
            </w:pPr>
            <w:r w:rsidDel="00000000" w:rsidR="00000000" w:rsidRPr="00000000">
              <w:rPr>
                <w:b w:val="1"/>
                <w:bCs w:val="1"/>
                <w:rtl w:val="0"/>
              </w:rPr>
              <w:t xml:space="preserve">Modello</w:t>
            </w:r>
            <w:r w:rsidDel="00000000" w:rsidR="00000000" w:rsidRPr="00000000">
              <w:rPr>
                <w:rtl w:val="0"/>
              </w:rPr>
            </w:r>
          </w:p>
        </w:tc>
        <w:tc>
          <w:tcPr/>
          <w:p w:rsidR="00000000" w:rsidDel="00000000" w:rsidP="00000000" w:rsidRDefault="00000000" w:rsidRPr="00000000" w14:paraId="00000042">
            <w:pPr>
              <w:rPr/>
              <w:jc w:val="both"/>
            </w:pPr>
            <w:r w:rsidDel="00000000" w:rsidR="00000000" w:rsidRPr="00000000">
              <w:rPr>
                <w:b w:val="1"/>
                <w:bCs w:val="1"/>
                <w:rtl w:val="0"/>
              </w:rPr>
              <w:t xml:space="preserve">Parametri</w:t>
            </w:r>
            <w:r w:rsidDel="00000000" w:rsidR="00000000" w:rsidRPr="00000000">
              <w:rPr>
                <w:rtl w:val="0"/>
              </w:rPr>
            </w:r>
          </w:p>
        </w:tc>
        <w:tc>
          <w:tcPr/>
          <w:p w:rsidR="00000000" w:rsidDel="00000000" w:rsidP="00000000" w:rsidRDefault="00000000" w:rsidRPr="00000000" w14:paraId="00000043">
            <w:pPr>
              <w:rPr/>
              <w:jc w:val="both"/>
            </w:pPr>
            <w:r w:rsidDel="00000000" w:rsidR="00000000" w:rsidRPr="00000000">
              <w:rPr>
                <w:b w:val="1"/>
                <w:bCs w:val="1"/>
                <w:rtl w:val="0"/>
              </w:rPr>
              <w:t xml:space="preserve">MMLU-Pro</w:t>
            </w:r>
            <w:r w:rsidDel="00000000" w:rsidR="00000000" w:rsidRPr="00000000">
              <w:rPr>
                <w:rtl w:val="0"/>
              </w:rPr>
            </w:r>
          </w:p>
        </w:tc>
        <w:tc>
          <w:tcPr/>
          <w:p w:rsidR="00000000" w:rsidDel="00000000" w:rsidP="00000000" w:rsidRDefault="00000000" w:rsidRPr="00000000" w14:paraId="00000044">
            <w:pPr>
              <w:rPr/>
              <w:jc w:val="both"/>
            </w:pPr>
            <w:r w:rsidDel="00000000" w:rsidR="00000000" w:rsidRPr="00000000">
              <w:rPr>
                <w:b w:val="1"/>
                <w:bCs w:val="1"/>
                <w:rtl w:val="0"/>
              </w:rPr>
              <w:t xml:space="preserve">GPQA Diamond</w:t>
            </w:r>
            <w:r w:rsidDel="00000000" w:rsidR="00000000" w:rsidRPr="00000000">
              <w:rPr>
                <w:rtl w:val="0"/>
              </w:rPr>
            </w:r>
          </w:p>
        </w:tc>
        <w:tc>
          <w:tcPr/>
          <w:p w:rsidR="00000000" w:rsidDel="00000000" w:rsidP="00000000" w:rsidRDefault="00000000" w:rsidRPr="00000000" w14:paraId="00000045">
            <w:pPr>
              <w:rPr/>
              <w:jc w:val="both"/>
            </w:pPr>
            <w:r w:rsidDel="00000000" w:rsidR="00000000" w:rsidRPr="00000000">
              <w:rPr>
                <w:b w:val="1"/>
                <w:bCs w:val="1"/>
                <w:rtl w:val="0"/>
              </w:rPr>
              <w:t xml:space="preserve">LiveCodeBench</w:t>
            </w:r>
            <w:r w:rsidDel="00000000" w:rsidR="00000000" w:rsidRPr="00000000">
              <w:rPr>
                <w:rtl w:val="0"/>
              </w:rPr>
            </w:r>
          </w:p>
        </w:tc>
      </w:tr>
      <w:tr>
        <w:trPr>
          <w:cantSplit w:val="0"/>
          <w:tblHeader w:val="0"/>
        </w:trPr>
        <w:tc>
          <w:tcPr/>
          <w:p w:rsidR="00000000" w:rsidDel="00000000" w:rsidP="00000000" w:rsidRDefault="00000000" w:rsidRPr="00000000" w14:paraId="00000046">
            <w:pPr>
              <w:rPr/>
              <w:jc w:val="both"/>
            </w:pPr>
            <w:r w:rsidDel="00000000" w:rsidR="00000000" w:rsidRPr="00000000">
              <w:rPr>
                <w:rtl w:val="0"/>
              </w:rPr>
              <w:t xml:space="preserve">Gemma 4 4B</w:t>
            </w:r>
          </w:p>
        </w:tc>
        <w:tc>
          <w:tcPr/>
          <w:p w:rsidR="00000000" w:rsidDel="00000000" w:rsidP="00000000" w:rsidRDefault="00000000" w:rsidRPr="00000000" w14:paraId="00000047">
            <w:pPr>
              <w:rPr/>
              <w:jc w:val="both"/>
            </w:pPr>
            <w:r w:rsidDel="00000000" w:rsidR="00000000" w:rsidRPr="00000000">
              <w:rPr>
                <w:rtl w:val="0"/>
              </w:rPr>
              <w:t xml:space="preserve">4B</w:t>
            </w:r>
          </w:p>
        </w:tc>
        <w:tc>
          <w:tcPr/>
          <w:p w:rsidR="00000000" w:rsidDel="00000000" w:rsidP="00000000" w:rsidRDefault="00000000" w:rsidRPr="00000000" w14:paraId="00000048">
            <w:pPr>
              <w:rPr/>
              <w:jc w:val="both"/>
            </w:pPr>
            <w:r w:rsidDel="00000000" w:rsidR="00000000" w:rsidRPr="00000000">
              <w:rPr>
                <w:rtl w:val="0"/>
              </w:rPr>
              <w:t xml:space="preserve">69,4%</w:t>
            </w:r>
          </w:p>
        </w:tc>
        <w:tc>
          <w:tcPr/>
          <w:p w:rsidR="00000000" w:rsidDel="00000000" w:rsidP="00000000" w:rsidRDefault="00000000" w:rsidRPr="00000000" w14:paraId="00000049">
            <w:pPr>
              <w:rPr/>
              <w:jc w:val="both"/>
            </w:pPr>
            <w:r w:rsidDel="00000000" w:rsidR="00000000" w:rsidRPr="00000000">
              <w:rPr>
                <w:rtl w:val="0"/>
              </w:rPr>
              <w:t xml:space="preserve">58,6%</w:t>
            </w:r>
          </w:p>
        </w:tc>
        <w:tc>
          <w:tcPr/>
          <w:p w:rsidR="00000000" w:rsidDel="00000000" w:rsidP="00000000" w:rsidRDefault="00000000" w:rsidRPr="00000000" w14:paraId="0000004A">
            <w:pPr>
              <w:rPr/>
              <w:jc w:val="both"/>
            </w:pPr>
            <w:r w:rsidDel="00000000" w:rsidR="00000000" w:rsidRPr="00000000">
              <w:rPr>
                <w:rtl w:val="0"/>
              </w:rPr>
              <w:t xml:space="preserve">52,0%</w:t>
            </w:r>
          </w:p>
        </w:tc>
      </w:tr>
      <w:tr>
        <w:trPr>
          <w:cantSplit w:val="0"/>
          <w:tblHeader w:val="0"/>
        </w:trPr>
        <w:tc>
          <w:tcPr/>
          <w:p w:rsidR="00000000" w:rsidDel="00000000" w:rsidP="00000000" w:rsidRDefault="00000000" w:rsidRPr="00000000" w14:paraId="0000004B">
            <w:pPr>
              <w:rPr/>
              <w:jc w:val="both"/>
            </w:pPr>
            <w:r w:rsidDel="00000000" w:rsidR="00000000" w:rsidRPr="00000000">
              <w:rPr>
                <w:rtl w:val="0"/>
              </w:rPr>
              <w:t xml:space="preserve">Gemma 4 2B</w:t>
            </w:r>
          </w:p>
        </w:tc>
        <w:tc>
          <w:tcPr/>
          <w:p w:rsidR="00000000" w:rsidDel="00000000" w:rsidP="00000000" w:rsidRDefault="00000000" w:rsidRPr="00000000" w14:paraId="0000004C">
            <w:pPr>
              <w:rPr/>
              <w:jc w:val="both"/>
            </w:pPr>
            <w:r w:rsidDel="00000000" w:rsidR="00000000" w:rsidRPr="00000000">
              <w:rPr>
                <w:rtl w:val="0"/>
              </w:rPr>
              <w:t xml:space="preserve">2B</w:t>
            </w:r>
          </w:p>
        </w:tc>
        <w:tc>
          <w:tcPr/>
          <w:p w:rsidR="00000000" w:rsidDel="00000000" w:rsidP="00000000" w:rsidRDefault="00000000" w:rsidRPr="00000000" w14:paraId="0000004D">
            <w:pPr>
              <w:rPr/>
              <w:jc w:val="both"/>
            </w:pPr>
            <w:r w:rsidDel="00000000" w:rsidR="00000000" w:rsidRPr="00000000">
              <w:rPr>
                <w:rtl w:val="0"/>
              </w:rPr>
              <w:t xml:space="preserve">60,0%</w:t>
            </w:r>
          </w:p>
        </w:tc>
        <w:tc>
          <w:tcPr/>
          <w:p w:rsidR="00000000" w:rsidDel="00000000" w:rsidP="00000000" w:rsidRDefault="00000000" w:rsidRPr="00000000" w14:paraId="0000004E">
            <w:pPr>
              <w:rPr/>
              <w:jc w:val="both"/>
            </w:pPr>
            <w:r w:rsidDel="00000000" w:rsidR="00000000" w:rsidRPr="00000000">
              <w:rPr>
                <w:rtl w:val="0"/>
              </w:rPr>
              <w:t xml:space="preserve">43,4%</w:t>
            </w:r>
          </w:p>
        </w:tc>
        <w:tc>
          <w:tcPr/>
          <w:p w:rsidR="00000000" w:rsidDel="00000000" w:rsidP="00000000" w:rsidRDefault="00000000" w:rsidRPr="00000000" w14:paraId="0000004F">
            <w:pPr>
              <w:rPr/>
              <w:jc w:val="both"/>
            </w:pPr>
            <w:r w:rsidDel="00000000" w:rsidR="00000000" w:rsidRPr="00000000">
              <w:rPr>
                <w:rtl w:val="0"/>
              </w:rPr>
              <w:t xml:space="preserve">44,0%</w:t>
            </w:r>
          </w:p>
        </w:tc>
      </w:tr>
      <w:tr>
        <w:trPr>
          <w:cantSplit w:val="0"/>
          <w:tblHeader w:val="0"/>
        </w:trPr>
        <w:tc>
          <w:tcPr/>
          <w:p w:rsidR="00000000" w:rsidDel="00000000" w:rsidP="00000000" w:rsidRDefault="00000000" w:rsidRPr="00000000" w14:paraId="00000050">
            <w:pPr>
              <w:rPr/>
              <w:jc w:val="both"/>
            </w:pPr>
            <w:r w:rsidDel="00000000" w:rsidR="00000000" w:rsidRPr="00000000">
              <w:rPr>
                <w:rtl w:val="0"/>
              </w:rPr>
              <w:t xml:space="preserve">Gemma 4 12B</w:t>
            </w:r>
          </w:p>
        </w:tc>
        <w:tc>
          <w:tcPr/>
          <w:p w:rsidR="00000000" w:rsidDel="00000000" w:rsidP="00000000" w:rsidRDefault="00000000" w:rsidRPr="00000000" w14:paraId="00000051">
            <w:pPr>
              <w:rPr/>
              <w:jc w:val="both"/>
            </w:pPr>
            <w:r w:rsidDel="00000000" w:rsidR="00000000" w:rsidRPr="00000000">
              <w:rPr>
                <w:rtl w:val="0"/>
              </w:rPr>
              <w:t xml:space="preserve">12B</w:t>
            </w:r>
          </w:p>
        </w:tc>
        <w:tc>
          <w:tcPr/>
          <w:p w:rsidR="00000000" w:rsidDel="00000000" w:rsidP="00000000" w:rsidRDefault="00000000" w:rsidRPr="00000000" w14:paraId="00000052">
            <w:pPr>
              <w:rPr/>
              <w:jc w:val="both"/>
            </w:pPr>
            <w:r w:rsidDel="00000000" w:rsidR="00000000" w:rsidRPr="00000000">
              <w:rPr>
                <w:rtl w:val="0"/>
              </w:rPr>
              <w:t xml:space="preserve">77,2%</w:t>
            </w:r>
          </w:p>
        </w:tc>
        <w:tc>
          <w:tcPr/>
          <w:p w:rsidR="00000000" w:rsidDel="00000000" w:rsidP="00000000" w:rsidRDefault="00000000" w:rsidRPr="00000000" w14:paraId="00000053">
            <w:pPr>
              <w:rPr/>
              <w:jc w:val="both"/>
            </w:pPr>
            <w:r w:rsidDel="00000000" w:rsidR="00000000" w:rsidRPr="00000000">
              <w:rPr>
                <w:rtl w:val="0"/>
              </w:rPr>
              <w:t xml:space="preserve">78,8%</w:t>
            </w:r>
          </w:p>
        </w:tc>
        <w:tc>
          <w:tcPr/>
          <w:p w:rsidR="00000000" w:rsidDel="00000000" w:rsidP="00000000" w:rsidRDefault="00000000" w:rsidRPr="00000000" w14:paraId="00000054">
            <w:pPr>
              <w:rPr/>
              <w:jc w:val="both"/>
            </w:pPr>
            <w:r w:rsidDel="00000000" w:rsidR="00000000" w:rsidRPr="00000000">
              <w:rPr>
                <w:rtl w:val="0"/>
              </w:rPr>
              <w:t xml:space="preserve">72,0%</w:t>
            </w:r>
          </w:p>
        </w:tc>
      </w:tr>
      <w:tr>
        <w:trPr>
          <w:cantSplit w:val="0"/>
          <w:tblHeader w:val="0"/>
        </w:trPr>
        <w:tc>
          <w:tcPr/>
          <w:p w:rsidR="00000000" w:rsidDel="00000000" w:rsidP="00000000" w:rsidRDefault="00000000" w:rsidRPr="00000000" w14:paraId="00000055">
            <w:pPr>
              <w:rPr/>
              <w:jc w:val="both"/>
            </w:pPr>
            <w:r w:rsidDel="00000000" w:rsidR="00000000" w:rsidRPr="00000000">
              <w:rPr>
                <w:rtl w:val="0"/>
              </w:rPr>
              <w:t xml:space="preserve">DeepSeek-R1-Distill 8B</w:t>
            </w:r>
          </w:p>
        </w:tc>
        <w:tc>
          <w:tcPr/>
          <w:p w:rsidR="00000000" w:rsidDel="00000000" w:rsidP="00000000" w:rsidRDefault="00000000" w:rsidRPr="00000000" w14:paraId="00000056">
            <w:pPr>
              <w:rPr/>
              <w:jc w:val="both"/>
            </w:pPr>
            <w:r w:rsidDel="00000000" w:rsidR="00000000" w:rsidRPr="00000000">
              <w:rPr>
                <w:rtl w:val="0"/>
              </w:rPr>
              <w:t xml:space="preserve">8B</w:t>
            </w:r>
          </w:p>
        </w:tc>
        <w:tc>
          <w:tcPr/>
          <w:p w:rsidR="00000000" w:rsidDel="00000000" w:rsidP="00000000" w:rsidRDefault="00000000" w:rsidRPr="00000000" w14:paraId="00000057">
            <w:pPr>
              <w:rPr/>
              <w:jc w:val="both"/>
            </w:pPr>
            <w:r w:rsidDel="00000000" w:rsidR="00000000" w:rsidRPr="00000000">
              <w:rPr>
                <w:rtl w:val="0"/>
              </w:rPr>
              <w:t xml:space="preserve">—</w:t>
            </w:r>
          </w:p>
        </w:tc>
        <w:tc>
          <w:tcPr/>
          <w:p w:rsidR="00000000" w:rsidDel="00000000" w:rsidP="00000000" w:rsidRDefault="00000000" w:rsidRPr="00000000" w14:paraId="00000058">
            <w:pPr>
              <w:rPr/>
              <w:jc w:val="both"/>
            </w:pPr>
            <w:r w:rsidDel="00000000" w:rsidR="00000000" w:rsidRPr="00000000">
              <w:rPr>
                <w:rtl w:val="0"/>
              </w:rPr>
              <w:t xml:space="preserve">49,0%</w:t>
            </w:r>
          </w:p>
        </w:tc>
        <w:tc>
          <w:tcPr/>
          <w:p w:rsidR="00000000" w:rsidDel="00000000" w:rsidP="00000000" w:rsidRDefault="00000000" w:rsidRPr="00000000" w14:paraId="00000059">
            <w:pPr>
              <w:rPr/>
              <w:jc w:val="both"/>
            </w:pPr>
            <w:r w:rsidDel="00000000" w:rsidR="00000000" w:rsidRPr="00000000">
              <w:rPr>
                <w:rtl w:val="0"/>
              </w:rPr>
              <w:t xml:space="preserve">39,6%</w:t>
            </w:r>
          </w:p>
        </w:tc>
      </w:tr>
      <w:tr>
        <w:trPr>
          <w:cantSplit w:val="0"/>
          <w:tblHeader w:val="0"/>
        </w:trPr>
        <w:tc>
          <w:tcPr/>
          <w:p w:rsidR="00000000" w:rsidDel="00000000" w:rsidP="00000000" w:rsidRDefault="00000000" w:rsidRPr="00000000" w14:paraId="0000005A">
            <w:pPr>
              <w:rPr/>
              <w:jc w:val="both"/>
            </w:pPr>
            <w:r w:rsidDel="00000000" w:rsidR="00000000" w:rsidRPr="00000000">
              <w:rPr>
                <w:rtl w:val="0"/>
              </w:rPr>
              <w:t xml:space="preserve">Qwen 3.5 9B</w:t>
            </w:r>
          </w:p>
        </w:tc>
        <w:tc>
          <w:tcPr/>
          <w:p w:rsidR="00000000" w:rsidDel="00000000" w:rsidP="00000000" w:rsidRDefault="00000000" w:rsidRPr="00000000" w14:paraId="0000005B">
            <w:pPr>
              <w:rPr/>
              <w:jc w:val="both"/>
            </w:pPr>
            <w:r w:rsidDel="00000000" w:rsidR="00000000" w:rsidRPr="00000000">
              <w:rPr>
                <w:rtl w:val="0"/>
              </w:rPr>
              <w:t xml:space="preserve">9B</w:t>
            </w:r>
          </w:p>
        </w:tc>
        <w:tc>
          <w:tcPr/>
          <w:p w:rsidR="00000000" w:rsidDel="00000000" w:rsidP="00000000" w:rsidRDefault="00000000" w:rsidRPr="00000000" w14:paraId="0000005C">
            <w:pPr>
              <w:rPr/>
              <w:jc w:val="both"/>
            </w:pPr>
            <w:r w:rsidDel="00000000" w:rsidR="00000000" w:rsidRPr="00000000">
              <w:rPr>
                <w:rtl w:val="0"/>
              </w:rPr>
              <w:t xml:space="preserve">82,5%</w:t>
            </w:r>
          </w:p>
        </w:tc>
        <w:tc>
          <w:tcPr/>
          <w:p w:rsidR="00000000" w:rsidDel="00000000" w:rsidP="00000000" w:rsidRDefault="00000000" w:rsidRPr="00000000" w14:paraId="0000005D">
            <w:pPr>
              <w:rPr/>
              <w:jc w:val="both"/>
            </w:pPr>
            <w:r w:rsidDel="00000000" w:rsidR="00000000" w:rsidRPr="00000000">
              <w:rPr>
                <w:rtl w:val="0"/>
              </w:rPr>
              <w:t xml:space="preserve">81,7%</w:t>
            </w:r>
          </w:p>
        </w:tc>
        <w:tc>
          <w:tcPr/>
          <w:p w:rsidR="00000000" w:rsidDel="00000000" w:rsidP="00000000" w:rsidRDefault="00000000" w:rsidRPr="00000000" w14:paraId="0000005E">
            <w:pPr>
              <w:rPr/>
              <w:jc w:val="both"/>
            </w:pPr>
            <w:r w:rsidDel="00000000" w:rsidR="00000000" w:rsidRPr="00000000">
              <w:rPr>
                <w:rtl w:val="0"/>
              </w:rPr>
              <w:t xml:space="preserve">65,6%</w:t>
            </w:r>
          </w:p>
        </w:tc>
      </w:tr>
    </w:tbl>
    <w:p w:rsidR="00000000" w:rsidDel="00000000" w:rsidP="00000000" w:rsidRDefault="00000000" w:rsidRPr="00000000" w14:paraId="0000005F">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La scelta dei modelli candidati non è stata tuttavia determinata esclusivamente dai punteggi ottenuti nei benchmark. Sono stati considerati anche il numero di parametri e la compatibilità con l’hardware disponibile, privilegiando modelli con meno di 15 miliardi di parametri, in grado di garantire un equilibrio tra prestazioni, velocità di esecuzione e sostenibilità computazionale.</w:t>
      </w:r>
    </w:p>
    <w:p w:rsidR="00000000" w:rsidDel="00000000" w:rsidP="00000000" w:rsidRDefault="00000000" w:rsidRPr="00000000" w14:paraId="00000060">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Nella seconda fase, i modelli selezionati sulla base dei benchmark sono stati installati e testati direttamente sulla macchina locale descritta nel § 2.3. La valutazione è stata condotta sull’intero flusso degli undici passi previsti per l’analisi del QSA.</w:t>
      </w:r>
    </w:p>
    <w:p w:rsidR="00000000" w:rsidDel="00000000" w:rsidP="00000000" w:rsidRDefault="00000000" w:rsidRPr="00000000" w14:paraId="00000061">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Per ciascun modello sono state esaminate la capacità di rispettare la sequenza prestabilita, la copertura di tutti i fattori del questionario, la coerenza delle interpretazioni formulate e la pertinenza pedagogica delle strategie proposte. Sono stati inoltre rilevati due indicatori tecnici: la velocità media di generazione, espressa in token al secondo, e il Time to First Token (TTFT), corrispondente al tempo intercorrente tra l’invio della richiesta e la produzione del primo token della risposta.</w:t>
      </w:r>
    </w:p>
    <w:bookmarkStart w:colFirst="0" w:colLast="0" w:name="bookmark=id.rejehtebvbba" w:id="20"/>
    <w:bookmarkEnd w:id="20"/>
    <w:p w:rsidR="00000000" w:rsidDel="00000000" w:rsidP="00000000" w:rsidRDefault="00000000" w:rsidRPr="00000000" w14:paraId="00000062">
      <w:pPr>
        <w:pStyle w:val="Heading2"/>
        <w:rPr/>
      </w:pPr>
      <w:r w:rsidDel="00000000" w:rsidR="00000000" w:rsidRPr="00000000">
        <w:rPr>
          <w:rtl w:val="0"/>
          <w:color w:val="000000"/>
        </w:rPr>
        <w:t xml:space="preserve">4. Risultati</w:t>
      </w:r>
    </w:p>
    <w:bookmarkStart w:colFirst="0" w:colLast="0" w:name="bookmark=id.w8bnqi6q5ne0" w:id="21"/>
    <w:bookmarkEnd w:id="21"/>
    <w:p w:rsidR="00000000" w:rsidDel="00000000" w:rsidP="00000000" w:rsidRDefault="00000000" w:rsidRPr="00000000" w14:paraId="00000063">
      <w:pPr>
        <w:pStyle w:val="Heading3"/>
        <w:rPr/>
      </w:pPr>
      <w:r w:rsidDel="00000000" w:rsidR="00000000" w:rsidRPr="00000000">
        <w:rPr>
          <w:rtl w:val="0"/>
          <w:color w:val="000000"/>
        </w:rPr>
        <w:t xml:space="preserve">4.1 Selezione del modello locale</w:t>
      </w:r>
    </w:p>
    <w:p w:rsidR="00000000" w:rsidDel="00000000" w:rsidP="00000000" w:rsidRDefault="00000000" w:rsidRPr="00000000" w14:paraId="00000064">
      <w:pPr>
        <w:rPr/>
        <w:jc w:val="both"/>
      </w:pPr>
      <w:r w:rsidDel="00000000" w:rsidR="00000000" w:rsidRPr="00000000">
        <w:rPr>
          <w:rtl w:val="0"/>
        </w:rPr>
        <w:t xml:space="preserve">I modelli pre-selezionati in base ai benchmark pubblici (§3.4) sono stati sottoposti a una valutazione diretta sulla macchina locale (§2.3), riproducendo l’intero flusso degli undici passi dell’analisi del QSA con gli stessi </w:t>
      </w:r>
      <w:r w:rsidDel="00000000" w:rsidR="00000000" w:rsidRPr="00000000">
        <w:rPr>
          <w:i w:val="1"/>
          <w:iCs w:val="1"/>
          <w:rtl w:val="0"/>
        </w:rPr>
        <w:t xml:space="preserve">prompt</w:t>
      </w:r>
      <w:r w:rsidDel="00000000" w:rsidR="00000000" w:rsidRPr="00000000">
        <w:rPr>
          <w:rtl w:val="0"/>
        </w:rPr>
        <w:t xml:space="preserve"> e direttive impiegati in produzione. Per ciascun modello sono stati rilevati due indicatori tecnici — velocità media di generazione (token al secondo) e </w:t>
      </w:r>
      <w:r w:rsidDel="00000000" w:rsidR="00000000" w:rsidRPr="00000000">
        <w:rPr>
          <w:i w:val="1"/>
          <w:iCs w:val="1"/>
          <w:rtl w:val="0"/>
        </w:rPr>
        <w:t xml:space="preserve">Time to First Token</w:t>
      </w:r>
      <w:r w:rsidDel="00000000" w:rsidR="00000000" w:rsidRPr="00000000">
        <w:rPr>
          <w:rtl w:val="0"/>
        </w:rPr>
        <w:t xml:space="preserve"> (TTFT) — e un punteggio di qualità (da 0 a 1) che aggrega copertura dei fattori, correttezza interpretativa rispetto ai punteggi, pertinenza pedagogica dei consigli e aderenza al formato richiesto.</w:t>
      </w:r>
    </w:p>
    <w:tbl>
      <w:tblPr>
        <w:tblStyle w:val="Table2"/>
        <w:tblW w:w="7920.0" w:type="dxa"/>
        <w:jc w:val="left"/>
        <w:tblInd w:w="-115.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65">
            <w:pPr>
              <w:rPr/>
              <w:jc w:val="both"/>
            </w:pPr>
            <w:r w:rsidDel="00000000" w:rsidR="00000000" w:rsidRPr="00000000">
              <w:rPr>
                <w:rtl w:val="0"/>
              </w:rPr>
              <w:t xml:space="preserve">Modello</w:t>
            </w:r>
          </w:p>
        </w:tc>
        <w:tc>
          <w:tcPr/>
          <w:p w:rsidR="00000000" w:rsidDel="00000000" w:rsidP="00000000" w:rsidRDefault="00000000" w:rsidRPr="00000000" w14:paraId="00000066">
            <w:pPr>
              <w:rPr/>
              <w:jc w:val="both"/>
            </w:pPr>
            <w:r w:rsidDel="00000000" w:rsidR="00000000" w:rsidRPr="00000000">
              <w:rPr>
                <w:rtl w:val="0"/>
              </w:rPr>
              <w:t xml:space="preserve">Parametri</w:t>
            </w:r>
          </w:p>
        </w:tc>
        <w:tc>
          <w:tcPr/>
          <w:p w:rsidR="00000000" w:rsidDel="00000000" w:rsidP="00000000" w:rsidRDefault="00000000" w:rsidRPr="00000000" w14:paraId="00000067">
            <w:pPr>
              <w:rPr/>
              <w:jc w:val="both"/>
            </w:pPr>
            <w:r w:rsidDel="00000000" w:rsidR="00000000" w:rsidRPr="00000000">
              <w:rPr>
                <w:rtl w:val="0"/>
              </w:rPr>
              <w:t xml:space="preserve">Qualità</w:t>
            </w:r>
          </w:p>
        </w:tc>
        <w:tc>
          <w:tcPr/>
          <w:p w:rsidR="00000000" w:rsidDel="00000000" w:rsidP="00000000" w:rsidRDefault="00000000" w:rsidRPr="00000000" w14:paraId="00000068">
            <w:pPr>
              <w:rPr/>
              <w:jc w:val="both"/>
            </w:pPr>
            <w:r w:rsidDel="00000000" w:rsidR="00000000" w:rsidRPr="00000000">
              <w:rPr>
                <w:rtl w:val="0"/>
              </w:rPr>
              <w:t xml:space="preserve">Token/s</w:t>
            </w:r>
          </w:p>
        </w:tc>
        <w:tc>
          <w:tcPr/>
          <w:p w:rsidR="00000000" w:rsidDel="00000000" w:rsidP="00000000" w:rsidRDefault="00000000" w:rsidRPr="00000000" w14:paraId="00000069">
            <w:pPr>
              <w:rPr/>
              <w:jc w:val="both"/>
            </w:pPr>
            <w:r w:rsidDel="00000000" w:rsidR="00000000" w:rsidRPr="00000000">
              <w:rPr>
                <w:rtl w:val="0"/>
              </w:rPr>
              <w:t xml:space="preserve">TTFT</w:t>
            </w:r>
          </w:p>
        </w:tc>
      </w:tr>
      <w:tr>
        <w:trPr>
          <w:cantSplit w:val="0"/>
          <w:tblHeader w:val="0"/>
        </w:trPr>
        <w:tc>
          <w:tcPr/>
          <w:p w:rsidR="00000000" w:rsidDel="00000000" w:rsidP="00000000" w:rsidRDefault="00000000" w:rsidRPr="00000000" w14:paraId="0000006A">
            <w:pPr>
              <w:rPr/>
              <w:jc w:val="both"/>
            </w:pPr>
            <w:r w:rsidDel="00000000" w:rsidR="00000000" w:rsidRPr="00000000">
              <w:rPr>
                <w:rtl w:val="0"/>
              </w:rPr>
              <w:t xml:space="preserve">Gemma 4 4B</w:t>
            </w:r>
          </w:p>
        </w:tc>
        <w:tc>
          <w:tcPr/>
          <w:p w:rsidR="00000000" w:rsidDel="00000000" w:rsidP="00000000" w:rsidRDefault="00000000" w:rsidRPr="00000000" w14:paraId="0000006B">
            <w:pPr>
              <w:rPr/>
              <w:jc w:val="both"/>
            </w:pPr>
            <w:r w:rsidDel="00000000" w:rsidR="00000000" w:rsidRPr="00000000">
              <w:rPr>
                <w:rtl w:val="0"/>
              </w:rPr>
              <w:t xml:space="preserve">4B</w:t>
            </w:r>
          </w:p>
        </w:tc>
        <w:tc>
          <w:tcPr/>
          <w:p w:rsidR="00000000" w:rsidDel="00000000" w:rsidP="00000000" w:rsidRDefault="00000000" w:rsidRPr="00000000" w14:paraId="0000006C">
            <w:pPr>
              <w:rPr/>
              <w:jc w:val="both"/>
            </w:pPr>
            <w:r w:rsidDel="00000000" w:rsidR="00000000" w:rsidRPr="00000000">
              <w:rPr>
                <w:rtl w:val="0"/>
              </w:rPr>
              <w:t xml:space="preserve">0,83</w:t>
            </w:r>
          </w:p>
        </w:tc>
        <w:tc>
          <w:tcPr/>
          <w:p w:rsidR="00000000" w:rsidDel="00000000" w:rsidP="00000000" w:rsidRDefault="00000000" w:rsidRPr="00000000" w14:paraId="0000006D">
            <w:pPr>
              <w:rPr/>
              <w:jc w:val="both"/>
            </w:pPr>
            <w:r w:rsidDel="00000000" w:rsidR="00000000" w:rsidRPr="00000000">
              <w:rPr>
                <w:rtl w:val="0"/>
              </w:rPr>
              <w:t xml:space="preserve">472</w:t>
            </w:r>
          </w:p>
        </w:tc>
        <w:tc>
          <w:tcPr/>
          <w:p w:rsidR="00000000" w:rsidDel="00000000" w:rsidP="00000000" w:rsidRDefault="00000000" w:rsidRPr="00000000" w14:paraId="0000006E">
            <w:pPr>
              <w:rPr/>
              <w:jc w:val="both"/>
            </w:pPr>
            <w:r w:rsidDel="00000000" w:rsidR="00000000" w:rsidRPr="00000000">
              <w:rPr>
                <w:rtl w:val="0"/>
              </w:rPr>
              <w:t xml:space="preserve">4,5 s</w:t>
            </w:r>
          </w:p>
        </w:tc>
      </w:tr>
      <w:tr>
        <w:trPr>
          <w:cantSplit w:val="0"/>
          <w:tblHeader w:val="0"/>
        </w:trPr>
        <w:tc>
          <w:tcPr/>
          <w:p w:rsidR="00000000" w:rsidDel="00000000" w:rsidP="00000000" w:rsidRDefault="00000000" w:rsidRPr="00000000" w14:paraId="0000006F">
            <w:pPr>
              <w:rPr/>
              <w:jc w:val="both"/>
            </w:pPr>
            <w:r w:rsidDel="00000000" w:rsidR="00000000" w:rsidRPr="00000000">
              <w:rPr>
                <w:rtl w:val="0"/>
              </w:rPr>
              <w:t xml:space="preserve">Gemma 4 2B</w:t>
            </w:r>
          </w:p>
        </w:tc>
        <w:tc>
          <w:tcPr/>
          <w:p w:rsidR="00000000" w:rsidDel="00000000" w:rsidP="00000000" w:rsidRDefault="00000000" w:rsidRPr="00000000" w14:paraId="00000070">
            <w:pPr>
              <w:rPr/>
              <w:jc w:val="both"/>
            </w:pPr>
            <w:r w:rsidDel="00000000" w:rsidR="00000000" w:rsidRPr="00000000">
              <w:rPr>
                <w:rtl w:val="0"/>
              </w:rPr>
              <w:t xml:space="preserve">2B</w:t>
            </w:r>
          </w:p>
        </w:tc>
        <w:tc>
          <w:tcPr/>
          <w:p w:rsidR="00000000" w:rsidDel="00000000" w:rsidP="00000000" w:rsidRDefault="00000000" w:rsidRPr="00000000" w14:paraId="00000071">
            <w:pPr>
              <w:rPr/>
              <w:jc w:val="both"/>
            </w:pPr>
            <w:r w:rsidDel="00000000" w:rsidR="00000000" w:rsidRPr="00000000">
              <w:rPr>
                <w:rtl w:val="0"/>
              </w:rPr>
              <w:t xml:space="preserve">0,76</w:t>
            </w:r>
          </w:p>
        </w:tc>
        <w:tc>
          <w:tcPr/>
          <w:p w:rsidR="00000000" w:rsidDel="00000000" w:rsidP="00000000" w:rsidRDefault="00000000" w:rsidRPr="00000000" w14:paraId="00000072">
            <w:pPr>
              <w:rPr/>
              <w:jc w:val="both"/>
            </w:pPr>
            <w:r w:rsidDel="00000000" w:rsidR="00000000" w:rsidRPr="00000000">
              <w:rPr>
                <w:rtl w:val="0"/>
              </w:rPr>
              <w:t xml:space="preserve">768</w:t>
            </w:r>
          </w:p>
        </w:tc>
        <w:tc>
          <w:tcPr/>
          <w:p w:rsidR="00000000" w:rsidDel="00000000" w:rsidP="00000000" w:rsidRDefault="00000000" w:rsidRPr="00000000" w14:paraId="00000073">
            <w:pPr>
              <w:rPr/>
              <w:jc w:val="both"/>
            </w:pPr>
            <w:r w:rsidDel="00000000" w:rsidR="00000000" w:rsidRPr="00000000">
              <w:rPr>
                <w:rtl w:val="0"/>
              </w:rPr>
              <w:t xml:space="preserve">3,4 s</w:t>
            </w:r>
          </w:p>
        </w:tc>
      </w:tr>
      <w:tr>
        <w:trPr>
          <w:cantSplit w:val="0"/>
          <w:tblHeader w:val="0"/>
        </w:trPr>
        <w:tc>
          <w:tcPr/>
          <w:p w:rsidR="00000000" w:rsidDel="00000000" w:rsidP="00000000" w:rsidRDefault="00000000" w:rsidRPr="00000000" w14:paraId="00000074">
            <w:pPr>
              <w:rPr/>
              <w:jc w:val="both"/>
            </w:pPr>
            <w:r w:rsidDel="00000000" w:rsidR="00000000" w:rsidRPr="00000000">
              <w:rPr>
                <w:rtl w:val="0"/>
              </w:rPr>
              <w:t xml:space="preserve">Gemma 4 12B</w:t>
            </w:r>
          </w:p>
        </w:tc>
        <w:tc>
          <w:tcPr/>
          <w:p w:rsidR="00000000" w:rsidDel="00000000" w:rsidP="00000000" w:rsidRDefault="00000000" w:rsidRPr="00000000" w14:paraId="00000075">
            <w:pPr>
              <w:rPr/>
              <w:jc w:val="both"/>
            </w:pPr>
            <w:r w:rsidDel="00000000" w:rsidR="00000000" w:rsidRPr="00000000">
              <w:rPr>
                <w:rtl w:val="0"/>
              </w:rPr>
              <w:t xml:space="preserve">12B</w:t>
            </w:r>
          </w:p>
        </w:tc>
        <w:tc>
          <w:tcPr/>
          <w:p w:rsidR="00000000" w:rsidDel="00000000" w:rsidP="00000000" w:rsidRDefault="00000000" w:rsidRPr="00000000" w14:paraId="00000076">
            <w:pPr>
              <w:rPr/>
              <w:jc w:val="both"/>
            </w:pPr>
            <w:r w:rsidDel="00000000" w:rsidR="00000000" w:rsidRPr="00000000">
              <w:rPr>
                <w:rtl w:val="0"/>
              </w:rPr>
              <w:t xml:space="preserve">0,74</w:t>
            </w:r>
          </w:p>
        </w:tc>
        <w:tc>
          <w:tcPr/>
          <w:p w:rsidR="00000000" w:rsidDel="00000000" w:rsidP="00000000" w:rsidRDefault="00000000" w:rsidRPr="00000000" w14:paraId="00000077">
            <w:pPr>
              <w:rPr/>
              <w:jc w:val="both"/>
            </w:pPr>
            <w:r w:rsidDel="00000000" w:rsidR="00000000" w:rsidRPr="00000000">
              <w:rPr>
                <w:rtl w:val="0"/>
              </w:rPr>
              <w:t xml:space="preserve">374</w:t>
            </w:r>
          </w:p>
        </w:tc>
        <w:tc>
          <w:tcPr/>
          <w:p w:rsidR="00000000" w:rsidDel="00000000" w:rsidP="00000000" w:rsidRDefault="00000000" w:rsidRPr="00000000" w14:paraId="00000078">
            <w:pPr>
              <w:rPr/>
              <w:jc w:val="both"/>
            </w:pPr>
            <w:r w:rsidDel="00000000" w:rsidR="00000000" w:rsidRPr="00000000">
              <w:rPr>
                <w:rtl w:val="0"/>
              </w:rPr>
              <w:t xml:space="preserve">12,3 s</w:t>
            </w:r>
          </w:p>
        </w:tc>
      </w:tr>
      <w:tr>
        <w:trPr>
          <w:cantSplit w:val="0"/>
          <w:tblHeader w:val="0"/>
        </w:trPr>
        <w:tc>
          <w:tcPr/>
          <w:p w:rsidR="00000000" w:rsidDel="00000000" w:rsidP="00000000" w:rsidRDefault="00000000" w:rsidRPr="00000000" w14:paraId="00000079">
            <w:pPr>
              <w:rPr/>
              <w:jc w:val="both"/>
            </w:pPr>
            <w:r w:rsidDel="00000000" w:rsidR="00000000" w:rsidRPr="00000000">
              <w:rPr>
                <w:rtl w:val="0"/>
              </w:rPr>
              <w:t xml:space="preserve">DeepSeek-R1-Distill 8B</w:t>
            </w:r>
          </w:p>
        </w:tc>
        <w:tc>
          <w:tcPr/>
          <w:p w:rsidR="00000000" w:rsidDel="00000000" w:rsidP="00000000" w:rsidRDefault="00000000" w:rsidRPr="00000000" w14:paraId="0000007A">
            <w:pPr>
              <w:rPr/>
              <w:jc w:val="both"/>
            </w:pPr>
            <w:r w:rsidDel="00000000" w:rsidR="00000000" w:rsidRPr="00000000">
              <w:rPr>
                <w:rtl w:val="0"/>
              </w:rPr>
              <w:t xml:space="preserve">8B</w:t>
            </w:r>
          </w:p>
        </w:tc>
        <w:tc>
          <w:tcPr/>
          <w:p w:rsidR="00000000" w:rsidDel="00000000" w:rsidP="00000000" w:rsidRDefault="00000000" w:rsidRPr="00000000" w14:paraId="0000007B">
            <w:pPr>
              <w:rPr/>
              <w:jc w:val="both"/>
            </w:pPr>
            <w:r w:rsidDel="00000000" w:rsidR="00000000" w:rsidRPr="00000000">
              <w:rPr>
                <w:rtl w:val="0"/>
              </w:rPr>
              <w:t xml:space="preserve">0,62</w:t>
            </w:r>
          </w:p>
        </w:tc>
        <w:tc>
          <w:tcPr/>
          <w:p w:rsidR="00000000" w:rsidDel="00000000" w:rsidP="00000000" w:rsidRDefault="00000000" w:rsidRPr="00000000" w14:paraId="0000007C">
            <w:pPr>
              <w:rPr/>
              <w:jc w:val="both"/>
            </w:pPr>
            <w:r w:rsidDel="00000000" w:rsidR="00000000" w:rsidRPr="00000000">
              <w:rPr>
                <w:rtl w:val="0"/>
              </w:rPr>
              <w:t xml:space="preserve">555</w:t>
            </w:r>
          </w:p>
        </w:tc>
        <w:tc>
          <w:tcPr/>
          <w:p w:rsidR="00000000" w:rsidDel="00000000" w:rsidP="00000000" w:rsidRDefault="00000000" w:rsidRPr="00000000" w14:paraId="0000007D">
            <w:pPr>
              <w:rPr/>
              <w:jc w:val="both"/>
            </w:pPr>
            <w:r w:rsidDel="00000000" w:rsidR="00000000" w:rsidRPr="00000000">
              <w:rPr>
                <w:rtl w:val="0"/>
              </w:rPr>
              <w:t xml:space="preserve">7,9 s</w:t>
            </w:r>
          </w:p>
        </w:tc>
      </w:tr>
      <w:tr>
        <w:trPr>
          <w:cantSplit w:val="0"/>
          <w:tblHeader w:val="0"/>
        </w:trPr>
        <w:tc>
          <w:tcPr/>
          <w:p w:rsidR="00000000" w:rsidDel="00000000" w:rsidP="00000000" w:rsidRDefault="00000000" w:rsidRPr="00000000" w14:paraId="0000007E">
            <w:pPr>
              <w:rPr/>
              <w:jc w:val="both"/>
            </w:pPr>
            <w:r w:rsidDel="00000000" w:rsidR="00000000" w:rsidRPr="00000000">
              <w:rPr>
                <w:rtl w:val="0"/>
              </w:rPr>
              <w:t xml:space="preserve">Qwen 3.5 9B</w:t>
            </w:r>
          </w:p>
        </w:tc>
        <w:tc>
          <w:tcPr/>
          <w:p w:rsidR="00000000" w:rsidDel="00000000" w:rsidP="00000000" w:rsidRDefault="00000000" w:rsidRPr="00000000" w14:paraId="0000007F">
            <w:pPr>
              <w:rPr/>
              <w:jc w:val="both"/>
            </w:pPr>
            <w:r w:rsidDel="00000000" w:rsidR="00000000" w:rsidRPr="00000000">
              <w:rPr>
                <w:rtl w:val="0"/>
              </w:rPr>
              <w:t xml:space="preserve">9B</w:t>
            </w:r>
          </w:p>
        </w:tc>
        <w:tc>
          <w:tcPr/>
          <w:p w:rsidR="00000000" w:rsidDel="00000000" w:rsidP="00000000" w:rsidRDefault="00000000" w:rsidRPr="00000000" w14:paraId="00000080">
            <w:pPr>
              <w:rPr/>
              <w:jc w:val="both"/>
            </w:pPr>
            <w:r w:rsidDel="00000000" w:rsidR="00000000" w:rsidRPr="00000000">
              <w:rPr>
                <w:rtl w:val="0"/>
              </w:rPr>
              <w:t xml:space="preserve">0,45</w:t>
            </w:r>
          </w:p>
        </w:tc>
        <w:tc>
          <w:tcPr/>
          <w:p w:rsidR="00000000" w:rsidDel="00000000" w:rsidP="00000000" w:rsidRDefault="00000000" w:rsidRPr="00000000" w14:paraId="00000081">
            <w:pPr>
              <w:rPr/>
              <w:jc w:val="both"/>
            </w:pPr>
            <w:r w:rsidDel="00000000" w:rsidR="00000000" w:rsidRPr="00000000">
              <w:rPr>
                <w:rtl w:val="0"/>
              </w:rPr>
              <w:t xml:space="preserve">186</w:t>
            </w:r>
          </w:p>
        </w:tc>
        <w:tc>
          <w:tcPr/>
          <w:p w:rsidR="00000000" w:rsidDel="00000000" w:rsidP="00000000" w:rsidRDefault="00000000" w:rsidRPr="00000000" w14:paraId="00000082">
            <w:pPr>
              <w:rPr/>
              <w:jc w:val="both"/>
            </w:pPr>
            <w:r w:rsidDel="00000000" w:rsidR="00000000" w:rsidRPr="00000000">
              <w:rPr>
                <w:rtl w:val="0"/>
              </w:rPr>
              <w:t xml:space="preserve">11,3 s</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Tutti i modelli hanno mantenuto piena affidabilità di connessione lungo l’intero flusso. Gemma 4 4B ha ottenuto la qualità più alta (0,83), rispettando la sequenza prestabilita e fornendo interpretazioni coerenti con i punteggi in nove degli undici passi, a fronte di una velocità di generazione (472 token/s) e di un TTFT (4,5 s) adeguati all’uso interattivo. Gemma 4 12B, pur completo nella profondità d’analisi, ha registrato un TTFT sensibilmente superiore (12,3 s); DeepSeek-R1-Distill 8B ha alternato risposte eccellenti e scadenti a seconda del passo, mentre Qwen 3.5 9B ha riportato la qualità più bassa (0,45) nonostante il maggior numero di parametri. Sulla base di questo equilibrio tra qualità, velocità e sostenibilità computazionale, Gemma 4 4B è stato selezionato per l’istanza CB-SBS.</w:t>
      </w:r>
    </w:p>
    <w:bookmarkStart w:colFirst="0" w:colLast="0" w:name="bookmark=id.nwa2v6el21cn" w:id="22"/>
    <w:bookmarkEnd w:id="22"/>
    <w:p w:rsidR="00000000" w:rsidDel="00000000" w:rsidP="00000000" w:rsidRDefault="00000000" w:rsidRPr="00000000" w14:paraId="00000084">
      <w:pPr>
        <w:pStyle w:val="Heading3"/>
        <w:rPr/>
      </w:pPr>
      <w:r w:rsidDel="00000000" w:rsidR="00000000" w:rsidRPr="00000000">
        <w:rPr>
          <w:rtl w:val="0"/>
          <w:color w:val="000000"/>
        </w:rPr>
        <w:t xml:space="preserve">4.2 Esperienza utente</w:t>
      </w:r>
    </w:p>
    <w:p w:rsidR="00000000" w:rsidDel="00000000" w:rsidP="00000000" w:rsidRDefault="00000000" w:rsidRPr="00000000" w14:paraId="00000085">
      <w:pPr>
        <w:rPr/>
        <w:jc w:val="both"/>
      </w:pPr>
      <w:r w:rsidDel="00000000" w:rsidR="00000000" w:rsidRPr="00000000">
        <w:rPr>
          <w:rtl w:val="0"/>
        </w:rPr>
        <w:t xml:space="preserve">La versione CB-SBS presenta valutazioni tendenzialmente superiori alla precedente in 9 dimensioni su 10. Dei 27 partecipanti della versione CB-C, 16 hanno fornito valutazioni numeriche e 11 solo commenti aperti; per CB-SBS è stato escluso un record di test, portando il numeratore a 6. La tabella seguente confronta le medie delle due versioni.</w:t>
      </w:r>
    </w:p>
    <w:tbl>
      <w:tblPr>
        <w:tblStyle w:val="Table3"/>
        <w:tblW w:w="7920.0" w:type="dxa"/>
        <w:jc w:val="left"/>
        <w:tblInd w:w="-115.0" w:type="dxa"/>
        <w:tblLayout w:type="fixed"/>
        <w:tblLook w:val="0000"/>
      </w:tblPr>
      <w:tblGrid>
        <w:gridCol w:w="4180"/>
        <w:gridCol w:w="1540"/>
        <w:gridCol w:w="1430"/>
        <w:gridCol w:w="770"/>
        <w:tblGridChange w:id="0">
          <w:tblGrid>
            <w:gridCol w:w="4180"/>
            <w:gridCol w:w="1540"/>
            <w:gridCol w:w="1430"/>
            <w:gridCol w:w="770"/>
          </w:tblGrid>
        </w:tblGridChange>
      </w:tblGrid>
      <w:tr>
        <w:trPr>
          <w:cantSplit w:val="0"/>
          <w:tblHeader w:val="1"/>
        </w:trPr>
        <w:tc>
          <w:tcPr/>
          <w:p w:rsidR="00000000" w:rsidDel="00000000" w:rsidP="00000000" w:rsidRDefault="00000000" w:rsidRPr="00000000" w14:paraId="00000086">
            <w:pPr>
              <w:rPr/>
              <w:jc w:val="both"/>
            </w:pPr>
            <w:r w:rsidDel="00000000" w:rsidR="00000000" w:rsidRPr="00000000">
              <w:rPr>
                <w:rtl w:val="0"/>
              </w:rPr>
              <w:t xml:space="preserve">Dimensione</w:t>
            </w:r>
          </w:p>
        </w:tc>
        <w:tc>
          <w:tcPr/>
          <w:p w:rsidR="00000000" w:rsidDel="00000000" w:rsidP="00000000" w:rsidRDefault="00000000" w:rsidRPr="00000000" w14:paraId="00000087">
            <w:pPr>
              <w:rPr/>
              <w:jc w:val="both"/>
            </w:pPr>
            <w:r w:rsidDel="00000000" w:rsidR="00000000" w:rsidRPr="00000000">
              <w:rPr>
                <w:rtl w:val="0"/>
              </w:rPr>
              <w:t xml:space="preserve">CB-SBS (n=6)</w:t>
            </w:r>
          </w:p>
        </w:tc>
        <w:tc>
          <w:tcPr/>
          <w:p w:rsidR="00000000" w:rsidDel="00000000" w:rsidP="00000000" w:rsidRDefault="00000000" w:rsidRPr="00000000" w14:paraId="00000088">
            <w:pPr>
              <w:rPr/>
              <w:jc w:val="both"/>
            </w:pPr>
            <w:r w:rsidDel="00000000" w:rsidR="00000000" w:rsidRPr="00000000">
              <w:rPr>
                <w:rtl w:val="0"/>
              </w:rPr>
              <w:t xml:space="preserve">CB-C (n=16)</w:t>
            </w:r>
          </w:p>
        </w:tc>
        <w:tc>
          <w:tcPr/>
          <w:p w:rsidR="00000000" w:rsidDel="00000000" w:rsidP="00000000" w:rsidRDefault="00000000" w:rsidRPr="00000000" w14:paraId="00000089">
            <w:pPr>
              <w:rPr/>
              <w:jc w:val="both"/>
            </w:pPr>
            <w:r w:rsidDel="00000000" w:rsidR="00000000" w:rsidRPr="00000000">
              <w:rPr>
                <w:rtl w:val="0"/>
              </w:rPr>
              <w:t xml:space="preserve">Δ</w:t>
            </w:r>
          </w:p>
        </w:tc>
      </w:tr>
      <w:tr>
        <w:trPr>
          <w:cantSplit w:val="0"/>
          <w:tblHeader w:val="0"/>
        </w:trPr>
        <w:tc>
          <w:tcPr/>
          <w:p w:rsidR="00000000" w:rsidDel="00000000" w:rsidP="00000000" w:rsidRDefault="00000000" w:rsidRPr="00000000" w14:paraId="0000008A">
            <w:pPr>
              <w:rPr/>
              <w:jc w:val="both"/>
            </w:pPr>
            <w:r w:rsidDel="00000000" w:rsidR="00000000" w:rsidRPr="00000000">
              <w:rPr>
                <w:rtl w:val="0"/>
              </w:rPr>
              <w:t xml:space="preserve">Facilità d’uso</w:t>
            </w:r>
          </w:p>
        </w:tc>
        <w:tc>
          <w:tcPr/>
          <w:p w:rsidR="00000000" w:rsidDel="00000000" w:rsidP="00000000" w:rsidRDefault="00000000" w:rsidRPr="00000000" w14:paraId="0000008B">
            <w:pPr>
              <w:rPr/>
              <w:jc w:val="both"/>
            </w:pPr>
            <w:r w:rsidDel="00000000" w:rsidR="00000000" w:rsidRPr="00000000">
              <w:rPr>
                <w:rtl w:val="0"/>
              </w:rPr>
              <w:t xml:space="preserve">4,17</w:t>
            </w:r>
          </w:p>
        </w:tc>
        <w:tc>
          <w:tcPr/>
          <w:p w:rsidR="00000000" w:rsidDel="00000000" w:rsidP="00000000" w:rsidRDefault="00000000" w:rsidRPr="00000000" w14:paraId="0000008C">
            <w:pPr>
              <w:rPr/>
              <w:jc w:val="both"/>
            </w:pPr>
            <w:r w:rsidDel="00000000" w:rsidR="00000000" w:rsidRPr="00000000">
              <w:rPr>
                <w:rtl w:val="0"/>
              </w:rPr>
              <w:t xml:space="preserve">3,38</w:t>
            </w:r>
          </w:p>
        </w:tc>
        <w:tc>
          <w:tcPr/>
          <w:p w:rsidR="00000000" w:rsidDel="00000000" w:rsidP="00000000" w:rsidRDefault="00000000" w:rsidRPr="00000000" w14:paraId="0000008D">
            <w:pPr>
              <w:rPr/>
              <w:jc w:val="both"/>
            </w:pPr>
            <w:r w:rsidDel="00000000" w:rsidR="00000000" w:rsidRPr="00000000">
              <w:rPr>
                <w:rtl w:val="0"/>
              </w:rPr>
              <w:t xml:space="preserve">+0,79</w:t>
            </w:r>
          </w:p>
        </w:tc>
      </w:tr>
      <w:tr>
        <w:trPr>
          <w:cantSplit w:val="0"/>
          <w:tblHeader w:val="0"/>
        </w:trPr>
        <w:tc>
          <w:tcPr/>
          <w:p w:rsidR="00000000" w:rsidDel="00000000" w:rsidP="00000000" w:rsidRDefault="00000000" w:rsidRPr="00000000" w14:paraId="0000008E">
            <w:pPr>
              <w:rPr/>
              <w:jc w:val="both"/>
            </w:pPr>
            <w:r w:rsidDel="00000000" w:rsidR="00000000" w:rsidRPr="00000000">
              <w:rPr>
                <w:rtl w:val="0"/>
              </w:rPr>
              <w:t xml:space="preserve">Pertinenza delle risposte</w:t>
            </w:r>
          </w:p>
        </w:tc>
        <w:tc>
          <w:tcPr/>
          <w:p w:rsidR="00000000" w:rsidDel="00000000" w:rsidP="00000000" w:rsidRDefault="00000000" w:rsidRPr="00000000" w14:paraId="0000008F">
            <w:pPr>
              <w:rPr/>
              <w:jc w:val="both"/>
            </w:pPr>
            <w:r w:rsidDel="00000000" w:rsidR="00000000" w:rsidRPr="00000000">
              <w:rPr>
                <w:rtl w:val="0"/>
              </w:rPr>
              <w:t xml:space="preserve">4,17</w:t>
            </w:r>
          </w:p>
        </w:tc>
        <w:tc>
          <w:tcPr/>
          <w:p w:rsidR="00000000" w:rsidDel="00000000" w:rsidP="00000000" w:rsidRDefault="00000000" w:rsidRPr="00000000" w14:paraId="00000090">
            <w:pPr>
              <w:rPr/>
              <w:jc w:val="both"/>
            </w:pPr>
            <w:r w:rsidDel="00000000" w:rsidR="00000000" w:rsidRPr="00000000">
              <w:rPr>
                <w:rtl w:val="0"/>
              </w:rPr>
              <w:t xml:space="preserve">3,56</w:t>
            </w:r>
          </w:p>
        </w:tc>
        <w:tc>
          <w:tcPr/>
          <w:p w:rsidR="00000000" w:rsidDel="00000000" w:rsidP="00000000" w:rsidRDefault="00000000" w:rsidRPr="00000000" w14:paraId="00000091">
            <w:pPr>
              <w:rPr/>
              <w:jc w:val="both"/>
            </w:pPr>
            <w:r w:rsidDel="00000000" w:rsidR="00000000" w:rsidRPr="00000000">
              <w:rPr>
                <w:rtl w:val="0"/>
              </w:rPr>
              <w:t xml:space="preserve">+0,60</w:t>
            </w:r>
          </w:p>
        </w:tc>
      </w:tr>
      <w:tr>
        <w:trPr>
          <w:cantSplit w:val="0"/>
          <w:tblHeader w:val="0"/>
        </w:trPr>
        <w:tc>
          <w:tcPr/>
          <w:p w:rsidR="00000000" w:rsidDel="00000000" w:rsidP="00000000" w:rsidRDefault="00000000" w:rsidRPr="00000000" w14:paraId="00000092">
            <w:pPr>
              <w:rPr/>
              <w:jc w:val="both"/>
            </w:pPr>
            <w:r w:rsidDel="00000000" w:rsidR="00000000" w:rsidRPr="00000000">
              <w:rPr>
                <w:rtl w:val="0"/>
              </w:rPr>
              <w:t xml:space="preserve">Fiducia nelle informazioni</w:t>
            </w:r>
          </w:p>
        </w:tc>
        <w:tc>
          <w:tcPr/>
          <w:p w:rsidR="00000000" w:rsidDel="00000000" w:rsidP="00000000" w:rsidRDefault="00000000" w:rsidRPr="00000000" w14:paraId="00000093">
            <w:pPr>
              <w:rPr/>
              <w:jc w:val="both"/>
            </w:pPr>
            <w:r w:rsidDel="00000000" w:rsidR="00000000" w:rsidRPr="00000000">
              <w:rPr>
                <w:rtl w:val="0"/>
              </w:rPr>
              <w:t xml:space="preserve">3,83</w:t>
            </w:r>
          </w:p>
        </w:tc>
        <w:tc>
          <w:tcPr/>
          <w:p w:rsidR="00000000" w:rsidDel="00000000" w:rsidP="00000000" w:rsidRDefault="00000000" w:rsidRPr="00000000" w14:paraId="00000094">
            <w:pPr>
              <w:rPr/>
              <w:jc w:val="both"/>
            </w:pPr>
            <w:r w:rsidDel="00000000" w:rsidR="00000000" w:rsidRPr="00000000">
              <w:rPr>
                <w:rtl w:val="0"/>
              </w:rPr>
              <w:t xml:space="preserve">3,19</w:t>
            </w:r>
          </w:p>
        </w:tc>
        <w:tc>
          <w:tcPr/>
          <w:p w:rsidR="00000000" w:rsidDel="00000000" w:rsidP="00000000" w:rsidRDefault="00000000" w:rsidRPr="00000000" w14:paraId="00000095">
            <w:pPr>
              <w:rPr/>
              <w:jc w:val="both"/>
            </w:pPr>
            <w:r w:rsidDel="00000000" w:rsidR="00000000" w:rsidRPr="00000000">
              <w:rPr>
                <w:rtl w:val="0"/>
              </w:rPr>
              <w:t xml:space="preserve">+0,65</w:t>
            </w:r>
          </w:p>
        </w:tc>
      </w:tr>
      <w:tr>
        <w:trPr>
          <w:cantSplit w:val="0"/>
          <w:tblHeader w:val="0"/>
        </w:trPr>
        <w:tc>
          <w:tcPr/>
          <w:p w:rsidR="00000000" w:rsidDel="00000000" w:rsidP="00000000" w:rsidRDefault="00000000" w:rsidRPr="00000000" w14:paraId="00000096">
            <w:pPr>
              <w:rPr/>
              <w:jc w:val="both"/>
            </w:pPr>
            <w:r w:rsidDel="00000000" w:rsidR="00000000" w:rsidRPr="00000000">
              <w:rPr>
                <w:rtl w:val="0"/>
              </w:rPr>
              <w:t xml:space="preserve">Coinvolgimento</w:t>
            </w:r>
          </w:p>
        </w:tc>
        <w:tc>
          <w:tcPr/>
          <w:p w:rsidR="00000000" w:rsidDel="00000000" w:rsidP="00000000" w:rsidRDefault="00000000" w:rsidRPr="00000000" w14:paraId="00000097">
            <w:pPr>
              <w:rPr/>
              <w:jc w:val="both"/>
            </w:pPr>
            <w:r w:rsidDel="00000000" w:rsidR="00000000" w:rsidRPr="00000000">
              <w:rPr>
                <w:rtl w:val="0"/>
              </w:rPr>
              <w:t xml:space="preserve">3,67</w:t>
            </w:r>
          </w:p>
        </w:tc>
        <w:tc>
          <w:tcPr/>
          <w:p w:rsidR="00000000" w:rsidDel="00000000" w:rsidP="00000000" w:rsidRDefault="00000000" w:rsidRPr="00000000" w14:paraId="00000098">
            <w:pPr>
              <w:rPr/>
              <w:jc w:val="both"/>
            </w:pPr>
            <w:r w:rsidDel="00000000" w:rsidR="00000000" w:rsidRPr="00000000">
              <w:rPr>
                <w:rtl w:val="0"/>
              </w:rPr>
              <w:t xml:space="preserve">3,06</w:t>
            </w:r>
          </w:p>
        </w:tc>
        <w:tc>
          <w:tcPr/>
          <w:p w:rsidR="00000000" w:rsidDel="00000000" w:rsidP="00000000" w:rsidRDefault="00000000" w:rsidRPr="00000000" w14:paraId="00000099">
            <w:pPr>
              <w:rPr/>
              <w:jc w:val="both"/>
            </w:pPr>
            <w:r w:rsidDel="00000000" w:rsidR="00000000" w:rsidRPr="00000000">
              <w:rPr>
                <w:rtl w:val="0"/>
              </w:rPr>
              <w:t xml:space="preserve">+0,60</w:t>
            </w:r>
          </w:p>
        </w:tc>
      </w:tr>
      <w:tr>
        <w:trPr>
          <w:cantSplit w:val="0"/>
          <w:tblHeader w:val="0"/>
        </w:trPr>
        <w:tc>
          <w:tcPr/>
          <w:p w:rsidR="00000000" w:rsidDel="00000000" w:rsidP="00000000" w:rsidRDefault="00000000" w:rsidRPr="00000000" w14:paraId="0000009A">
            <w:pPr>
              <w:rPr/>
              <w:jc w:val="both"/>
            </w:pPr>
            <w:r w:rsidDel="00000000" w:rsidR="00000000" w:rsidRPr="00000000">
              <w:rPr>
                <w:rtl w:val="0"/>
              </w:rPr>
              <w:t xml:space="preserve">Capacità di stimolare la riflessione</w:t>
            </w:r>
          </w:p>
        </w:tc>
        <w:tc>
          <w:tcPr/>
          <w:p w:rsidR="00000000" w:rsidDel="00000000" w:rsidP="00000000" w:rsidRDefault="00000000" w:rsidRPr="00000000" w14:paraId="0000009B">
            <w:pPr>
              <w:rPr/>
              <w:jc w:val="both"/>
            </w:pPr>
            <w:r w:rsidDel="00000000" w:rsidR="00000000" w:rsidRPr="00000000">
              <w:rPr>
                <w:rtl w:val="0"/>
              </w:rPr>
              <w:t xml:space="preserve">3,83</w:t>
            </w:r>
          </w:p>
        </w:tc>
        <w:tc>
          <w:tcPr/>
          <w:p w:rsidR="00000000" w:rsidDel="00000000" w:rsidP="00000000" w:rsidRDefault="00000000" w:rsidRPr="00000000" w14:paraId="0000009C">
            <w:pPr>
              <w:rPr/>
              <w:jc w:val="both"/>
            </w:pPr>
            <w:r w:rsidDel="00000000" w:rsidR="00000000" w:rsidRPr="00000000">
              <w:rPr>
                <w:rtl w:val="0"/>
              </w:rPr>
              <w:t xml:space="preserve">3,25</w:t>
            </w:r>
          </w:p>
        </w:tc>
        <w:tc>
          <w:tcPr/>
          <w:p w:rsidR="00000000" w:rsidDel="00000000" w:rsidP="00000000" w:rsidRDefault="00000000" w:rsidRPr="00000000" w14:paraId="0000009D">
            <w:pPr>
              <w:rPr/>
              <w:jc w:val="both"/>
            </w:pPr>
            <w:r w:rsidDel="00000000" w:rsidR="00000000" w:rsidRPr="00000000">
              <w:rPr>
                <w:rtl w:val="0"/>
              </w:rPr>
              <w:t xml:space="preserve">+0,58</w:t>
            </w:r>
          </w:p>
        </w:tc>
      </w:tr>
      <w:tr>
        <w:trPr>
          <w:cantSplit w:val="0"/>
          <w:tblHeader w:val="0"/>
        </w:trPr>
        <w:tc>
          <w:tcPr/>
          <w:p w:rsidR="00000000" w:rsidDel="00000000" w:rsidP="00000000" w:rsidRDefault="00000000" w:rsidRPr="00000000" w14:paraId="0000009E">
            <w:pPr>
              <w:rPr/>
              <w:jc w:val="both"/>
            </w:pPr>
            <w:r w:rsidDel="00000000" w:rsidR="00000000" w:rsidRPr="00000000">
              <w:rPr>
                <w:rtl w:val="0"/>
              </w:rPr>
              <w:t xml:space="preserve">Chiarezza</w:t>
            </w:r>
          </w:p>
        </w:tc>
        <w:tc>
          <w:tcPr/>
          <w:p w:rsidR="00000000" w:rsidDel="00000000" w:rsidP="00000000" w:rsidRDefault="00000000" w:rsidRPr="00000000" w14:paraId="0000009F">
            <w:pPr>
              <w:rPr/>
              <w:jc w:val="both"/>
            </w:pPr>
            <w:r w:rsidDel="00000000" w:rsidR="00000000" w:rsidRPr="00000000">
              <w:rPr>
                <w:rtl w:val="0"/>
              </w:rPr>
              <w:t xml:space="preserve">4,00</w:t>
            </w:r>
          </w:p>
        </w:tc>
        <w:tc>
          <w:tcPr/>
          <w:p w:rsidR="00000000" w:rsidDel="00000000" w:rsidP="00000000" w:rsidRDefault="00000000" w:rsidRPr="00000000" w14:paraId="000000A0">
            <w:pPr>
              <w:rPr/>
              <w:jc w:val="both"/>
            </w:pPr>
            <w:r w:rsidDel="00000000" w:rsidR="00000000" w:rsidRPr="00000000">
              <w:rPr>
                <w:rtl w:val="0"/>
              </w:rPr>
              <w:t xml:space="preserve">3,69</w:t>
            </w:r>
          </w:p>
        </w:tc>
        <w:tc>
          <w:tcPr/>
          <w:p w:rsidR="00000000" w:rsidDel="00000000" w:rsidP="00000000" w:rsidRDefault="00000000" w:rsidRPr="00000000" w14:paraId="000000A1">
            <w:pPr>
              <w:rPr/>
              <w:jc w:val="both"/>
            </w:pPr>
            <w:r w:rsidDel="00000000" w:rsidR="00000000" w:rsidRPr="00000000">
              <w:rPr>
                <w:rtl w:val="0"/>
              </w:rPr>
              <w:t xml:space="preserve">+0,31</w:t>
            </w:r>
          </w:p>
        </w:tc>
      </w:tr>
      <w:tr>
        <w:trPr>
          <w:cantSplit w:val="0"/>
          <w:tblHeader w:val="0"/>
        </w:trPr>
        <w:tc>
          <w:tcPr/>
          <w:p w:rsidR="00000000" w:rsidDel="00000000" w:rsidP="00000000" w:rsidRDefault="00000000" w:rsidRPr="00000000" w14:paraId="000000A2">
            <w:pPr>
              <w:rPr/>
              <w:jc w:val="both"/>
            </w:pPr>
            <w:r w:rsidDel="00000000" w:rsidR="00000000" w:rsidRPr="00000000">
              <w:rPr>
                <w:rtl w:val="0"/>
              </w:rPr>
              <w:t xml:space="preserve">Velocità di risposta</w:t>
            </w:r>
          </w:p>
        </w:tc>
        <w:tc>
          <w:tcPr/>
          <w:p w:rsidR="00000000" w:rsidDel="00000000" w:rsidP="00000000" w:rsidRDefault="00000000" w:rsidRPr="00000000" w14:paraId="000000A3">
            <w:pPr>
              <w:rPr/>
              <w:jc w:val="both"/>
            </w:pPr>
            <w:r w:rsidDel="00000000" w:rsidR="00000000" w:rsidRPr="00000000">
              <w:rPr>
                <w:rtl w:val="0"/>
              </w:rPr>
              <w:t xml:space="preserve">3,83</w:t>
            </w:r>
          </w:p>
        </w:tc>
        <w:tc>
          <w:tcPr/>
          <w:p w:rsidR="00000000" w:rsidDel="00000000" w:rsidP="00000000" w:rsidRDefault="00000000" w:rsidRPr="00000000" w14:paraId="000000A4">
            <w:pPr>
              <w:rPr/>
              <w:jc w:val="both"/>
            </w:pPr>
            <w:r w:rsidDel="00000000" w:rsidR="00000000" w:rsidRPr="00000000">
              <w:rPr>
                <w:rtl w:val="0"/>
              </w:rPr>
              <w:t xml:space="preserve">3,44</w:t>
            </w:r>
          </w:p>
        </w:tc>
        <w:tc>
          <w:tcPr/>
          <w:p w:rsidR="00000000" w:rsidDel="00000000" w:rsidP="00000000" w:rsidRDefault="00000000" w:rsidRPr="00000000" w14:paraId="000000A5">
            <w:pPr>
              <w:rPr/>
              <w:jc w:val="both"/>
            </w:pPr>
            <w:r w:rsidDel="00000000" w:rsidR="00000000" w:rsidRPr="00000000">
              <w:rPr>
                <w:rtl w:val="0"/>
              </w:rPr>
              <w:t xml:space="preserve">+0,40</w:t>
            </w:r>
          </w:p>
        </w:tc>
      </w:tr>
      <w:tr>
        <w:trPr>
          <w:cantSplit w:val="0"/>
          <w:tblHeader w:val="0"/>
        </w:trPr>
        <w:tc>
          <w:tcPr/>
          <w:p w:rsidR="00000000" w:rsidDel="00000000" w:rsidP="00000000" w:rsidRDefault="00000000" w:rsidRPr="00000000" w14:paraId="000000A6">
            <w:pPr>
              <w:rPr/>
              <w:jc w:val="both"/>
            </w:pPr>
            <w:r w:rsidDel="00000000" w:rsidR="00000000" w:rsidRPr="00000000">
              <w:rPr>
                <w:rtl w:val="0"/>
              </w:rPr>
              <w:t xml:space="preserve">Dettaglio delle risposte</w:t>
            </w:r>
          </w:p>
        </w:tc>
        <w:tc>
          <w:tcPr/>
          <w:p w:rsidR="00000000" w:rsidDel="00000000" w:rsidP="00000000" w:rsidRDefault="00000000" w:rsidRPr="00000000" w14:paraId="000000A7">
            <w:pPr>
              <w:rPr/>
              <w:jc w:val="both"/>
            </w:pPr>
            <w:r w:rsidDel="00000000" w:rsidR="00000000" w:rsidRPr="00000000">
              <w:rPr>
                <w:rtl w:val="0"/>
              </w:rPr>
              <w:t xml:space="preserve">3,67</w:t>
            </w:r>
          </w:p>
        </w:tc>
        <w:tc>
          <w:tcPr/>
          <w:p w:rsidR="00000000" w:rsidDel="00000000" w:rsidP="00000000" w:rsidRDefault="00000000" w:rsidRPr="00000000" w14:paraId="000000A8">
            <w:pPr>
              <w:rPr/>
              <w:jc w:val="both"/>
            </w:pPr>
            <w:r w:rsidDel="00000000" w:rsidR="00000000" w:rsidRPr="00000000">
              <w:rPr>
                <w:rtl w:val="0"/>
              </w:rPr>
              <w:t xml:space="preserve">3,56</w:t>
            </w:r>
          </w:p>
        </w:tc>
        <w:tc>
          <w:tcPr/>
          <w:p w:rsidR="00000000" w:rsidDel="00000000" w:rsidP="00000000" w:rsidRDefault="00000000" w:rsidRPr="00000000" w14:paraId="000000A9">
            <w:pPr>
              <w:rPr/>
              <w:jc w:val="both"/>
            </w:pPr>
            <w:r w:rsidDel="00000000" w:rsidR="00000000" w:rsidRPr="00000000">
              <w:rPr>
                <w:rtl w:val="0"/>
              </w:rPr>
              <w:t xml:space="preserve">+0,10</w:t>
            </w:r>
          </w:p>
        </w:tc>
      </w:tr>
      <w:tr>
        <w:trPr>
          <w:cantSplit w:val="0"/>
          <w:tblHeader w:val="0"/>
        </w:trPr>
        <w:tc>
          <w:tcPr/>
          <w:p w:rsidR="00000000" w:rsidDel="00000000" w:rsidP="00000000" w:rsidRDefault="00000000" w:rsidRPr="00000000" w14:paraId="000000AA">
            <w:pPr>
              <w:rPr/>
              <w:jc w:val="both"/>
            </w:pPr>
            <w:r w:rsidDel="00000000" w:rsidR="00000000" w:rsidRPr="00000000">
              <w:rPr>
                <w:rtl w:val="0"/>
              </w:rPr>
              <w:t xml:space="preserve">Utilità percepita</w:t>
            </w:r>
          </w:p>
        </w:tc>
        <w:tc>
          <w:tcPr/>
          <w:p w:rsidR="00000000" w:rsidDel="00000000" w:rsidP="00000000" w:rsidRDefault="00000000" w:rsidRPr="00000000" w14:paraId="000000AB">
            <w:pPr>
              <w:rPr/>
              <w:jc w:val="both"/>
            </w:pPr>
            <w:r w:rsidDel="00000000" w:rsidR="00000000" w:rsidRPr="00000000">
              <w:rPr>
                <w:rtl w:val="0"/>
              </w:rPr>
              <w:t xml:space="preserve">3,17</w:t>
            </w:r>
          </w:p>
        </w:tc>
        <w:tc>
          <w:tcPr/>
          <w:p w:rsidR="00000000" w:rsidDel="00000000" w:rsidP="00000000" w:rsidRDefault="00000000" w:rsidRPr="00000000" w14:paraId="000000AC">
            <w:pPr>
              <w:rPr/>
              <w:jc w:val="both"/>
            </w:pPr>
            <w:r w:rsidDel="00000000" w:rsidR="00000000" w:rsidRPr="00000000">
              <w:rPr>
                <w:rtl w:val="0"/>
              </w:rPr>
              <w:t xml:space="preserve">3,31</w:t>
            </w:r>
          </w:p>
        </w:tc>
        <w:tc>
          <w:tcPr/>
          <w:p w:rsidR="00000000" w:rsidDel="00000000" w:rsidP="00000000" w:rsidRDefault="00000000" w:rsidRPr="00000000" w14:paraId="000000AD">
            <w:pPr>
              <w:rPr/>
              <w:jc w:val="both"/>
            </w:pPr>
            <w:sdt>
              <w:sdtPr>
                <w:id w:val="-1792616751"/>
                <w:tag w:val="goog_rdk_0"/>
              </w:sdtPr>
              <w:sdtContent>
                <w:r w:rsidDel="00000000" w:rsidR="00000000" w:rsidRPr="00000000">
                  <w:rPr>
                    <w:rFonts w:ascii="Gungsuh" w:cs="Gungsuh" w:eastAsia="Gungsuh" w:hAnsi="Gungsuh"/>
                    <w:rtl w:val="0"/>
                  </w:rPr>
                  <w:t xml:space="preserve">−0,15</w:t>
                </w:r>
              </w:sdtContent>
            </w:sdt>
          </w:p>
        </w:tc>
      </w:tr>
      <w:tr>
        <w:trPr>
          <w:cantSplit w:val="0"/>
          <w:tblHeader w:val="0"/>
        </w:trPr>
        <w:tc>
          <w:tcPr/>
          <w:p w:rsidR="00000000" w:rsidDel="00000000" w:rsidP="00000000" w:rsidRDefault="00000000" w:rsidRPr="00000000" w14:paraId="000000AE">
            <w:pPr>
              <w:rPr/>
              <w:jc w:val="both"/>
            </w:pPr>
            <w:r w:rsidDel="00000000" w:rsidR="00000000" w:rsidRPr="00000000">
              <w:rPr>
                <w:rtl w:val="0"/>
              </w:rPr>
              <w:t xml:space="preserve">Intenzione di riutilizzo</w:t>
            </w:r>
          </w:p>
        </w:tc>
        <w:tc>
          <w:tcPr/>
          <w:p w:rsidR="00000000" w:rsidDel="00000000" w:rsidP="00000000" w:rsidRDefault="00000000" w:rsidRPr="00000000" w14:paraId="000000AF">
            <w:pPr>
              <w:rPr/>
              <w:jc w:val="both"/>
            </w:pPr>
            <w:r w:rsidDel="00000000" w:rsidR="00000000" w:rsidRPr="00000000">
              <w:rPr>
                <w:rtl w:val="0"/>
              </w:rPr>
              <w:t xml:space="preserve">3,83</w:t>
            </w:r>
          </w:p>
        </w:tc>
        <w:tc>
          <w:tcPr/>
          <w:p w:rsidR="00000000" w:rsidDel="00000000" w:rsidP="00000000" w:rsidRDefault="00000000" w:rsidRPr="00000000" w14:paraId="000000B0">
            <w:pPr>
              <w:rPr/>
              <w:jc w:val="both"/>
            </w:pPr>
            <w:r w:rsidDel="00000000" w:rsidR="00000000" w:rsidRPr="00000000">
              <w:rPr>
                <w:rtl w:val="0"/>
              </w:rPr>
              <w:t xml:space="preserve">3,12</w:t>
            </w:r>
          </w:p>
        </w:tc>
        <w:tc>
          <w:tcPr/>
          <w:p w:rsidR="00000000" w:rsidDel="00000000" w:rsidP="00000000" w:rsidRDefault="00000000" w:rsidRPr="00000000" w14:paraId="000000B1">
            <w:pPr>
              <w:rPr/>
              <w:jc w:val="both"/>
            </w:pPr>
            <w:r w:rsidDel="00000000" w:rsidR="00000000" w:rsidRPr="00000000">
              <w:rPr>
                <w:rtl w:val="0"/>
              </w:rPr>
              <w:t xml:space="preserve">+0,71</w:t>
            </w:r>
          </w:p>
        </w:tc>
      </w:tr>
    </w:tbl>
    <w:p w:rsidR="00000000" w:rsidDel="00000000" w:rsidP="00000000" w:rsidRDefault="00000000" w:rsidRPr="00000000" w14:paraId="000000B2">
      <w:pPr>
        <w:pBdr>
          <w:top w:space="0" w:sz="0" w:val="nil"/>
          <w:left w:space="0" w:sz="0" w:val="nil"/>
          <w:bottom w:space="0" w:sz="0" w:val="nil"/>
          <w:right w:space="0" w:sz="0" w:val="nil"/>
          <w:between w:space="0" w:sz="0" w:val="nil"/>
        </w:pBdr>
        <w:rPr>
          <w:color w:val="000000"/>
        </w:rPr>
        <w:jc w:val="both"/>
      </w:pPr>
      <w:sdt>
        <w:sdtPr>
          <w:id w:val="-1410003022"/>
          <w:tag w:val="goog_rdk_1"/>
        </w:sdtPr>
        <w:sdtContent>
          <w:r w:rsidDel="00000000" w:rsidR="00000000" w:rsidRPr="00000000">
            <w:rPr>
              <w:rFonts w:ascii="Cardo" w:cs="Cardo" w:eastAsia="Cardo" w:hAnsi="Cardo"/>
              <w:color w:val="000000"/>
              <w:rtl w:val="0"/>
            </w:rPr>
            <w:t xml:space="preserve">I miglioramenti più marcati riguardano facilità d’uso (Δ = +0,79), intenzione di riutilizzo (Δ = +0,71) e fiducia (Δ = +0,65); l’unica dimensione sostanzialmente invariata è l’utilità percepita (Δ = −0,15, entro il range di variabilità atteso per campioni ridotti).</w:t>
          </w:r>
        </w:sdtContent>
      </w:sdt>
      <w:r w:rsidDel="00000000" w:rsidR="00000000" w:rsidRPr="00000000">
        <w:rPr>
          <w:rtl w:val="0"/>
        </w:rPr>
      </w:r>
    </w:p>
    <w:bookmarkStart w:colFirst="0" w:colLast="0" w:name="bookmark=id.fvjh6uogw7ro" w:id="23"/>
    <w:bookmarkEnd w:id="23"/>
    <w:p w:rsidR="00000000" w:rsidDel="00000000" w:rsidP="00000000" w:rsidRDefault="00000000" w:rsidRPr="00000000" w14:paraId="000000B3">
      <w:pPr>
        <w:pStyle w:val="Heading3"/>
        <w:rPr/>
      </w:pPr>
      <w:r w:rsidDel="00000000" w:rsidR="00000000" w:rsidRPr="00000000">
        <w:rPr>
          <w:rtl w:val="0"/>
          <w:color w:val="000000"/>
        </w:rPr>
        <w:t xml:space="preserve">4.3 Risposte aperte</w:t>
      </w:r>
    </w:p>
    <w:p w:rsidR="00000000" w:rsidDel="00000000" w:rsidP="00000000" w:rsidRDefault="00000000" w:rsidRPr="00000000" w14:paraId="000000B4">
      <w:pPr>
        <w:rPr/>
        <w:jc w:val="both"/>
      </w:pPr>
      <w:r w:rsidDel="00000000" w:rsidR="00000000" w:rsidRPr="00000000">
        <w:rPr>
          <w:rtl w:val="0"/>
        </w:rPr>
        <w:t xml:space="preserve">Undici partecipanti hanno fornito risposte alle domande aperte (tutti della versione CB-C). Dall’analisi tematica emergono quattro aree di criticità, affrontate nella versione CB-SBS.</w:t>
      </w:r>
    </w:p>
    <w:p w:rsidR="00000000" w:rsidDel="00000000" w:rsidP="00000000" w:rsidRDefault="00000000" w:rsidRPr="00000000" w14:paraId="000000B5">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 Nella versione CB-SBS questa fase è stata sostituita da un form iniziale di inserimento e dal caricamento diretto dei PDF degli esiti.</w:t>
      </w:r>
    </w:p>
    <w:p w:rsidR="00000000" w:rsidDel="00000000" w:rsidP="00000000" w:rsidRDefault="00000000" w:rsidRPr="00000000" w14:paraId="000000B6">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Coerenza della memoria di sessione. (ii) Un partecipante riporta «incongruenze molto grandi tra i dati forniti e i riassunti finali» nella prima analisi, pur riconoscendo che una seconda analisi era più coerente. Nella versione CB-SBS la gestione della memoria di sessione è stata rivista attraverso una sintesi dinamica del dialogo, integrata dall’iniezione costante dei punteggi del profilo tramite file JSON a ogni turno, garantendo che il contesto venga preservato fedelmente lungo l’intero percorso.</w:t>
      </w:r>
    </w:p>
    <w:p w:rsidR="00000000" w:rsidDel="00000000" w:rsidP="00000000" w:rsidRDefault="00000000" w:rsidRPr="00000000" w14:paraId="000000B7">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Completezza del contesto. (iii) Un partecipante osserva che il </w:t>
      </w:r>
      <w:r w:rsidDel="00000000" w:rsidR="00000000" w:rsidRPr="00000000">
        <w:rPr>
          <w:i w:val="1"/>
          <w:iCs w:val="1"/>
          <w:color w:val="000000"/>
          <w:rtl w:val="0"/>
        </w:rPr>
        <w:t xml:space="preserve">chatbot</w:t>
      </w:r>
      <w:r w:rsidDel="00000000" w:rsidR="00000000" w:rsidRPr="00000000">
        <w:rPr>
          <w:color w:val="000000"/>
          <w:rtl w:val="0"/>
        </w:rPr>
        <w:t xml:space="preserve"> «dimentica alcune informazioni». Nella versione CB-SBS la memoria di sessione è stata potenziata per preservare il contesto lungo l’intero dialogo, riducendo i fenomeni di </w:t>
      </w:r>
      <w:r w:rsidDel="00000000" w:rsidR="00000000" w:rsidRPr="00000000">
        <w:rPr>
          <w:i w:val="1"/>
          <w:iCs w:val="1"/>
          <w:color w:val="000000"/>
          <w:rtl w:val="0"/>
        </w:rPr>
        <w:t xml:space="preserve">forgetting</w:t>
      </w:r>
      <w:r w:rsidDel="00000000" w:rsidR="00000000" w:rsidRPr="00000000">
        <w:rPr>
          <w:color w:val="000000"/>
          <w:rtl w:val="0"/>
        </w:rPr>
        <w:t xml:space="preserve">.</w:t>
      </w:r>
    </w:p>
    <w:p w:rsidR="00000000" w:rsidDel="00000000" w:rsidP="00000000" w:rsidRDefault="00000000" w:rsidRPr="00000000" w14:paraId="000000B8">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Lunghezza delle risposte. (iv) Un partecipante suggerisce di «sintetizzare le risposte». Nella versione CB-SBS è stato introdotto un limite di token per contenere l’estensione degli interventi del LLM, favorendo risposte più concise.</w:t>
      </w:r>
    </w:p>
    <w:p w:rsidR="00000000" w:rsidDel="00000000" w:rsidP="00000000" w:rsidRDefault="00000000" w:rsidRPr="00000000" w14:paraId="000000B9">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La scelta di un modello locale di dimensioni contenute, motivata in §2.3, si colloca nello stesso quadro di ottimizzazione: il benchmark preliminare ha orientato la selezione di una soluzione ritenuta adeguata al compito, sostenibile nei costi e più favorevole alla tutela della riservatezza.</w:t>
      </w:r>
    </w:p>
    <w:p w:rsidR="00000000" w:rsidDel="00000000" w:rsidP="00000000" w:rsidRDefault="00000000" w:rsidRPr="00000000" w14:paraId="000000BA">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Sei partecipanti hanno espresso valutazioni positive sulla chiarezza, la pertinenza e l’utilità del sistema, descrivendo l’esperienza come «positiva», «interessante» e «il </w:t>
      </w:r>
      <w:r w:rsidDel="00000000" w:rsidR="00000000" w:rsidRPr="00000000">
        <w:rPr>
          <w:i w:val="1"/>
          <w:iCs w:val="1"/>
          <w:color w:val="000000"/>
          <w:rtl w:val="0"/>
        </w:rPr>
        <w:t xml:space="preserve">chatbot</w:t>
      </w:r>
      <w:r w:rsidDel="00000000" w:rsidR="00000000" w:rsidRPr="00000000">
        <w:rPr>
          <w:color w:val="000000"/>
          <w:rtl w:val="0"/>
        </w:rPr>
        <w:t xml:space="preserve"> ha risposto alle aspettative in modo esauriente».</w:t>
      </w:r>
    </w:p>
    <w:bookmarkStart w:colFirst="0" w:colLast="0" w:name="bookmark=id.sp9kjx33qzx3" w:id="24"/>
    <w:bookmarkEnd w:id="24"/>
    <w:p w:rsidR="00000000" w:rsidDel="00000000" w:rsidP="00000000" w:rsidRDefault="00000000" w:rsidRPr="00000000" w14:paraId="000000BB">
      <w:pPr>
        <w:pStyle w:val="Heading2"/>
        <w:rPr/>
      </w:pPr>
      <w:r w:rsidDel="00000000" w:rsidR="00000000" w:rsidRPr="00000000">
        <w:rPr>
          <w:rtl w:val="0"/>
          <w:color w:val="000000"/>
        </w:rPr>
        <w:t xml:space="preserve">5. Discussione</w:t>
      </w:r>
    </w:p>
    <w:p w:rsidR="00000000" w:rsidDel="00000000" w:rsidP="00000000" w:rsidRDefault="00000000" w:rsidRPr="00000000" w14:paraId="000000BC">
      <w:pPr>
        <w:rPr/>
        <w:jc w:val="both"/>
      </w:pPr>
      <w:r w:rsidDel="00000000" w:rsidR="00000000" w:rsidRPr="00000000">
        <w:rPr>
          <w:rtl w:val="0"/>
        </w:rPr>
        <w:t xml:space="preserve">Alla luce di questi risultati, si possono formulare le seguenti considerazioni. I risultati mostrano un miglioramento diffuso della versione CB-SBS rispetto alla precedente su 9 dimensioni su 10, con incrementi particolarmente marcati su facilità d’uso (Δ = +0,79), fiducia nelle informazioni (Δ = +0,65) e intenzione di riutilizzo (Δ = +0,71). Questi dati suggeriscono che le modifiche introdotte nella versione CB-SBS (cfr. §4) hanno prodotto un effetto positivo sull’esperienza utente.</w:t>
      </w:r>
    </w:p>
    <w:p w:rsidR="00000000" w:rsidDel="00000000" w:rsidP="00000000" w:rsidRDefault="00000000" w:rsidRPr="00000000" w14:paraId="000000BD">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Le criticità emerse dalle risposte aperte della versione CB-C riguardavano principalmente l’inserimento manuale dei dati e la coerenza delle analisi. La loro risoluzione nella versione CB-SBS è coerente con i punteggi più alti registrati in facilità d’uso e fiducia. Rimane da verificare su un campione più ampio se anche le altre dimensioni — in particolare l’utilità percepita, sostanzialmente invariata — beneficino delle stesse modifiche.</w:t>
      </w:r>
    </w:p>
    <w:p w:rsidR="00000000" w:rsidDel="00000000" w:rsidP="00000000" w:rsidRDefault="00000000" w:rsidRPr="00000000" w14:paraId="000000BE">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Il presente lavoro si colloca nella fase di test del modello ADDIE: i dati raccolti informano il ciclo iterativo di sviluppo, più che costituire una validazione conclusiva. Il campione è ridotto (n=6 per CB-SBS, n=16 per CB-C con dati numerici) e non probabilistico, e la differenza tra le due versioni potrebbe risentire di fattori confondenti come la diversa composizione demografica o la maturità del percorso di sviluppo. Per queste ragioni i risultati vanno letti come indicatori di tendenza, non come evidenza definitiva.</w:t>
      </w:r>
    </w:p>
    <w:p w:rsidR="00000000" w:rsidDel="00000000" w:rsidP="00000000" w:rsidRDefault="00000000" w:rsidRPr="00000000" w14:paraId="000000BF">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Sul piano più generale, l’architettura ibrida di Counselorbot — che combina passi guidati deterministici con la flessibilità di un LLM — si dimostra praticabile per l’autovalutazione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sollevata in apertura, l’impiego di modelli aperti di dimensioni contenute, eseguibili anche su infrastrutture locali — come Gemma 4 4B, selezionato tramite benchmark sistematico per l’istanza CB-SBS — suggerisce una via percorribile per contenere i costi di esercizio.</w:t>
      </w:r>
    </w:p>
    <w:p w:rsidR="00000000" w:rsidDel="00000000" w:rsidP="00000000" w:rsidRDefault="00000000" w:rsidRPr="00000000" w14:paraId="000000C0">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Si aggiunga che il dato disponibile è esclusivamente basato sull’autovalutazione degli studenti, che potrebbe risentire di effetti di desiderabilità sociale; restano da acquisire metriche oggettive come tempi di risposta e tassi di completamento.</w:t>
      </w:r>
    </w:p>
    <w:bookmarkStart w:colFirst="0" w:colLast="0" w:name="bookmark=id.mungsomompeo" w:id="25"/>
    <w:bookmarkEnd w:id="25"/>
    <w:p w:rsidR="00000000" w:rsidDel="00000000" w:rsidP="00000000" w:rsidRDefault="00000000" w:rsidRPr="00000000" w14:paraId="000000C1">
      <w:pPr>
        <w:pStyle w:val="Heading2"/>
        <w:rPr/>
      </w:pPr>
      <w:r w:rsidDel="00000000" w:rsidR="00000000" w:rsidRPr="00000000">
        <w:rPr>
          <w:rtl w:val="0"/>
          <w:color w:val="000000"/>
        </w:rPr>
        <w:t xml:space="preserve">6. Conclusioni</w:t>
      </w:r>
    </w:p>
    <w:p w:rsidR="00000000" w:rsidDel="00000000" w:rsidP="00000000" w:rsidRDefault="00000000" w:rsidRPr="00000000" w14:paraId="000000C2">
      <w:pPr>
        <w:pStyle w:val="Heading2"/>
        <w:rPr/>
      </w:pPr>
      <w:bookmarkStart w:colFirst="0" w:colLast="0" w:name="_heading=h.gfdp61ucf9kn" w:id="26"/>
      <w:bookmarkEnd w:id="26"/>
      <w:r w:rsidDel="00000000" w:rsidR="00000000" w:rsidRPr="00000000">
        <w:rPr>
          <w:rtl w:val="0"/>
          <w:color w:val="000000"/>
        </w:rPr>
        <w:t xml:space="preserve">6. Conclusioni</w:t>
      </w:r>
    </w:p>
    <w:p w:rsidR="00000000" w:rsidDel="00000000" w:rsidP="00000000" w:rsidRDefault="00000000" w:rsidRPr="00000000" w14:paraId="000000C3">
      <w:pPr>
        <w:rPr/>
        <w:jc w:val="both"/>
      </w:pPr>
      <w:r w:rsidDel="00000000" w:rsidR="00000000" w:rsidRPr="00000000">
        <w:rPr>
          <w:rtl w:val="0"/>
        </w:rPr>
        <w:t xml:space="preserve">Sebbene </w:t>
      </w:r>
      <w:r w:rsidDel="00000000" w:rsidR="00000000" w:rsidRPr="00000000">
        <w:rPr>
          <w:i w:val="1"/>
          <w:iCs w:val="1"/>
          <w:rtl w:val="0"/>
        </w:rPr>
        <w:t xml:space="preserve">Counselorbot</w:t>
      </w:r>
      <w:r w:rsidDel="00000000" w:rsidR="00000000" w:rsidRPr="00000000">
        <w:rPr>
          <w:rtl w:val="0"/>
        </w:rPr>
        <w:t xml:space="preserve"> si trovi ancora in una fase di sviluppo, i risultati ottenuti consentono già di formulare alcune considerazioni rilevanti. In primo luogo, mostrano che è possibile realizzare, anche con risorse economiche e computazionali limitate, un </w:t>
      </w:r>
      <w:r w:rsidDel="00000000" w:rsidR="00000000" w:rsidRPr="00000000">
        <w:rPr>
          <w:i w:val="1"/>
          <w:iCs w:val="1"/>
          <w:rtl w:val="0"/>
        </w:rPr>
        <w:t xml:space="preserve">chatbot mentoring</w:t>
      </w:r>
      <w:r w:rsidDel="00000000" w:rsidR="00000000" w:rsidRPr="00000000">
        <w:rPr>
          <w:rtl w:val="0"/>
        </w:rPr>
        <w:t xml:space="preserve"> potenzialmente efficace. In secondo luogo, evidenziano che la qualità di uno strumento di questo tipo non dipende da un singolo elemento, ma dalla configurazione complessiva di diversi fattori: la scelta del modello linguistico più adatto, la progettazione dell’esperienza d’uso, la gestione della memoria, la formulazione delle istruzioni, il modo e i tempi in cui esse vengono fornite, le conoscenze integrate nel sistema, le modalità di recupero delle informazioni e la presenza di un processo di miglioramento continuo.</w:t>
      </w:r>
    </w:p>
    <w:p w:rsidR="00000000" w:rsidDel="00000000" w:rsidP="00000000" w:rsidRDefault="00000000" w:rsidRPr="00000000" w14:paraId="000000C4">
      <w:pPr>
        <w:rPr/>
        <w:jc w:val="both"/>
      </w:pPr>
      <w:r w:rsidDel="00000000" w:rsidR="00000000" w:rsidRPr="00000000">
        <w:rPr>
          <w:rtl w:val="0"/>
        </w:rPr>
        <w:t xml:space="preserve">Le prestazioni del chatbot possono quindi variare sensibilmente in funzione del design adottato. Il passaggio da un’architettura prevalentemente conversazionale a una struttura step-by-step, così come l’impiego di modelli linguistici differenti, ha mostrato quanto le scelte progettuali incidono non solo sulla coerenza delle risposte, sulla completezza dell’analisi e sulla capacità del sistema di accompagnare l’utente lungo un percorso di riflessione, ma anche sulla percezione complessiva dell’esperienza d’uso. I risultati comparativi mostrano infatti una tendenza favorevole alla versione CB-SBS nella maggior parte delle dimensioni considerate, in particolare per quanto riguarda la facilità d’uso, la fiducia nelle informazioni ricevute e l’intenzione di ri-utilizzare il sistema. </w:t>
      </w:r>
    </w:p>
    <w:p w:rsidR="00000000" w:rsidDel="00000000" w:rsidP="00000000" w:rsidRDefault="00000000" w:rsidRPr="00000000" w14:paraId="000000C5">
      <w:pPr>
        <w:rPr/>
        <w:jc w:val="both"/>
      </w:pPr>
      <w:r w:rsidDel="00000000" w:rsidR="00000000" w:rsidRPr="00000000">
        <w:rPr>
          <w:rtl w:val="0"/>
        </w:rPr>
        <w:t xml:space="preserve">Per qu. anto riguarda lo sviluppo futuro del sistema ci sono molti aggiornamenti da implementare. Il primo è espandere la sperimentazione agli altri strumenti presenti sul sistema QSAr, ZTPI, l’intervista di Savickas, QPCS, QPCC e QAP. Questo sarà possibile una volta stabilizzate l’usabilità dell’interfaccia e l’affidabilità del percorso guidato, con il QSA.</w:t>
      </w:r>
    </w:p>
    <w:p w:rsidR="00000000" w:rsidDel="00000000" w:rsidP="00000000" w:rsidRDefault="00000000" w:rsidRPr="00000000" w14:paraId="000000C6">
      <w:pPr>
        <w:rPr/>
        <w:jc w:val="both"/>
      </w:pPr>
      <w:r w:rsidDel="00000000" w:rsidR="00000000" w:rsidRPr="00000000">
        <w:rPr>
          <w:rtl w:val="0"/>
        </w:rPr>
      </w:r>
    </w:p>
    <w:p w:rsidR="00000000" w:rsidDel="00000000" w:rsidP="00000000" w:rsidRDefault="00000000" w:rsidRPr="00000000" w14:paraId="000000C7">
      <w:pPr>
        <w:rPr/>
        <w:jc w:val="both"/>
      </w:pPr>
      <w:r w:rsidDel="00000000" w:rsidR="00000000" w:rsidRPr="00000000">
        <w:rPr>
          <w:rtl w:val="0"/>
        </w:rPr>
        <w:t xml:space="preserve">Un’ulteriore direzione di sviluppo riguarda la possibilità di rendere Counselorbot multilingue, così da ampliarne l’accessibilità e l’impiego in contesti educativi internazionali. Tale evoluzione richiede tuttavia non solo la traduzione dell’interfaccia e delle istruzioni del sistema, ma anche la disponibilità di versioni validate degli strumenti presenti sul portale competenzestrategiche.it in inglese e nelle altre lingue di interesse. </w:t>
      </w:r>
    </w:p>
    <w:p w:rsidR="00000000" w:rsidDel="00000000" w:rsidP="00000000" w:rsidRDefault="00000000" w:rsidRPr="00000000" w14:paraId="000000C8">
      <w:pPr>
        <w:rPr/>
        <w:jc w:val="both"/>
      </w:pPr>
      <w:r w:rsidDel="00000000" w:rsidR="00000000" w:rsidRPr="00000000">
        <w:rPr>
          <w:rtl w:val="0"/>
        </w:rPr>
        <w:t xml:space="preserve">Altre prospettive di ricerca riguardano la realizzazione di studi longitudinali per valutare l’impatto del sistema sulle strategie di apprendimento, sui processi di autoriflessione e sulle capacità di orientamento degli studenti. Sarà inoltre necessario proseguire il processo di valutazione e miglioramento del sistema, verificandone il funzionamento con gruppi di utenti più ampi e differenziati e analizzando le modalità con cui studenti, tutor e orientatori possono integrarlo nelle rispettive pratiche.</w:t>
      </w:r>
    </w:p>
    <w:p w:rsidR="00000000" w:rsidDel="00000000" w:rsidP="00000000" w:rsidRDefault="00000000" w:rsidRPr="00000000" w14:paraId="000000C9">
      <w:pPr>
        <w:rPr/>
        <w:jc w:val="both"/>
      </w:pPr>
      <w:r w:rsidDel="00000000" w:rsidR="00000000" w:rsidRPr="00000000">
        <w:rPr>
          <w:rtl w:val="0"/>
        </w:rPr>
        <w:t xml:space="preserve">Infine è importante tener conto degli sviluppi dell’intelligenza artificiale. Ogni giorno escono nuovi modelli più piccoli e allo stesso tempo performanti che possono essere usati come base del progetto. Inoltre, molti sviluppatori stanno lavorando a nuovi strumenti che possano migliorare la memoria e le prestazioni degli LLM.</w:t>
      </w:r>
    </w:p>
    <w:bookmarkStart w:colFirst="0" w:colLast="0" w:name="bookmark=id.dbsxa36hh4b" w:id="27"/>
    <w:bookmarkEnd w:id="27"/>
    <w:p w:rsidR="00000000" w:rsidDel="00000000" w:rsidP="00000000" w:rsidRDefault="00000000" w:rsidRPr="00000000" w14:paraId="000000CA">
      <w:pPr>
        <w:pStyle w:val="Heading2"/>
        <w:rPr/>
      </w:pPr>
      <w:r w:rsidDel="00000000" w:rsidR="00000000" w:rsidRPr="00000000">
        <w:rPr>
          <w:rtl w:val="0"/>
          <w:color w:val="000000"/>
        </w:rPr>
        <w:t xml:space="preserve">Bibliografia</w:t>
      </w:r>
    </w:p>
    <w:p w:rsidR="00000000" w:rsidDel="00000000" w:rsidP="00000000" w:rsidRDefault="00000000" w:rsidRPr="00000000" w14:paraId="000000CB">
      <w:pPr>
        <w:rPr/>
        <w:jc w:val="both"/>
      </w:pPr>
      <w:r w:rsidDel="00000000" w:rsidR="00000000" w:rsidRPr="00000000">
        <w:rPr>
          <w:rtl w:val="0"/>
        </w:rPr>
        <w:t xml:space="preserve">Gemma Team, Google DeepMind. (2025). Gemma 4: Advancing open language models. https://ai.google.dev/gemma</w:t>
      </w:r>
    </w:p>
    <w:p w:rsidR="00000000" w:rsidDel="00000000" w:rsidP="00000000" w:rsidRDefault="00000000" w:rsidRPr="00000000" w14:paraId="000000CC">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Pellerey, M., Epifani, F., Grządziel, D., Margottini, M., &amp; Ottone, E. (2013). </w:t>
      </w:r>
      <w:r w:rsidDel="00000000" w:rsidR="00000000" w:rsidRPr="00000000">
        <w:rPr>
          <w:i w:val="1"/>
          <w:iCs w:val="1"/>
          <w:color w:val="000000"/>
          <w:rtl w:val="0"/>
        </w:rPr>
        <w:t xml:space="preserve">Imparare a dirigere se stessi</w:t>
      </w:r>
      <w:r w:rsidDel="00000000" w:rsidR="00000000" w:rsidRPr="00000000">
        <w:rPr>
          <w:color w:val="000000"/>
          <w:rtl w:val="0"/>
        </w:rPr>
        <w:t xml:space="preserve">. CNOS-FAP, Roma.</w:t>
      </w:r>
    </w:p>
    <w:p w:rsidR="00000000" w:rsidDel="00000000" w:rsidP="00000000" w:rsidRDefault="00000000" w:rsidRPr="00000000" w14:paraId="000000CD">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Puech, R., Mačina, J., Chatain, J., Sachan, M., &amp; Kapur, M. (2025). Towards the pedagogical steering of large language models for tutoring: A case study with modeling productive failure. In </w:t>
      </w:r>
      <w:r w:rsidDel="00000000" w:rsidR="00000000" w:rsidRPr="00000000">
        <w:rPr>
          <w:i w:val="1"/>
          <w:iCs w:val="1"/>
          <w:color w:val="000000"/>
          <w:rtl w:val="0"/>
        </w:rPr>
        <w:t xml:space="preserve">Findings of the Association for Computational Linguistics: ACL 2025</w:t>
      </w:r>
      <w:r w:rsidDel="00000000" w:rsidR="00000000" w:rsidRPr="00000000">
        <w:rPr>
          <w:color w:val="000000"/>
          <w:rtl w:val="0"/>
        </w:rPr>
        <w:t xml:space="preserve">. https://doi.org/10.18653/v1/2025.findings-acl.1348</w:t>
      </w:r>
    </w:p>
    <w:p w:rsidR="00000000" w:rsidDel="00000000" w:rsidP="00000000" w:rsidRDefault="00000000" w:rsidRPr="00000000" w14:paraId="000000CE">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Antunes, L. G., Passarelli, B., &amp; Claro, S. V. (2025). Large language models as Socratic mentors: Transforming educational approaches for epistemic development. </w:t>
      </w:r>
      <w:r w:rsidDel="00000000" w:rsidR="00000000" w:rsidRPr="00000000">
        <w:rPr>
          <w:i w:val="1"/>
          <w:iCs w:val="1"/>
          <w:color w:val="000000"/>
          <w:rtl w:val="0"/>
        </w:rPr>
        <w:t xml:space="preserve">Aracê, 7</w:t>
      </w:r>
      <w:r w:rsidDel="00000000" w:rsidR="00000000" w:rsidRPr="00000000">
        <w:rPr>
          <w:color w:val="000000"/>
          <w:rtl w:val="0"/>
        </w:rPr>
        <w:t xml:space="preserve">(5), 24921–24936. https://doi.org/10.56238/arev7n5-229</w:t>
      </w:r>
    </w:p>
    <w:p w:rsidR="00000000" w:rsidDel="00000000" w:rsidP="00000000" w:rsidRDefault="00000000" w:rsidRPr="00000000" w14:paraId="000000CF">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Bender, E. M., Gebru, T., McMillan-Major, A., &amp; Shmitchell, S. (2021). On the dangers of stochastic parrots: Can language models be too big? In </w:t>
      </w:r>
      <w:r w:rsidDel="00000000" w:rsidR="00000000" w:rsidRPr="00000000">
        <w:rPr>
          <w:i w:val="1"/>
          <w:iCs w:val="1"/>
          <w:color w:val="000000"/>
          <w:rtl w:val="0"/>
        </w:rPr>
        <w:t xml:space="preserve">Proceedings of the 2021 ACM Conference on Fairness, Accountability, and Transparency</w:t>
      </w:r>
      <w:r w:rsidDel="00000000" w:rsidR="00000000" w:rsidRPr="00000000">
        <w:rPr>
          <w:color w:val="000000"/>
          <w:rtl w:val="0"/>
        </w:rPr>
        <w:t xml:space="preserve"> (pp. 610–623). https://doi.org/10.1145/3442188.3445922</w:t>
      </w:r>
    </w:p>
    <w:p w:rsidR="00000000" w:rsidDel="00000000" w:rsidP="00000000" w:rsidRDefault="00000000" w:rsidRPr="00000000" w14:paraId="000000D0">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Branch, R. M. (2009). </w:t>
      </w:r>
      <w:r w:rsidDel="00000000" w:rsidR="00000000" w:rsidRPr="00000000">
        <w:rPr>
          <w:i w:val="1"/>
          <w:iCs w:val="1"/>
          <w:color w:val="000000"/>
          <w:rtl w:val="0"/>
        </w:rPr>
        <w:t xml:space="preserve">Instructional design: The ADDIE approach</w:t>
      </w:r>
      <w:r w:rsidDel="00000000" w:rsidR="00000000" w:rsidRPr="00000000">
        <w:rPr>
          <w:color w:val="000000"/>
          <w:rtl w:val="0"/>
        </w:rPr>
        <w:t xml:space="preserve">. Springer. https://doi.org/10.1007/978-0-387-09506-6</w:t>
      </w:r>
    </w:p>
    <w:p w:rsidR="00000000" w:rsidDel="00000000" w:rsidP="00000000" w:rsidRDefault="00000000" w:rsidRPr="00000000" w14:paraId="000000D1">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Brown, T. B., Mann, B., Ryder, N., et al. (2020). Language models are few-shot learners. </w:t>
      </w:r>
      <w:r w:rsidDel="00000000" w:rsidR="00000000" w:rsidRPr="00000000">
        <w:rPr>
          <w:i w:val="1"/>
          <w:iCs w:val="1"/>
          <w:color w:val="000000"/>
          <w:rtl w:val="0"/>
        </w:rPr>
        <w:t xml:space="preserve">Advances in Neural Information Processing Systems, 33</w:t>
      </w:r>
      <w:r w:rsidDel="00000000" w:rsidR="00000000" w:rsidRPr="00000000">
        <w:rPr>
          <w:color w:val="000000"/>
          <w:rtl w:val="0"/>
        </w:rPr>
        <w:t xml:space="preserve">, 1877–1901.</w:t>
      </w:r>
    </w:p>
    <w:p w:rsidR="00000000" w:rsidDel="00000000" w:rsidP="00000000" w:rsidRDefault="00000000" w:rsidRPr="00000000" w14:paraId="000000D2">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Chang, D. H., Lin, M. P.-C., Hajian, S., &amp; Wang, Q. Q. (2023). Educational design principles of using AI </w:t>
      </w:r>
      <w:r w:rsidDel="00000000" w:rsidR="00000000" w:rsidRPr="00000000">
        <w:rPr>
          <w:i w:val="1"/>
          <w:iCs w:val="1"/>
          <w:color w:val="000000"/>
          <w:rtl w:val="0"/>
        </w:rPr>
        <w:t xml:space="preserve">chatbot</w:t>
      </w:r>
      <w:r w:rsidDel="00000000" w:rsidR="00000000" w:rsidRPr="00000000">
        <w:rPr>
          <w:color w:val="000000"/>
          <w:rtl w:val="0"/>
        </w:rPr>
        <w:t xml:space="preserve"> that supports self-regulated learning in education: Goal setting, feedback, and personalization. </w:t>
      </w:r>
      <w:r w:rsidDel="00000000" w:rsidR="00000000" w:rsidRPr="00000000">
        <w:rPr>
          <w:i w:val="1"/>
          <w:iCs w:val="1"/>
          <w:color w:val="000000"/>
          <w:rtl w:val="0"/>
        </w:rPr>
        <w:t xml:space="preserve">Sustainability, 15</w:t>
      </w:r>
      <w:r w:rsidDel="00000000" w:rsidR="00000000" w:rsidRPr="00000000">
        <w:rPr>
          <w:color w:val="000000"/>
          <w:rtl w:val="0"/>
        </w:rPr>
        <w:t xml:space="preserve">(17), 12921. https://doi.org/10.3390/su151712921</w:t>
      </w:r>
    </w:p>
    <w:p w:rsidR="00000000" w:rsidDel="00000000" w:rsidP="00000000" w:rsidRDefault="00000000" w:rsidRPr="00000000" w14:paraId="000000D3">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Cukurova, M., Luckin, R., &amp; Kent, C. (2020). Impact of an artificial intelligence research frame on the perceived credibility of educational research evidence. </w:t>
      </w:r>
      <w:r w:rsidDel="00000000" w:rsidR="00000000" w:rsidRPr="00000000">
        <w:rPr>
          <w:i w:val="1"/>
          <w:iCs w:val="1"/>
          <w:color w:val="000000"/>
          <w:rtl w:val="0"/>
        </w:rPr>
        <w:t xml:space="preserve">International Journal of Artificial Intelligence in Education, 30</w:t>
      </w:r>
      <w:r w:rsidDel="00000000" w:rsidR="00000000" w:rsidRPr="00000000">
        <w:rPr>
          <w:color w:val="000000"/>
          <w:rtl w:val="0"/>
        </w:rPr>
        <w:t xml:space="preserve">(2), 205–235. https://doi.org/10.1007/s40593-019-00188-w</w:t>
      </w:r>
    </w:p>
    <w:p w:rsidR="00000000" w:rsidDel="00000000" w:rsidP="00000000" w:rsidRDefault="00000000" w:rsidRPr="00000000" w14:paraId="000000D4">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D’Silva, G. M., Jani, M., Jadhav, V., Bhoir, A., &amp; Amin, P. N. (2020). Career counselling </w:t>
      </w:r>
      <w:r w:rsidDel="00000000" w:rsidR="00000000" w:rsidRPr="00000000">
        <w:rPr>
          <w:i w:val="1"/>
          <w:iCs w:val="1"/>
          <w:color w:val="000000"/>
          <w:rtl w:val="0"/>
        </w:rPr>
        <w:t xml:space="preserve">chatbot</w:t>
      </w:r>
      <w:r w:rsidDel="00000000" w:rsidR="00000000" w:rsidRPr="00000000">
        <w:rPr>
          <w:color w:val="000000"/>
          <w:rtl w:val="0"/>
        </w:rPr>
        <w:t xml:space="preserve"> using cognitive science and artificial intelligence. In H. Vasudevan, A. Michalas, N. Shekokar, &amp; M. Narvekar (Eds.), </w:t>
      </w:r>
      <w:r w:rsidDel="00000000" w:rsidR="00000000" w:rsidRPr="00000000">
        <w:rPr>
          <w:i w:val="1"/>
          <w:iCs w:val="1"/>
          <w:color w:val="000000"/>
          <w:rtl w:val="0"/>
        </w:rPr>
        <w:t xml:space="preserve">Advanced computing technologies and applications</w:t>
      </w:r>
      <w:r w:rsidDel="00000000" w:rsidR="00000000" w:rsidRPr="00000000">
        <w:rPr>
          <w:color w:val="000000"/>
          <w:rtl w:val="0"/>
        </w:rPr>
        <w:t xml:space="preserve"> (pp. 1–9). Springer. https://doi.org/10.1007/978-981-15-3242-9_1</w:t>
      </w:r>
    </w:p>
    <w:p w:rsidR="00000000" w:rsidDel="00000000" w:rsidP="00000000" w:rsidRDefault="00000000" w:rsidRPr="00000000" w14:paraId="000000D5">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Jemstedt, A., Bälter, O., Gavel, A., Glassey, R., &amp; Bosk, D. (2024). Less to produce and less to consume: The advantage of pure question-based learning. </w:t>
      </w:r>
      <w:r w:rsidDel="00000000" w:rsidR="00000000" w:rsidRPr="00000000">
        <w:rPr>
          <w:i w:val="1"/>
          <w:iCs w:val="1"/>
          <w:color w:val="000000"/>
          <w:rtl w:val="0"/>
        </w:rPr>
        <w:t xml:space="preserve">Interactive Learning Environments</w:t>
      </w:r>
      <w:r w:rsidDel="00000000" w:rsidR="00000000" w:rsidRPr="00000000">
        <w:rPr>
          <w:color w:val="000000"/>
          <w:rtl w:val="0"/>
        </w:rPr>
        <w:t xml:space="preserve">. https://doi.org/10.1080/10494820.2024.2362830</w:t>
      </w:r>
    </w:p>
    <w:p w:rsidR="00000000" w:rsidDel="00000000" w:rsidP="00000000" w:rsidRDefault="00000000" w:rsidRPr="00000000" w14:paraId="000000D6">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Kasneci, E., Seßler, K., Küchemann, S., et al. (2023). ChatGPT for good? On opportunities and challenges of large language models for education. </w:t>
      </w:r>
      <w:r w:rsidDel="00000000" w:rsidR="00000000" w:rsidRPr="00000000">
        <w:rPr>
          <w:i w:val="1"/>
          <w:iCs w:val="1"/>
          <w:color w:val="000000"/>
          <w:rtl w:val="0"/>
        </w:rPr>
        <w:t xml:space="preserve">Learning and Individual Differences, 103</w:t>
      </w:r>
      <w:r w:rsidDel="00000000" w:rsidR="00000000" w:rsidRPr="00000000">
        <w:rPr>
          <w:color w:val="000000"/>
          <w:rtl w:val="0"/>
        </w:rPr>
        <w:t xml:space="preserve">, 102274. https://doi.org/10.1016/j.lindif.2023.102274</w:t>
      </w:r>
    </w:p>
    <w:p w:rsidR="00000000" w:rsidDel="00000000" w:rsidP="00000000" w:rsidRDefault="00000000" w:rsidRPr="00000000" w14:paraId="000000D7">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Kuhail, M. A., Alturki, N., Alramlawi, S., &amp; Alhejori, K. (2022). Interacting with educational </w:t>
      </w:r>
      <w:r w:rsidDel="00000000" w:rsidR="00000000" w:rsidRPr="00000000">
        <w:rPr>
          <w:i w:val="1"/>
          <w:iCs w:val="1"/>
          <w:color w:val="000000"/>
          <w:rtl w:val="0"/>
        </w:rPr>
        <w:t xml:space="preserve">chatbot</w:t>
      </w:r>
      <w:r w:rsidDel="00000000" w:rsidR="00000000" w:rsidRPr="00000000">
        <w:rPr>
          <w:color w:val="000000"/>
          <w:rtl w:val="0"/>
        </w:rPr>
        <w:t xml:space="preserve">s: A systematic review. </w:t>
      </w:r>
      <w:r w:rsidDel="00000000" w:rsidR="00000000" w:rsidRPr="00000000">
        <w:rPr>
          <w:i w:val="1"/>
          <w:iCs w:val="1"/>
          <w:color w:val="000000"/>
          <w:rtl w:val="0"/>
        </w:rPr>
        <w:t xml:space="preserve">Education and Information Technologies, 28</w:t>
      </w:r>
      <w:r w:rsidDel="00000000" w:rsidR="00000000" w:rsidRPr="00000000">
        <w:rPr>
          <w:color w:val="000000"/>
          <w:rtl w:val="0"/>
        </w:rPr>
        <w:t xml:space="preserve">(1), 973–1018. https://doi.org/10.1007/s10639-022-11177-3</w:t>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Lewis, P., Perez, E., Piktus, A., et al. (2020). Retrieval-Augmented Generation for knowledge-intensive NLP tasks. </w:t>
      </w:r>
      <w:r w:rsidDel="00000000" w:rsidR="00000000" w:rsidRPr="00000000">
        <w:rPr>
          <w:i w:val="1"/>
          <w:iCs w:val="1"/>
          <w:color w:val="000000"/>
          <w:rtl w:val="0"/>
        </w:rPr>
        <w:t xml:space="preserve">Advances in Neural Information Processing Systems, 33</w:t>
      </w:r>
      <w:r w:rsidDel="00000000" w:rsidR="00000000" w:rsidRPr="00000000">
        <w:rPr>
          <w:color w:val="000000"/>
          <w:rtl w:val="0"/>
        </w:rPr>
        <w:t xml:space="preserve">, 9459–9474.</w:t>
      </w:r>
    </w:p>
    <w:p w:rsidR="00000000" w:rsidDel="00000000" w:rsidP="00000000" w:rsidRDefault="00000000" w:rsidRPr="00000000" w14:paraId="000000D9">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Liu, X., Xiao, Y., &amp; Li, D. (2025). Assessing strategic use of artificial intelligence in self-regulated learning: Instrument development and evidence from Chinese university students. </w:t>
      </w:r>
      <w:r w:rsidDel="00000000" w:rsidR="00000000" w:rsidRPr="00000000">
        <w:rPr>
          <w:i w:val="1"/>
          <w:iCs w:val="1"/>
          <w:color w:val="000000"/>
          <w:rtl w:val="0"/>
        </w:rPr>
        <w:t xml:space="preserve">International Journal of Educational Technology in Higher Education, 22</w:t>
      </w:r>
      <w:r w:rsidDel="00000000" w:rsidR="00000000" w:rsidRPr="00000000">
        <w:rPr>
          <w:color w:val="000000"/>
          <w:rtl w:val="0"/>
        </w:rPr>
        <w:t xml:space="preserve">, 69. https://doi.org/10.1186/s41239-025-00567-5</w:t>
      </w:r>
    </w:p>
    <w:p w:rsidR="00000000" w:rsidDel="00000000" w:rsidP="00000000" w:rsidRDefault="00000000" w:rsidRPr="00000000" w14:paraId="000000DA">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Mendez, S., Johanson, K., Conley, V. M., et al. (2020). </w:t>
      </w:r>
      <w:r w:rsidDel="00000000" w:rsidR="00000000" w:rsidRPr="00000000">
        <w:rPr>
          <w:i w:val="1"/>
          <w:iCs w:val="1"/>
          <w:color w:val="000000"/>
          <w:rtl w:val="0"/>
        </w:rPr>
        <w:t xml:space="preserve">chatbot</w:t>
      </w:r>
      <w:r w:rsidDel="00000000" w:rsidR="00000000" w:rsidRPr="00000000">
        <w:rPr>
          <w:color w:val="000000"/>
          <w:rtl w:val="0"/>
        </w:rPr>
        <w:t xml:space="preserve">s: A tool to supplement the future faculty mentoring of doctoral engineering students. </w:t>
      </w:r>
      <w:r w:rsidDel="00000000" w:rsidR="00000000" w:rsidRPr="00000000">
        <w:rPr>
          <w:i w:val="1"/>
          <w:iCs w:val="1"/>
          <w:color w:val="000000"/>
          <w:rtl w:val="0"/>
        </w:rPr>
        <w:t xml:space="preserve">International Journal of Doctoral Studies, 15</w:t>
      </w:r>
      <w:r w:rsidDel="00000000" w:rsidR="00000000" w:rsidRPr="00000000">
        <w:rPr>
          <w:color w:val="000000"/>
          <w:rtl w:val="0"/>
        </w:rPr>
        <w:t xml:space="preserve">, 373–392. https://doi.org/10.28945/4579</w:t>
      </w:r>
    </w:p>
    <w:p w:rsidR="00000000" w:rsidDel="00000000" w:rsidP="00000000" w:rsidRDefault="00000000" w:rsidRPr="00000000" w14:paraId="000000DB">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Neumann, A. T., Arndt, T., Köbis, L., et al. (2021). </w:t>
      </w:r>
      <w:r w:rsidDel="00000000" w:rsidR="00000000" w:rsidRPr="00000000">
        <w:rPr>
          <w:i w:val="1"/>
          <w:iCs w:val="1"/>
          <w:color w:val="000000"/>
          <w:rtl w:val="0"/>
        </w:rPr>
        <w:t xml:space="preserve">chatbot</w:t>
      </w:r>
      <w:r w:rsidDel="00000000" w:rsidR="00000000" w:rsidRPr="00000000">
        <w:rPr>
          <w:color w:val="000000"/>
          <w:rtl w:val="0"/>
        </w:rPr>
        <w:t xml:space="preserve">s as a tool to scale mentoring processes: Individually supporting self-study in higher education. </w:t>
      </w:r>
      <w:r w:rsidDel="00000000" w:rsidR="00000000" w:rsidRPr="00000000">
        <w:rPr>
          <w:i w:val="1"/>
          <w:iCs w:val="1"/>
          <w:color w:val="000000"/>
          <w:rtl w:val="0"/>
        </w:rPr>
        <w:t xml:space="preserve">Frontiers in Artificial Intelligence, 4</w:t>
      </w:r>
      <w:r w:rsidDel="00000000" w:rsidR="00000000" w:rsidRPr="00000000">
        <w:rPr>
          <w:color w:val="000000"/>
          <w:rtl w:val="0"/>
        </w:rPr>
        <w:t xml:space="preserve">, 668220. https://doi.org/10.3389/frai.2021.668220</w:t>
      </w:r>
    </w:p>
    <w:p w:rsidR="00000000" w:rsidDel="00000000" w:rsidP="00000000" w:rsidRDefault="00000000" w:rsidRPr="00000000" w14:paraId="000000DC">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Savickas, M. L. (2018). The career construction interview. In </w:t>
      </w:r>
      <w:r w:rsidDel="00000000" w:rsidR="00000000" w:rsidRPr="00000000">
        <w:rPr>
          <w:i w:val="1"/>
          <w:iCs w:val="1"/>
          <w:color w:val="000000"/>
          <w:rtl w:val="0"/>
        </w:rPr>
        <w:t xml:space="preserve">Career counseling</w:t>
      </w:r>
      <w:r w:rsidDel="00000000" w:rsidR="00000000" w:rsidRPr="00000000">
        <w:rPr>
          <w:color w:val="000000"/>
          <w:rtl w:val="0"/>
        </w:rPr>
        <w:t xml:space="preserve"> (2a ed., pp. 57–70). American Psychological Association. https://doi.org/10.1037/0000105-004</w:t>
      </w:r>
    </w:p>
    <w:p w:rsidR="00000000" w:rsidDel="00000000" w:rsidP="00000000" w:rsidRDefault="00000000" w:rsidRPr="00000000" w14:paraId="000000DD">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Self, J. A. (1974). Student models in computer-aided instruction. </w:t>
      </w:r>
      <w:r w:rsidDel="00000000" w:rsidR="00000000" w:rsidRPr="00000000">
        <w:rPr>
          <w:i w:val="1"/>
          <w:iCs w:val="1"/>
          <w:color w:val="000000"/>
          <w:rtl w:val="0"/>
        </w:rPr>
        <w:t xml:space="preserve">International Journal of Man-Machine Studies, 6</w:t>
      </w:r>
      <w:r w:rsidDel="00000000" w:rsidR="00000000" w:rsidRPr="00000000">
        <w:rPr>
          <w:color w:val="000000"/>
          <w:rtl w:val="0"/>
        </w:rPr>
        <w:t xml:space="preserve">(2), 261–276. https://doi.org/10.1016/S0020-7373(74)80005-2</w:t>
      </w:r>
    </w:p>
    <w:p w:rsidR="00000000" w:rsidDel="00000000" w:rsidP="00000000" w:rsidRDefault="00000000" w:rsidRPr="00000000" w14:paraId="000000DE">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Su, L. H., Truong, D.-H., Tran, T.-Y.-L., et al. (2020). Development of an AI </w:t>
      </w:r>
      <w:r w:rsidDel="00000000" w:rsidR="00000000" w:rsidRPr="00000000">
        <w:rPr>
          <w:i w:val="1"/>
          <w:iCs w:val="1"/>
          <w:color w:val="000000"/>
          <w:rtl w:val="0"/>
        </w:rPr>
        <w:t xml:space="preserve">chatbot</w:t>
      </w:r>
      <w:r w:rsidDel="00000000" w:rsidR="00000000" w:rsidRPr="00000000">
        <w:rPr>
          <w:color w:val="000000"/>
          <w:rtl w:val="0"/>
        </w:rPr>
        <w:t xml:space="preserve"> to support admissions and career guidance for universities. </w:t>
      </w:r>
      <w:r w:rsidDel="00000000" w:rsidR="00000000" w:rsidRPr="00000000">
        <w:rPr>
          <w:i w:val="1"/>
          <w:iCs w:val="1"/>
          <w:color w:val="000000"/>
          <w:rtl w:val="0"/>
        </w:rPr>
        <w:t xml:space="preserve">International Journal of Emerging Multidisciplinary Research, 4</w:t>
      </w:r>
      <w:r w:rsidDel="00000000" w:rsidR="00000000" w:rsidRPr="00000000">
        <w:rPr>
          <w:color w:val="000000"/>
          <w:rtl w:val="0"/>
        </w:rPr>
        <w:t xml:space="preserve">(2), 13–20. https://doi.org/10.22662/IJEMR.2020.4.2.013</w:t>
      </w:r>
    </w:p>
    <w:p w:rsidR="00000000" w:rsidDel="00000000" w:rsidP="00000000" w:rsidRDefault="00000000" w:rsidRPr="00000000" w14:paraId="000000DF">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Susnjak, T. (2023). Beyond predictive learning analytics modelling and onto explainable artificial intelligence with prescriptive analytics and ChatGPT. </w:t>
      </w:r>
      <w:r w:rsidDel="00000000" w:rsidR="00000000" w:rsidRPr="00000000">
        <w:rPr>
          <w:i w:val="1"/>
          <w:iCs w:val="1"/>
          <w:color w:val="000000"/>
          <w:rtl w:val="0"/>
        </w:rPr>
        <w:t xml:space="preserve">International Journal of Artificial Intelligence in Education, 34</w:t>
      </w:r>
      <w:r w:rsidDel="00000000" w:rsidR="00000000" w:rsidRPr="00000000">
        <w:rPr>
          <w:color w:val="000000"/>
          <w:rtl w:val="0"/>
        </w:rPr>
        <w:t xml:space="preserve">, 452–482. https://doi.org/10.1007/s40593-023-00336-3</w:t>
      </w:r>
    </w:p>
    <w:p w:rsidR="00000000" w:rsidDel="00000000" w:rsidP="00000000" w:rsidRDefault="00000000" w:rsidRPr="00000000" w14:paraId="000000E0">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Tankelevitch, L., Kewenig, V., Simkute, A., et al. (2024). The metacognitive demands and opportunities of generative AI. In </w:t>
      </w:r>
      <w:r w:rsidDel="00000000" w:rsidR="00000000" w:rsidRPr="00000000">
        <w:rPr>
          <w:i w:val="1"/>
          <w:iCs w:val="1"/>
          <w:color w:val="000000"/>
          <w:rtl w:val="0"/>
        </w:rPr>
        <w:t xml:space="preserve">Proceedings of the 2024 CHI Conference on Human Factors in Computing Systems</w:t>
      </w:r>
      <w:r w:rsidDel="00000000" w:rsidR="00000000" w:rsidRPr="00000000">
        <w:rPr>
          <w:color w:val="000000"/>
          <w:rtl w:val="0"/>
        </w:rPr>
        <w:t xml:space="preserve"> (pp. 1–24). https://doi.org/10.1145/3613904.3642902</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Weizenbaum, J. (1966). ELIZA—A computer program for the study of natural language communication between man and machine. </w:t>
      </w:r>
      <w:r w:rsidDel="00000000" w:rsidR="00000000" w:rsidRPr="00000000">
        <w:rPr>
          <w:i w:val="1"/>
          <w:iCs w:val="1"/>
          <w:color w:val="000000"/>
          <w:rtl w:val="0"/>
        </w:rPr>
        <w:t xml:space="preserve">Communications of the ACM, 9</w:t>
      </w:r>
      <w:r w:rsidDel="00000000" w:rsidR="00000000" w:rsidRPr="00000000">
        <w:rPr>
          <w:color w:val="000000"/>
          <w:rtl w:val="0"/>
        </w:rPr>
        <w:t xml:space="preserve">(1), 36–45. https://doi.org/10.1145/365153.365168</w:t>
      </w:r>
    </w:p>
    <w:p w:rsidR="00000000" w:rsidDel="00000000" w:rsidP="00000000" w:rsidRDefault="00000000" w:rsidRPr="00000000" w14:paraId="000000E2">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Wollny, S., Schneider, J., Di Mitri, D., et al. (2021). Are we there yet? A systematic literature review on </w:t>
      </w:r>
      <w:r w:rsidDel="00000000" w:rsidR="00000000" w:rsidRPr="00000000">
        <w:rPr>
          <w:i w:val="1"/>
          <w:iCs w:val="1"/>
          <w:color w:val="000000"/>
          <w:rtl w:val="0"/>
        </w:rPr>
        <w:t xml:space="preserve">chatbot</w:t>
      </w:r>
      <w:r w:rsidDel="00000000" w:rsidR="00000000" w:rsidRPr="00000000">
        <w:rPr>
          <w:color w:val="000000"/>
          <w:rtl w:val="0"/>
        </w:rPr>
        <w:t xml:space="preserve">s in education. </w:t>
      </w:r>
      <w:r w:rsidDel="00000000" w:rsidR="00000000" w:rsidRPr="00000000">
        <w:rPr>
          <w:i w:val="1"/>
          <w:iCs w:val="1"/>
          <w:color w:val="000000"/>
          <w:rtl w:val="0"/>
        </w:rPr>
        <w:t xml:space="preserve">Frontiers in Artificial Intelligence, 4</w:t>
      </w:r>
      <w:r w:rsidDel="00000000" w:rsidR="00000000" w:rsidRPr="00000000">
        <w:rPr>
          <w:color w:val="000000"/>
          <w:rtl w:val="0"/>
        </w:rPr>
        <w:t xml:space="preserve">, 654924. https://doi.org/10.3389/frai.2021.654924</w:t>
      </w:r>
    </w:p>
    <w:p w:rsidR="00000000" w:rsidDel="00000000" w:rsidP="00000000" w:rsidRDefault="00000000" w:rsidRPr="00000000" w14:paraId="000000E3">
      <w:pPr>
        <w:pBdr>
          <w:top w:space="0" w:sz="0" w:val="nil"/>
          <w:left w:space="0" w:sz="0" w:val="nil"/>
          <w:bottom w:space="0" w:sz="0" w:val="nil"/>
          <w:right w:space="0" w:sz="0" w:val="nil"/>
          <w:between w:space="0" w:sz="0" w:val="nil"/>
        </w:pBdr>
        <w:rPr>
          <w:color w:val="000000"/>
        </w:rPr>
        <w:jc w:val="both"/>
      </w:pPr>
      <w:r w:rsidDel="00000000" w:rsidR="00000000" w:rsidRPr="00000000">
        <w:rPr>
          <w:color w:val="000000"/>
          <w:rtl w:val="0"/>
        </w:rPr>
        <w:t xml:space="preserve">Zawacki-Richter, O., Marín, V. I., Bond, M., &amp; Gouverneur, F. (2019). Systematic review of research on artificial intelligence applications in higher education: Where are the educators? </w:t>
      </w:r>
      <w:r w:rsidDel="00000000" w:rsidR="00000000" w:rsidRPr="00000000">
        <w:rPr>
          <w:i w:val="1"/>
          <w:iCs w:val="1"/>
          <w:color w:val="000000"/>
          <w:rtl w:val="0"/>
        </w:rPr>
        <w:t xml:space="preserve">International Journal of Educational Technology in Higher Education, 16</w:t>
      </w:r>
      <w:r w:rsidDel="00000000" w:rsidR="00000000" w:rsidRPr="00000000">
        <w:rPr>
          <w:color w:val="000000"/>
          <w:rtl w:val="0"/>
        </w:rPr>
        <w:t xml:space="preserve">(1), 39. https://doi.org/10.1186/s41239-019-0171-0</w:t>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ungsuh"/>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t"/>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pPr>
      <w:jc w:val="both"/>
    </w:pPr>
    <w:name w:val="normal"/>
  </w:style>
  <w:style w:type="paragraph" w:styleId="Heading1">
    <w:name w:val="heading 1"/>
    <w:basedOn w:val="Normal"/>
    <w:next w:val="Normal"/>
    <w:pPr>
      <w:keepNext w:val="1"/>
      <w:keepLines w:val="1"/>
      <w:spacing w:after="0" w:before="480" w:lineRule="auto"/>
    </w:pPr>
    <w:rPr>
      <w:b w:val="1"/>
      <w:bCs w:val="1"/>
      <w:color w:val="000000"/>
      <w:sz w:val="28"/>
      <w:szCs w:val="28"/>
    </w:rPr>
  </w:style>
  <w:style w:type="paragraph" w:styleId="Heading2">
    <w:name w:val="heading 2"/>
    <w:basedOn w:val="Normal"/>
    <w:next w:val="Normal"/>
    <w:pPr>
      <w:keepNext w:val="1"/>
      <w:keepLines w:val="1"/>
      <w:spacing w:after="0" w:before="200" w:lineRule="auto"/>
    </w:pPr>
    <w:rPr>
      <w:b w:val="1"/>
      <w:bCs w:val="1"/>
      <w:color w:val="000000"/>
      <w:sz w:val="26"/>
      <w:szCs w:val="26"/>
    </w:rPr>
  </w:style>
  <w:style w:type="paragraph" w:styleId="Heading3">
    <w:name w:val="heading 3"/>
    <w:basedOn w:val="Normal"/>
    <w:next w:val="Normal"/>
    <w:pPr>
      <w:keepNext w:val="1"/>
      <w:keepLines w:val="1"/>
      <w:spacing w:after="0" w:before="200" w:lineRule="auto"/>
    </w:pPr>
    <w:rPr>
      <w:b w:val="1"/>
      <w:bCs w:val="1"/>
      <w:color w:val="000000"/>
    </w:rPr>
  </w:style>
  <w:style w:type="paragraph" w:styleId="Heading4">
    <w:name w:val="heading 4"/>
    <w:basedOn w:val="Normal"/>
    <w:next w:val="Normal"/>
    <w:pPr>
      <w:keepNext w:val="1"/>
      <w:keepLines w:val="1"/>
      <w:spacing w:after="0" w:before="200" w:lineRule="auto"/>
    </w:pPr>
    <w:rPr>
      <w:b w:val="1"/>
      <w:bCs w:val="1"/>
      <w:i w:val="1"/>
      <w:iCs w:val="1"/>
      <w:color w:val="000000"/>
    </w:rPr>
  </w:style>
  <w:style w:type="paragraph" w:styleId="Heading5">
    <w:name w:val="heading 5"/>
    <w:basedOn w:val="Normal"/>
    <w:next w:val="Normal"/>
    <w:pPr>
      <w:keepNext w:val="1"/>
      <w:keepLines w:val="1"/>
      <w:spacing w:after="0" w:before="200" w:lineRule="auto"/>
    </w:pPr>
    <w:rPr>
      <w:color w:val="000000"/>
    </w:rPr>
  </w:style>
  <w:style w:type="paragraph" w:styleId="Heading6">
    <w:name w:val="heading 6"/>
    <w:basedOn w:val="Normal"/>
    <w:next w:val="Normal"/>
    <w:pPr>
      <w:keepNext w:val="1"/>
      <w:keepLines w:val="1"/>
      <w:spacing w:after="0" w:before="200" w:lineRule="auto"/>
    </w:pPr>
    <w:rPr>
      <w:i w:val="1"/>
      <w:iCs w:val="1"/>
      <w:color w:val="000000"/>
    </w:rPr>
  </w:style>
  <w:style w:type="paragraph" w:styleId="Title">
    <w:name w:val="Title"/>
    <w:basedOn w:val="Normal"/>
    <w:next w:val="Normal"/>
    <w:pPr>
      <w:pBdr>
        <w:bottom w:color="4f81bd" w:space="4" w:sz="8" w:val="single"/>
      </w:pBdr>
      <w:spacing w:after="300" w:line="240" w:lineRule="auto"/>
    </w:pPr>
    <w:rPr>
      <w:color w:val="000000"/>
      <w:sz w:val="52"/>
      <w:szCs w:val="52"/>
    </w:rPr>
  </w:style>
  <w:style w:type="paragraph" w:styleId="Subtitle">
    <w:name w:val="Subtitle"/>
    <w:basedOn w:val="Normal"/>
    <w:next w:val="Normal"/>
    <w:pPr/>
    <w:rPr>
      <w:i w:val="1"/>
      <w:iCs w:val="1"/>
      <w:color w:val="00000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NaiQqQp7GY8WffuWj//sA3VuBQ==">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