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1A365D"/>
          <w:sz w:val="32"/>
        </w:rPr>
        <w:t>LAPORAN EVALUASI &amp; REVIEW KINERJA KONSULTAN META ADS</w:t>
        <w:br/>
      </w:r>
      <w:r>
        <w:rPr>
          <w:color w:val="4A5568"/>
          <w:sz w:val="21"/>
        </w:rPr>
        <w:t>YANPROLAND — PERIODE BULAN I (20 JULI – 19 AGUSTUS 2026)</w:t>
      </w:r>
    </w:p>
    <w:tbl>
      <w:tblPr>
        <w:tblW w:type="auto" w:w="0"/>
        <w:jc w:val="center"/>
        <w:tblLook w:firstColumn="1" w:firstRow="1" w:lastColumn="0" w:lastRow="0" w:noHBand="0" w:noVBand="1" w:val="04A0"/>
      </w:tblPr>
      <w:tblGrid>
        <w:gridCol w:w="4968"/>
        <w:gridCol w:w="4968"/>
      </w:tblGrid>
      <w:tr>
        <w:tc>
          <w:tcPr>
            <w:tcW w:type="dxa" w:w="2880"/>
            <w:shd w:fill="F7FAFC"/>
            <w:tcMar>
              <w:top w:w="50" w:type="dxa"/>
              <w:bottom w:w="50" w:type="dxa"/>
              <w:left w:w="80" w:type="dxa"/>
              <w:right w:w="80" w:type="dxa"/>
            </w:tcMar>
          </w:tcPr>
          <w:p>
            <w:r>
              <w:rPr>
                <w:b/>
                <w:sz w:val="19"/>
              </w:rPr>
              <w:t>Nama Konsultan</w:t>
            </w:r>
          </w:p>
        </w:tc>
        <w:tc>
          <w:tcPr>
            <w:tcW w:type="dxa" w:w="6912"/>
            <w:shd w:fill="FFFFFF"/>
            <w:tcMar>
              <w:top w:w="50" w:type="dxa"/>
              <w:bottom w:w="50" w:type="dxa"/>
              <w:left w:w="80" w:type="dxa"/>
              <w:right w:w="80" w:type="dxa"/>
            </w:tcMar>
          </w:tcPr>
          <w:p>
            <w:r>
              <w:rPr>
                <w:sz w:val="19"/>
              </w:rPr>
              <w:t>Aswar Anas (Pengelola Meta Ads &amp; Digital Strategist)</w:t>
            </w:r>
          </w:p>
        </w:tc>
      </w:tr>
      <w:tr>
        <w:tc>
          <w:tcPr>
            <w:tcW w:type="dxa" w:w="2880"/>
            <w:shd w:fill="F7FAFC"/>
            <w:tcMar>
              <w:top w:w="50" w:type="dxa"/>
              <w:bottom w:w="50" w:type="dxa"/>
              <w:left w:w="80" w:type="dxa"/>
              <w:right w:w="80" w:type="dxa"/>
            </w:tcMar>
          </w:tcPr>
          <w:p>
            <w:r>
              <w:rPr>
                <w:b/>
                <w:sz w:val="19"/>
              </w:rPr>
              <w:t>Periode Evaluasi</w:t>
            </w:r>
          </w:p>
        </w:tc>
        <w:tc>
          <w:tcPr>
            <w:tcW w:type="dxa" w:w="6912"/>
            <w:shd w:fill="FFFFFF"/>
            <w:tcMar>
              <w:top w:w="50" w:type="dxa"/>
              <w:bottom w:w="50" w:type="dxa"/>
              <w:left w:w="80" w:type="dxa"/>
              <w:right w:w="80" w:type="dxa"/>
            </w:tcMar>
          </w:tcPr>
          <w:p>
            <w:r>
              <w:rPr>
                <w:sz w:val="19"/>
              </w:rPr>
              <w:t>Bulan I (20 Juli 2026 – 19 Agustus 2026)</w:t>
            </w:r>
          </w:p>
        </w:tc>
      </w:tr>
      <w:tr>
        <w:tc>
          <w:tcPr>
            <w:tcW w:type="dxa" w:w="2880"/>
            <w:shd w:fill="F7FAFC"/>
            <w:tcMar>
              <w:top w:w="50" w:type="dxa"/>
              <w:bottom w:w="50" w:type="dxa"/>
              <w:left w:w="80" w:type="dxa"/>
              <w:right w:w="80" w:type="dxa"/>
            </w:tcMar>
          </w:tcPr>
          <w:p>
            <w:r>
              <w:rPr>
                <w:b/>
                <w:sz w:val="19"/>
              </w:rPr>
              <w:t>Penyusun &amp; Reviewer</w:t>
            </w:r>
          </w:p>
        </w:tc>
        <w:tc>
          <w:tcPr>
            <w:tcW w:type="dxa" w:w="6912"/>
            <w:shd w:fill="FFFFFF"/>
            <w:tcMar>
              <w:top w:w="50" w:type="dxa"/>
              <w:bottom w:w="50" w:type="dxa"/>
              <w:left w:w="80" w:type="dxa"/>
              <w:right w:w="80" w:type="dxa"/>
            </w:tcMar>
          </w:tcPr>
          <w:p>
            <w:r>
              <w:rPr>
                <w:sz w:val="19"/>
              </w:rPr>
              <w:t>Nugi Fathul Falah (Lead Marcom &amp; Digital)</w:t>
            </w:r>
          </w:p>
        </w:tc>
      </w:tr>
      <w:tr>
        <w:tc>
          <w:tcPr>
            <w:tcW w:type="dxa" w:w="2880"/>
            <w:shd w:fill="F7FAFC"/>
            <w:tcMar>
              <w:top w:w="50" w:type="dxa"/>
              <w:bottom w:w="50" w:type="dxa"/>
              <w:left w:w="80" w:type="dxa"/>
              <w:right w:w="80" w:type="dxa"/>
            </w:tcMar>
          </w:tcPr>
          <w:p>
            <w:r>
              <w:rPr>
                <w:b/>
                <w:sz w:val="19"/>
              </w:rPr>
              <w:t>Status Kerja Sama</w:t>
            </w:r>
          </w:p>
        </w:tc>
        <w:tc>
          <w:tcPr>
            <w:tcW w:type="dxa" w:w="6912"/>
            <w:shd w:fill="FFFFFF"/>
            <w:tcMar>
              <w:top w:w="50" w:type="dxa"/>
              <w:bottom w:w="50" w:type="dxa"/>
              <w:left w:w="80" w:type="dxa"/>
              <w:right w:w="80" w:type="dxa"/>
            </w:tcMar>
          </w:tcPr>
          <w:p>
            <w:r>
              <w:rPr>
                <w:sz w:val="19"/>
              </w:rPr>
              <w:t>PKS 3 Bulan (Termin I Terbayar | Evaluasi Realisasi Deliverables Termin II)</w:t>
            </w:r>
          </w:p>
        </w:tc>
      </w:tr>
    </w:tbl>
    <w:p/>
    <w:p>
      <w:pPr>
        <w:pStyle w:val="Heading1"/>
        <w:spacing w:before="280" w:after="120"/>
      </w:pPr>
      <w:r>
        <w:rPr>
          <w:b/>
          <w:color w:val="1A365D"/>
          <w:sz w:val="29"/>
        </w:rPr>
        <w:t>1. RINGKASAN CAPAIAN &amp; KINERJA (EXECUTIVE SUMMARY)</w:t>
      </w:r>
    </w:p>
    <w:p>
      <w:r>
        <w:t xml:space="preserve">Laporan ini disusun sebagai bentuk evaluasi objektif dan konstruktif terhadap realisasi Perjanjian Kerja Sama (PKS) tertanggal 20 Juli 2026 selama masa kerja Bulan I. Berdasarkan tinjauan terhadap 17 indikator ruang lingkup kerja sama, disimpulkan bahwa secara umum terdapat beberapa aspek fondasi yang telah dirintis, namun </w:t>
      </w:r>
      <w:r>
        <w:rPr>
          <w:b/>
        </w:rPr>
        <w:t>sebagian besar deliverable utama masih memerlukan optimalisasi dan pemenuhan lebih lanjut (Perlu Peningkatan)</w:t>
      </w:r>
      <w:r>
        <w:t xml:space="preserve"> sebelum melangkah ke fase berikutnya:</w:t>
      </w:r>
    </w:p>
    <w:p>
      <w:pPr>
        <w:pStyle w:val="ListBullet"/>
      </w:pPr>
      <w:r>
        <w:rPr>
          <w:b/>
        </w:rPr>
        <w:t xml:space="preserve">Skor Rata-Rata Capaian: </w:t>
      </w:r>
      <w:r>
        <w:t>2.35 / 5.00 (Kategori: Perlu Peningkatan &amp; Optimalisasi)</w:t>
      </w:r>
    </w:p>
    <w:p>
      <w:pPr>
        <w:pStyle w:val="ListBullet"/>
      </w:pPr>
      <w:r>
        <w:rPr>
          <w:b/>
        </w:rPr>
        <w:t xml:space="preserve">Rekapitulasi 17 Deliverables PKS: </w:t>
      </w:r>
      <w:r>
        <w:t>Sudah Terealisasi: 2 poin (11.8%) | Sebagian / Dalam Proses: 6 poin (35.3%) | Belum Terlaksana: 9 poin (52.9%)</w:t>
      </w:r>
    </w:p>
    <w:p>
      <w:pPr>
        <w:pStyle w:val="Heading1"/>
        <w:spacing w:before="280" w:after="120"/>
      </w:pPr>
      <w:r>
        <w:rPr>
          <w:b/>
          <w:color w:val="1A365D"/>
          <w:sz w:val="29"/>
        </w:rPr>
        <w:t>2. MATRIKS EVALUASI 17 INDIKATOR KERJA SAMA (PKS)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576"/>
            <w:shd w:fill="EBF8FF"/>
            <w:tcMar>
              <w:top w:w="70" w:type="dxa"/>
              <w:bottom w:w="70" w:type="dxa"/>
              <w:left w:w="70" w:type="dxa"/>
              <w:right w:w="70" w:type="dxa"/>
            </w:tcMar>
          </w:tcPr>
          <w:p>
            <w:r>
              <w:rPr>
                <w:b/>
                <w:color w:val="2B6CB0"/>
                <w:sz w:val="17"/>
              </w:rPr>
              <w:t>No</w:t>
            </w:r>
          </w:p>
        </w:tc>
        <w:tc>
          <w:tcPr>
            <w:tcW w:type="dxa" w:w="1584"/>
            <w:shd w:fill="EBF8FF"/>
            <w:tcMar>
              <w:top w:w="70" w:type="dxa"/>
              <w:bottom w:w="70" w:type="dxa"/>
              <w:left w:w="70" w:type="dxa"/>
              <w:right w:w="70" w:type="dxa"/>
            </w:tcMar>
          </w:tcPr>
          <w:p>
            <w:r>
              <w:rPr>
                <w:b/>
                <w:color w:val="2B6CB0"/>
                <w:sz w:val="17"/>
              </w:rPr>
              <w:t>Klausul PKS</w:t>
            </w:r>
          </w:p>
        </w:tc>
        <w:tc>
          <w:tcPr>
            <w:tcW w:type="dxa" w:w="2304"/>
            <w:shd w:fill="EBF8FF"/>
            <w:tcMar>
              <w:top w:w="70" w:type="dxa"/>
              <w:bottom w:w="70" w:type="dxa"/>
              <w:left w:w="70" w:type="dxa"/>
              <w:right w:w="70" w:type="dxa"/>
            </w:tcMar>
          </w:tcPr>
          <w:p>
            <w:r>
              <w:rPr>
                <w:b/>
                <w:color w:val="2B6CB0"/>
                <w:sz w:val="17"/>
              </w:rPr>
              <w:t>Indikator Deliverable</w:t>
            </w:r>
          </w:p>
        </w:tc>
        <w:tc>
          <w:tcPr>
            <w:tcW w:type="dxa" w:w="1584"/>
            <w:shd w:fill="EBF8FF"/>
            <w:tcMar>
              <w:top w:w="70" w:type="dxa"/>
              <w:bottom w:w="70" w:type="dxa"/>
              <w:left w:w="70" w:type="dxa"/>
              <w:right w:w="70" w:type="dxa"/>
            </w:tcMar>
          </w:tcPr>
          <w:p>
            <w:r>
              <w:rPr>
                <w:b/>
                <w:color w:val="2B6CB0"/>
                <w:sz w:val="17"/>
              </w:rPr>
              <w:t>Status Realisasi</w:t>
            </w:r>
          </w:p>
        </w:tc>
        <w:tc>
          <w:tcPr>
            <w:tcW w:type="dxa" w:w="720"/>
            <w:shd w:fill="EBF8FF"/>
            <w:tcMar>
              <w:top w:w="70" w:type="dxa"/>
              <w:bottom w:w="70" w:type="dxa"/>
              <w:left w:w="70" w:type="dxa"/>
              <w:right w:w="70" w:type="dxa"/>
            </w:tcMar>
          </w:tcPr>
          <w:p>
            <w:r>
              <w:rPr>
                <w:b/>
                <w:color w:val="2B6CB0"/>
                <w:sz w:val="17"/>
              </w:rPr>
              <w:t>Nilai</w:t>
            </w:r>
          </w:p>
        </w:tc>
        <w:tc>
          <w:tcPr>
            <w:tcW w:type="dxa" w:w="3024"/>
            <w:shd w:fill="EBF8FF"/>
            <w:tcMar>
              <w:top w:w="70" w:type="dxa"/>
              <w:bottom w:w="70" w:type="dxa"/>
              <w:left w:w="70" w:type="dxa"/>
              <w:right w:w="70" w:type="dxa"/>
            </w:tcMar>
          </w:tcPr>
          <w:p>
            <w:r>
              <w:rPr>
                <w:b/>
                <w:color w:val="2B6CB0"/>
                <w:sz w:val="17"/>
              </w:rPr>
              <w:t>Catatan Penyelarasan &amp; Fakta Lapangan</w:t>
            </w:r>
          </w:p>
        </w:tc>
      </w:tr>
      <w:tr>
        <w:tc>
          <w:tcPr>
            <w:tcW w:type="dxa" w:w="576"/>
            <w:tcMar>
              <w:top w:w="50" w:type="dxa"/>
              <w:bottom w:w="50" w:type="dxa"/>
              <w:left w:w="60" w:type="dxa"/>
              <w:right w:w="60" w:type="dxa"/>
            </w:tcMar>
            <w:shd w:fill="FFFFFF"/>
          </w:tcPr>
          <w:p>
            <w:pPr>
              <w:spacing w:before="20" w:after="20"/>
              <w:jc w:val="center"/>
            </w:pPr>
            <w:r>
              <w:rPr>
                <w:sz w:val="17"/>
              </w:rPr>
              <w:t>1</w:t>
            </w:r>
          </w:p>
        </w:tc>
        <w:tc>
          <w:tcPr>
            <w:tcW w:type="dxa" w:w="1584"/>
            <w:tcMar>
              <w:top w:w="50" w:type="dxa"/>
              <w:bottom w:w="50" w:type="dxa"/>
              <w:left w:w="60" w:type="dxa"/>
              <w:right w:w="60" w:type="dxa"/>
            </w:tcMar>
            <w:shd w:fill="FFFFFF"/>
          </w:tcPr>
          <w:p>
            <w:pPr>
              <w:spacing w:before="20" w:after="20"/>
            </w:pPr>
            <w:r>
              <w:rPr>
                <w:sz w:val="17"/>
              </w:rPr>
              <w:t>Pasal 1 (1)</w:t>
            </w:r>
          </w:p>
        </w:tc>
        <w:tc>
          <w:tcPr>
            <w:tcW w:type="dxa" w:w="2304"/>
            <w:tcMar>
              <w:top w:w="50" w:type="dxa"/>
              <w:bottom w:w="50" w:type="dxa"/>
              <w:left w:w="60" w:type="dxa"/>
              <w:right w:w="60" w:type="dxa"/>
            </w:tcMar>
            <w:shd w:fill="FFFFFF"/>
          </w:tcPr>
          <w:p>
            <w:pPr>
              <w:spacing w:before="20" w:after="20"/>
            </w:pPr>
            <w:r>
              <w:rPr>
                <w:sz w:val="17"/>
              </w:rPr>
              <w:t>Riset Audiens &amp; Target Market</w:t>
            </w:r>
          </w:p>
        </w:tc>
        <w:tc>
          <w:tcPr>
            <w:tcW w:type="dxa" w:w="1584"/>
            <w:tcMar>
              <w:top w:w="50" w:type="dxa"/>
              <w:bottom w:w="50" w:type="dxa"/>
              <w:left w:w="60" w:type="dxa"/>
              <w:right w:w="60" w:type="dxa"/>
            </w:tcMar>
            <w:shd w:fill="F0FDF4"/>
          </w:tcPr>
          <w:p>
            <w:pPr>
              <w:spacing w:before="20" w:after="20"/>
            </w:pPr>
            <w:r>
              <w:rPr>
                <w:sz w:val="17"/>
              </w:rPr>
              <w:t>Sudah Berjalan</w:t>
            </w:r>
          </w:p>
        </w:tc>
        <w:tc>
          <w:tcPr>
            <w:tcW w:type="dxa" w:w="720"/>
            <w:tcMar>
              <w:top w:w="50" w:type="dxa"/>
              <w:bottom w:w="50" w:type="dxa"/>
              <w:left w:w="60" w:type="dxa"/>
              <w:right w:w="60" w:type="dxa"/>
            </w:tcMar>
            <w:shd w:fill="FFFFFF"/>
          </w:tcPr>
          <w:p>
            <w:pPr>
              <w:spacing w:before="20" w:after="20"/>
              <w:jc w:val="center"/>
            </w:pPr>
            <w:r>
              <w:rPr>
                <w:b/>
                <w:sz w:val="17"/>
              </w:rPr>
              <w:t>4</w:t>
            </w:r>
          </w:p>
        </w:tc>
        <w:tc>
          <w:tcPr>
            <w:tcW w:type="dxa" w:w="3024"/>
            <w:tcMar>
              <w:top w:w="50" w:type="dxa"/>
              <w:bottom w:w="50" w:type="dxa"/>
              <w:left w:w="60" w:type="dxa"/>
              <w:right w:w="60" w:type="dxa"/>
            </w:tcMar>
            <w:shd w:fill="FFFFFF"/>
          </w:tcPr>
          <w:p>
            <w:pPr>
              <w:spacing w:before="20" w:after="20"/>
            </w:pPr>
            <w:r>
              <w:rPr>
                <w:sz w:val="17"/>
              </w:rPr>
              <w:t>Memberikan arahan kepada tim internal terkait parameter target pasar kedua proyek.</w:t>
            </w:r>
          </w:p>
        </w:tc>
      </w:tr>
      <w:tr>
        <w:tc>
          <w:tcPr>
            <w:tcW w:type="dxa" w:w="576"/>
            <w:tcMar>
              <w:top w:w="50" w:type="dxa"/>
              <w:bottom w:w="50" w:type="dxa"/>
              <w:left w:w="60" w:type="dxa"/>
              <w:right w:w="60" w:type="dxa"/>
            </w:tcMar>
            <w:shd w:fill="FFFFFF"/>
          </w:tcPr>
          <w:p>
            <w:pPr>
              <w:spacing w:before="20" w:after="20"/>
              <w:jc w:val="center"/>
            </w:pPr>
            <w:r>
              <w:rPr>
                <w:sz w:val="17"/>
              </w:rPr>
              <w:t>2</w:t>
            </w:r>
          </w:p>
        </w:tc>
        <w:tc>
          <w:tcPr>
            <w:tcW w:type="dxa" w:w="1584"/>
            <w:tcMar>
              <w:top w:w="50" w:type="dxa"/>
              <w:bottom w:w="50" w:type="dxa"/>
              <w:left w:w="60" w:type="dxa"/>
              <w:right w:w="60" w:type="dxa"/>
            </w:tcMar>
            <w:shd w:fill="FFFFFF"/>
          </w:tcPr>
          <w:p>
            <w:pPr>
              <w:spacing w:before="20" w:after="20"/>
            </w:pPr>
            <w:r>
              <w:rPr>
                <w:sz w:val="17"/>
              </w:rPr>
              <w:t>Pasal 1 (1)</w:t>
            </w:r>
          </w:p>
        </w:tc>
        <w:tc>
          <w:tcPr>
            <w:tcW w:type="dxa" w:w="2304"/>
            <w:tcMar>
              <w:top w:w="50" w:type="dxa"/>
              <w:bottom w:w="50" w:type="dxa"/>
              <w:left w:w="60" w:type="dxa"/>
              <w:right w:w="60" w:type="dxa"/>
            </w:tcMar>
            <w:shd w:fill="FFFFFF"/>
          </w:tcPr>
          <w:p>
            <w:pPr>
              <w:spacing w:before="20" w:after="20"/>
            </w:pPr>
            <w:r>
              <w:rPr>
                <w:sz w:val="17"/>
              </w:rPr>
              <w:t>Funnel &amp; Struktur Kampanye</w:t>
            </w:r>
          </w:p>
        </w:tc>
        <w:tc>
          <w:tcPr>
            <w:tcW w:type="dxa" w:w="1584"/>
            <w:tcMar>
              <w:top w:w="50" w:type="dxa"/>
              <w:bottom w:w="50" w:type="dxa"/>
              <w:left w:w="60" w:type="dxa"/>
              <w:right w:w="60" w:type="dxa"/>
            </w:tcMar>
            <w:shd w:fill="FEFCE8"/>
          </w:tcPr>
          <w:p>
            <w:pPr>
              <w:spacing w:before="20" w:after="20"/>
            </w:pPr>
            <w:r>
              <w:rPr>
                <w:sz w:val="17"/>
              </w:rPr>
              <w:t>Sebagian</w:t>
            </w:r>
          </w:p>
        </w:tc>
        <w:tc>
          <w:tcPr>
            <w:tcW w:type="dxa" w:w="720"/>
            <w:tcMar>
              <w:top w:w="50" w:type="dxa"/>
              <w:bottom w:w="50" w:type="dxa"/>
              <w:left w:w="60" w:type="dxa"/>
              <w:right w:w="60" w:type="dxa"/>
            </w:tcMar>
            <w:shd w:fill="FFFFFF"/>
          </w:tcPr>
          <w:p>
            <w:pPr>
              <w:spacing w:before="20" w:after="20"/>
              <w:jc w:val="center"/>
            </w:pPr>
            <w:r>
              <w:rPr>
                <w:b/>
                <w:sz w:val="17"/>
              </w:rPr>
              <w:t>5</w:t>
            </w:r>
          </w:p>
        </w:tc>
        <w:tc>
          <w:tcPr>
            <w:tcW w:type="dxa" w:w="3024"/>
            <w:tcMar>
              <w:top w:w="50" w:type="dxa"/>
              <w:bottom w:w="50" w:type="dxa"/>
              <w:left w:w="60" w:type="dxa"/>
              <w:right w:w="60" w:type="dxa"/>
            </w:tcMar>
            <w:shd w:fill="FFFFFF"/>
          </w:tcPr>
          <w:p>
            <w:pPr>
              <w:spacing w:before="20" w:after="20"/>
            </w:pPr>
            <w:r>
              <w:rPr>
                <w:sz w:val="17"/>
              </w:rPr>
              <w:t>Merumuskan arsitektur awal kampanye iklan (CBO/ABO, adset, serta filtering akun spam).</w:t>
            </w:r>
          </w:p>
        </w:tc>
      </w:tr>
      <w:tr>
        <w:tc>
          <w:tcPr>
            <w:tcW w:type="dxa" w:w="576"/>
            <w:tcMar>
              <w:top w:w="50" w:type="dxa"/>
              <w:bottom w:w="50" w:type="dxa"/>
              <w:left w:w="60" w:type="dxa"/>
              <w:right w:w="60" w:type="dxa"/>
            </w:tcMar>
            <w:shd w:fill="FFFFFF"/>
          </w:tcPr>
          <w:p>
            <w:pPr>
              <w:spacing w:before="20" w:after="20"/>
              <w:jc w:val="center"/>
            </w:pPr>
            <w:r>
              <w:rPr>
                <w:sz w:val="17"/>
              </w:rPr>
              <w:t>3</w:t>
            </w:r>
          </w:p>
        </w:tc>
        <w:tc>
          <w:tcPr>
            <w:tcW w:type="dxa" w:w="1584"/>
            <w:tcMar>
              <w:top w:w="50" w:type="dxa"/>
              <w:bottom w:w="50" w:type="dxa"/>
              <w:left w:w="60" w:type="dxa"/>
              <w:right w:w="60" w:type="dxa"/>
            </w:tcMar>
            <w:shd w:fill="FFFFFF"/>
          </w:tcPr>
          <w:p>
            <w:pPr>
              <w:spacing w:before="20" w:after="20"/>
            </w:pPr>
            <w:r>
              <w:rPr>
                <w:sz w:val="17"/>
              </w:rPr>
              <w:t>Pasal 1 (1), 4</w:t>
            </w:r>
          </w:p>
        </w:tc>
        <w:tc>
          <w:tcPr>
            <w:tcW w:type="dxa" w:w="2304"/>
            <w:tcMar>
              <w:top w:w="50" w:type="dxa"/>
              <w:bottom w:w="50" w:type="dxa"/>
              <w:left w:w="60" w:type="dxa"/>
              <w:right w:w="60" w:type="dxa"/>
            </w:tcMar>
            <w:shd w:fill="FFFFFF"/>
          </w:tcPr>
          <w:p>
            <w:pPr>
              <w:spacing w:before="20" w:after="20"/>
            </w:pPr>
            <w:r>
              <w:rPr>
                <w:sz w:val="17"/>
              </w:rPr>
              <w:t>Setup &amp; Optimasi Harian Ads</w:t>
            </w:r>
          </w:p>
        </w:tc>
        <w:tc>
          <w:tcPr>
            <w:tcW w:type="dxa" w:w="1584"/>
            <w:tcMar>
              <w:top w:w="50" w:type="dxa"/>
              <w:bottom w:w="50" w:type="dxa"/>
              <w:left w:w="60" w:type="dxa"/>
              <w:right w:w="60" w:type="dxa"/>
            </w:tcMar>
            <w:shd w:fill="F0FDF4"/>
          </w:tcPr>
          <w:p>
            <w:pPr>
              <w:spacing w:before="20" w:after="20"/>
            </w:pPr>
            <w:r>
              <w:rPr>
                <w:sz w:val="17"/>
              </w:rPr>
              <w:t>Sudah Berjalan</w:t>
            </w:r>
          </w:p>
        </w:tc>
        <w:tc>
          <w:tcPr>
            <w:tcW w:type="dxa" w:w="720"/>
            <w:tcMar>
              <w:top w:w="50" w:type="dxa"/>
              <w:bottom w:w="50" w:type="dxa"/>
              <w:left w:w="60" w:type="dxa"/>
              <w:right w:w="60" w:type="dxa"/>
            </w:tcMar>
            <w:shd w:fill="FFFFFF"/>
          </w:tcPr>
          <w:p>
            <w:pPr>
              <w:spacing w:before="20" w:after="20"/>
              <w:jc w:val="center"/>
            </w:pPr>
            <w:r>
              <w:rPr>
                <w:b/>
                <w:sz w:val="17"/>
              </w:rPr>
              <w:t>3</w:t>
            </w:r>
          </w:p>
        </w:tc>
        <w:tc>
          <w:tcPr>
            <w:tcW w:type="dxa" w:w="3024"/>
            <w:tcMar>
              <w:top w:w="50" w:type="dxa"/>
              <w:bottom w:w="50" w:type="dxa"/>
              <w:left w:w="60" w:type="dxa"/>
              <w:right w:w="60" w:type="dxa"/>
            </w:tcMar>
            <w:shd w:fill="FFFFFF"/>
          </w:tcPr>
          <w:p>
            <w:pPr>
              <w:spacing w:before="20" w:after="20"/>
            </w:pPr>
            <w:r>
              <w:rPr>
                <w:sz w:val="17"/>
              </w:rPr>
              <w:t>Setup teknis harian banyak dikoordinasikan dan dieksekusi bersama tim internal karena adanya kendala perangkat/jaringan pada konsultan.</w:t>
            </w:r>
          </w:p>
        </w:tc>
      </w:tr>
      <w:tr>
        <w:tc>
          <w:tcPr>
            <w:tcW w:type="dxa" w:w="576"/>
            <w:tcMar>
              <w:top w:w="50" w:type="dxa"/>
              <w:bottom w:w="50" w:type="dxa"/>
              <w:left w:w="60" w:type="dxa"/>
              <w:right w:w="60" w:type="dxa"/>
            </w:tcMar>
            <w:shd w:fill="FFFFFF"/>
          </w:tcPr>
          <w:p>
            <w:pPr>
              <w:spacing w:before="20" w:after="20"/>
              <w:jc w:val="center"/>
            </w:pPr>
            <w:r>
              <w:rPr>
                <w:sz w:val="17"/>
              </w:rPr>
              <w:t>4</w:t>
            </w:r>
          </w:p>
        </w:tc>
        <w:tc>
          <w:tcPr>
            <w:tcW w:type="dxa" w:w="1584"/>
            <w:tcMar>
              <w:top w:w="50" w:type="dxa"/>
              <w:bottom w:w="50" w:type="dxa"/>
              <w:left w:w="60" w:type="dxa"/>
              <w:right w:w="60" w:type="dxa"/>
            </w:tcMar>
            <w:shd w:fill="FFFFFF"/>
          </w:tcPr>
          <w:p>
            <w:pPr>
              <w:spacing w:before="20" w:after="20"/>
            </w:pPr>
            <w:r>
              <w:rPr>
                <w:sz w:val="17"/>
              </w:rPr>
              <w:t>Pasal 1 (1), 4</w:t>
            </w:r>
          </w:p>
        </w:tc>
        <w:tc>
          <w:tcPr>
            <w:tcW w:type="dxa" w:w="2304"/>
            <w:tcMar>
              <w:top w:w="50" w:type="dxa"/>
              <w:bottom w:w="50" w:type="dxa"/>
              <w:left w:w="60" w:type="dxa"/>
              <w:right w:w="60" w:type="dxa"/>
            </w:tcMar>
            <w:shd w:fill="FFFFFF"/>
          </w:tcPr>
          <w:p>
            <w:pPr>
              <w:spacing w:before="20" w:after="20"/>
            </w:pPr>
            <w:r>
              <w:rPr>
                <w:sz w:val="17"/>
              </w:rPr>
              <w:t>Pengujian A/B Testing &amp; Copy</w:t>
            </w:r>
          </w:p>
        </w:tc>
        <w:tc>
          <w:tcPr>
            <w:tcW w:type="dxa" w:w="1584"/>
            <w:tcMar>
              <w:top w:w="50" w:type="dxa"/>
              <w:bottom w:w="50" w:type="dxa"/>
              <w:left w:w="60" w:type="dxa"/>
              <w:right w:w="60" w:type="dxa"/>
            </w:tcMar>
            <w:shd w:fill="FEFCE8"/>
          </w:tcPr>
          <w:p>
            <w:pPr>
              <w:spacing w:before="20" w:after="20"/>
            </w:pPr>
            <w:r>
              <w:rPr>
                <w:sz w:val="17"/>
              </w:rPr>
              <w:t>Sebagian</w:t>
            </w:r>
          </w:p>
        </w:tc>
        <w:tc>
          <w:tcPr>
            <w:tcW w:type="dxa" w:w="720"/>
            <w:tcMar>
              <w:top w:w="50" w:type="dxa"/>
              <w:bottom w:w="50" w:type="dxa"/>
              <w:left w:w="60" w:type="dxa"/>
              <w:right w:w="60" w:type="dxa"/>
            </w:tcMar>
            <w:shd w:fill="FFFFFF"/>
          </w:tcPr>
          <w:p>
            <w:pPr>
              <w:spacing w:before="20" w:after="20"/>
              <w:jc w:val="center"/>
            </w:pPr>
            <w:r>
              <w:rPr>
                <w:b/>
                <w:sz w:val="17"/>
              </w:rPr>
              <w:t>3</w:t>
            </w:r>
          </w:p>
        </w:tc>
        <w:tc>
          <w:tcPr>
            <w:tcW w:type="dxa" w:w="3024"/>
            <w:tcMar>
              <w:top w:w="50" w:type="dxa"/>
              <w:bottom w:w="50" w:type="dxa"/>
              <w:left w:w="60" w:type="dxa"/>
              <w:right w:w="60" w:type="dxa"/>
            </w:tcMar>
            <w:shd w:fill="FFFFFF"/>
          </w:tcPr>
          <w:p>
            <w:pPr>
              <w:spacing w:before="20" w:after="20"/>
            </w:pPr>
            <w:r>
              <w:rPr>
                <w:sz w:val="17"/>
              </w:rPr>
              <w:t>Eksplorasi headline, copywriting, dan materi visual pada periode ini dominan diinisiasi mandiri oleh tim internal dengan dukungan tools AI.</w:t>
            </w:r>
          </w:p>
        </w:tc>
      </w:tr>
      <w:tr>
        <w:tc>
          <w:tcPr>
            <w:tcW w:type="dxa" w:w="576"/>
            <w:tcMar>
              <w:top w:w="50" w:type="dxa"/>
              <w:bottom w:w="50" w:type="dxa"/>
              <w:left w:w="60" w:type="dxa"/>
              <w:right w:w="60" w:type="dxa"/>
            </w:tcMar>
            <w:shd w:fill="FFFFFF"/>
          </w:tcPr>
          <w:p>
            <w:pPr>
              <w:spacing w:before="20" w:after="20"/>
              <w:jc w:val="center"/>
            </w:pPr>
            <w:r>
              <w:rPr>
                <w:sz w:val="17"/>
              </w:rPr>
              <w:t>5</w:t>
            </w:r>
          </w:p>
        </w:tc>
        <w:tc>
          <w:tcPr>
            <w:tcW w:type="dxa" w:w="1584"/>
            <w:tcMar>
              <w:top w:w="50" w:type="dxa"/>
              <w:bottom w:w="50" w:type="dxa"/>
              <w:left w:w="60" w:type="dxa"/>
              <w:right w:w="60" w:type="dxa"/>
            </w:tcMar>
            <w:shd w:fill="FFFFFF"/>
          </w:tcPr>
          <w:p>
            <w:pPr>
              <w:spacing w:before="20" w:after="20"/>
            </w:pPr>
            <w:r>
              <w:rPr>
                <w:sz w:val="17"/>
              </w:rPr>
              <w:t>Pasal 1 (2)</w:t>
            </w:r>
          </w:p>
        </w:tc>
        <w:tc>
          <w:tcPr>
            <w:tcW w:type="dxa" w:w="2304"/>
            <w:tcMar>
              <w:top w:w="50" w:type="dxa"/>
              <w:bottom w:w="50" w:type="dxa"/>
              <w:left w:w="60" w:type="dxa"/>
              <w:right w:w="60" w:type="dxa"/>
            </w:tcMar>
            <w:shd w:fill="FFFFFF"/>
          </w:tcPr>
          <w:p>
            <w:pPr>
              <w:spacing w:before="20" w:after="20"/>
            </w:pPr>
            <w:r>
              <w:rPr>
                <w:sz w:val="17"/>
              </w:rPr>
              <w:t>Integrasi Sheets / CRM</w:t>
            </w:r>
          </w:p>
        </w:tc>
        <w:tc>
          <w:tcPr>
            <w:tcW w:type="dxa" w:w="1584"/>
            <w:tcMar>
              <w:top w:w="50" w:type="dxa"/>
              <w:bottom w:w="50" w:type="dxa"/>
              <w:left w:w="60" w:type="dxa"/>
              <w:right w:w="60" w:type="dxa"/>
            </w:tcMar>
            <w:shd w:fill="F8FAFC"/>
          </w:tcPr>
          <w:p>
            <w:pPr>
              <w:spacing w:before="20" w:after="20"/>
            </w:pPr>
            <w:r>
              <w:rPr>
                <w:sz w:val="17"/>
              </w:rPr>
              <w:t>Belum Berjalan</w:t>
            </w:r>
          </w:p>
        </w:tc>
        <w:tc>
          <w:tcPr>
            <w:tcW w:type="dxa" w:w="720"/>
            <w:tcMar>
              <w:top w:w="50" w:type="dxa"/>
              <w:bottom w:w="50" w:type="dxa"/>
              <w:left w:w="60" w:type="dxa"/>
              <w:right w:w="60" w:type="dxa"/>
            </w:tcMar>
            <w:shd w:fill="FFFFFF"/>
          </w:tcPr>
          <w:p>
            <w:pPr>
              <w:spacing w:before="20" w:after="20"/>
              <w:jc w:val="center"/>
            </w:pPr>
            <w:r>
              <w:rPr>
                <w:b/>
                <w:sz w:val="17"/>
              </w:rPr>
              <w:t>2</w:t>
            </w:r>
          </w:p>
        </w:tc>
        <w:tc>
          <w:tcPr>
            <w:tcW w:type="dxa" w:w="3024"/>
            <w:tcMar>
              <w:top w:w="50" w:type="dxa"/>
              <w:bottom w:w="50" w:type="dxa"/>
              <w:left w:w="60" w:type="dxa"/>
              <w:right w:w="60" w:type="dxa"/>
            </w:tcMar>
            <w:shd w:fill="FFFFFF"/>
          </w:tcPr>
          <w:p>
            <w:pPr>
              <w:spacing w:before="20" w:after="20"/>
            </w:pPr>
            <w:r>
              <w:rPr>
                <w:sz w:val="17"/>
              </w:rPr>
              <w:t>Infrastruktur leads rotator dan integrasi database IT disiapkan secara mandiri oleh tim internal.</w:t>
            </w:r>
          </w:p>
        </w:tc>
      </w:tr>
      <w:tr>
        <w:tc>
          <w:tcPr>
            <w:tcW w:type="dxa" w:w="576"/>
            <w:tcMar>
              <w:top w:w="50" w:type="dxa"/>
              <w:bottom w:w="50" w:type="dxa"/>
              <w:left w:w="60" w:type="dxa"/>
              <w:right w:w="60" w:type="dxa"/>
            </w:tcMar>
            <w:shd w:fill="FFFFFF"/>
          </w:tcPr>
          <w:p>
            <w:pPr>
              <w:spacing w:before="20" w:after="20"/>
              <w:jc w:val="center"/>
            </w:pPr>
            <w:r>
              <w:rPr>
                <w:sz w:val="17"/>
              </w:rPr>
              <w:t>6</w:t>
            </w:r>
          </w:p>
        </w:tc>
        <w:tc>
          <w:tcPr>
            <w:tcW w:type="dxa" w:w="1584"/>
            <w:tcMar>
              <w:top w:w="50" w:type="dxa"/>
              <w:bottom w:w="50" w:type="dxa"/>
              <w:left w:w="60" w:type="dxa"/>
              <w:right w:w="60" w:type="dxa"/>
            </w:tcMar>
            <w:shd w:fill="FFFFFF"/>
          </w:tcPr>
          <w:p>
            <w:pPr>
              <w:spacing w:before="20" w:after="20"/>
            </w:pPr>
            <w:r>
              <w:rPr>
                <w:sz w:val="17"/>
              </w:rPr>
              <w:t>Pasal 1 (2)</w:t>
            </w:r>
          </w:p>
        </w:tc>
        <w:tc>
          <w:tcPr>
            <w:tcW w:type="dxa" w:w="2304"/>
            <w:tcMar>
              <w:top w:w="50" w:type="dxa"/>
              <w:bottom w:w="50" w:type="dxa"/>
              <w:left w:w="60" w:type="dxa"/>
              <w:right w:w="60" w:type="dxa"/>
            </w:tcMar>
            <w:shd w:fill="FFFFFF"/>
          </w:tcPr>
          <w:p>
            <w:pPr>
              <w:spacing w:before="20" w:after="20"/>
            </w:pPr>
            <w:r>
              <w:rPr>
                <w:sz w:val="17"/>
              </w:rPr>
              <w:t>Dashboard Looker Studio</w:t>
            </w:r>
          </w:p>
        </w:tc>
        <w:tc>
          <w:tcPr>
            <w:tcW w:type="dxa" w:w="1584"/>
            <w:tcMar>
              <w:top w:w="50" w:type="dxa"/>
              <w:bottom w:w="50" w:type="dxa"/>
              <w:left w:w="60" w:type="dxa"/>
              <w:right w:w="60" w:type="dxa"/>
            </w:tcMar>
            <w:shd w:fill="F8FAFC"/>
          </w:tcPr>
          <w:p>
            <w:pPr>
              <w:spacing w:before="20" w:after="20"/>
            </w:pPr>
            <w:r>
              <w:rPr>
                <w:sz w:val="17"/>
              </w:rPr>
              <w:t>Belum Berjalan</w:t>
            </w:r>
          </w:p>
        </w:tc>
        <w:tc>
          <w:tcPr>
            <w:tcW w:type="dxa" w:w="720"/>
            <w:tcMar>
              <w:top w:w="50" w:type="dxa"/>
              <w:bottom w:w="50" w:type="dxa"/>
              <w:left w:w="60" w:type="dxa"/>
              <w:right w:w="60" w:type="dxa"/>
            </w:tcMar>
            <w:shd w:fill="FFFFFF"/>
          </w:tcPr>
          <w:p>
            <w:pPr>
              <w:spacing w:before="20" w:after="20"/>
              <w:jc w:val="center"/>
            </w:pPr>
            <w:r>
              <w:rPr>
                <w:b/>
                <w:sz w:val="17"/>
              </w:rPr>
              <w:t>1</w:t>
            </w:r>
          </w:p>
        </w:tc>
        <w:tc>
          <w:tcPr>
            <w:tcW w:type="dxa" w:w="3024"/>
            <w:tcMar>
              <w:top w:w="50" w:type="dxa"/>
              <w:bottom w:w="50" w:type="dxa"/>
              <w:left w:w="60" w:type="dxa"/>
              <w:right w:w="60" w:type="dxa"/>
            </w:tcMar>
            <w:shd w:fill="FFFFFF"/>
          </w:tcPr>
          <w:p>
            <w:pPr>
              <w:spacing w:before="20" w:after="20"/>
            </w:pPr>
            <w:r>
              <w:rPr>
                <w:sz w:val="17"/>
              </w:rPr>
              <w:t>Penyusunan dashboard monitoring analitik belum terealisasi pada periode Bulan I ini.</w:t>
            </w:r>
          </w:p>
        </w:tc>
      </w:tr>
      <w:tr>
        <w:tc>
          <w:tcPr>
            <w:tcW w:type="dxa" w:w="576"/>
            <w:tcMar>
              <w:top w:w="50" w:type="dxa"/>
              <w:bottom w:w="50" w:type="dxa"/>
              <w:left w:w="60" w:type="dxa"/>
              <w:right w:w="60" w:type="dxa"/>
            </w:tcMar>
            <w:shd w:fill="FFFFFF"/>
          </w:tcPr>
          <w:p>
            <w:pPr>
              <w:spacing w:before="20" w:after="20"/>
              <w:jc w:val="center"/>
            </w:pPr>
            <w:r>
              <w:rPr>
                <w:sz w:val="17"/>
              </w:rPr>
              <w:t>7</w:t>
            </w:r>
          </w:p>
        </w:tc>
        <w:tc>
          <w:tcPr>
            <w:tcW w:type="dxa" w:w="1584"/>
            <w:tcMar>
              <w:top w:w="50" w:type="dxa"/>
              <w:bottom w:w="50" w:type="dxa"/>
              <w:left w:w="60" w:type="dxa"/>
              <w:right w:w="60" w:type="dxa"/>
            </w:tcMar>
            <w:shd w:fill="FFFFFF"/>
          </w:tcPr>
          <w:p>
            <w:pPr>
              <w:spacing w:before="20" w:after="20"/>
            </w:pPr>
            <w:r>
              <w:rPr>
                <w:sz w:val="17"/>
              </w:rPr>
              <w:t>Pasal 1 (3)</w:t>
            </w:r>
          </w:p>
        </w:tc>
        <w:tc>
          <w:tcPr>
            <w:tcW w:type="dxa" w:w="2304"/>
            <w:tcMar>
              <w:top w:w="50" w:type="dxa"/>
              <w:bottom w:w="50" w:type="dxa"/>
              <w:left w:w="60" w:type="dxa"/>
              <w:right w:w="60" w:type="dxa"/>
            </w:tcMar>
            <w:shd w:fill="FFFFFF"/>
          </w:tcPr>
          <w:p>
            <w:pPr>
              <w:spacing w:before="20" w:after="20"/>
            </w:pPr>
            <w:r>
              <w:rPr>
                <w:sz w:val="17"/>
              </w:rPr>
              <w:t>SOP Follow-Up Leads Sales</w:t>
            </w:r>
          </w:p>
        </w:tc>
        <w:tc>
          <w:tcPr>
            <w:tcW w:type="dxa" w:w="1584"/>
            <w:tcMar>
              <w:top w:w="50" w:type="dxa"/>
              <w:bottom w:w="50" w:type="dxa"/>
              <w:left w:w="60" w:type="dxa"/>
              <w:right w:w="60" w:type="dxa"/>
            </w:tcMar>
            <w:shd w:fill="F8FAFC"/>
          </w:tcPr>
          <w:p>
            <w:pPr>
              <w:spacing w:before="20" w:after="20"/>
            </w:pPr>
            <w:r>
              <w:rPr>
                <w:sz w:val="17"/>
              </w:rPr>
              <w:t>Belum Berjalan</w:t>
            </w:r>
          </w:p>
        </w:tc>
        <w:tc>
          <w:tcPr>
            <w:tcW w:type="dxa" w:w="720"/>
            <w:tcMar>
              <w:top w:w="50" w:type="dxa"/>
              <w:bottom w:w="50" w:type="dxa"/>
              <w:left w:w="60" w:type="dxa"/>
              <w:right w:w="60" w:type="dxa"/>
            </w:tcMar>
            <w:shd w:fill="FFFFFF"/>
          </w:tcPr>
          <w:p>
            <w:pPr>
              <w:spacing w:before="20" w:after="20"/>
              <w:jc w:val="center"/>
            </w:pPr>
            <w:r>
              <w:rPr>
                <w:b/>
                <w:sz w:val="17"/>
              </w:rPr>
              <w:t>1</w:t>
            </w:r>
          </w:p>
        </w:tc>
        <w:tc>
          <w:tcPr>
            <w:tcW w:type="dxa" w:w="3024"/>
            <w:tcMar>
              <w:top w:w="50" w:type="dxa"/>
              <w:bottom w:w="50" w:type="dxa"/>
              <w:left w:w="60" w:type="dxa"/>
              <w:right w:w="60" w:type="dxa"/>
            </w:tcMar>
            <w:shd w:fill="FFFFFF"/>
          </w:tcPr>
          <w:p>
            <w:pPr>
              <w:spacing w:before="20" w:after="20"/>
            </w:pPr>
            <w:r>
              <w:rPr>
                <w:sz w:val="17"/>
              </w:rPr>
              <w:t>Penyusunan panduan tertulis SOP alur penanganan prospek sales belum diserahkan.</w:t>
            </w:r>
          </w:p>
        </w:tc>
      </w:tr>
      <w:tr>
        <w:tc>
          <w:tcPr>
            <w:tcW w:type="dxa" w:w="576"/>
            <w:tcMar>
              <w:top w:w="50" w:type="dxa"/>
              <w:bottom w:w="50" w:type="dxa"/>
              <w:left w:w="60" w:type="dxa"/>
              <w:right w:w="60" w:type="dxa"/>
            </w:tcMar>
            <w:shd w:fill="FFFFFF"/>
          </w:tcPr>
          <w:p>
            <w:pPr>
              <w:spacing w:before="20" w:after="20"/>
              <w:jc w:val="center"/>
            </w:pPr>
            <w:r>
              <w:rPr>
                <w:sz w:val="17"/>
              </w:rPr>
              <w:t>8</w:t>
            </w:r>
          </w:p>
        </w:tc>
        <w:tc>
          <w:tcPr>
            <w:tcW w:type="dxa" w:w="1584"/>
            <w:tcMar>
              <w:top w:w="50" w:type="dxa"/>
              <w:bottom w:w="50" w:type="dxa"/>
              <w:left w:w="60" w:type="dxa"/>
              <w:right w:w="60" w:type="dxa"/>
            </w:tcMar>
            <w:shd w:fill="FFFFFF"/>
          </w:tcPr>
          <w:p>
            <w:pPr>
              <w:spacing w:before="20" w:after="20"/>
            </w:pPr>
            <w:r>
              <w:rPr>
                <w:sz w:val="17"/>
              </w:rPr>
              <w:t>Pasal 1 (3)</w:t>
            </w:r>
          </w:p>
        </w:tc>
        <w:tc>
          <w:tcPr>
            <w:tcW w:type="dxa" w:w="2304"/>
            <w:tcMar>
              <w:top w:w="50" w:type="dxa"/>
              <w:bottom w:w="50" w:type="dxa"/>
              <w:left w:w="60" w:type="dxa"/>
              <w:right w:w="60" w:type="dxa"/>
            </w:tcMar>
            <w:shd w:fill="FFFFFF"/>
          </w:tcPr>
          <w:p>
            <w:pPr>
              <w:spacing w:before="20" w:after="20"/>
            </w:pPr>
            <w:r>
              <w:rPr>
                <w:sz w:val="17"/>
              </w:rPr>
              <w:t>Script Sales / Closing</w:t>
            </w:r>
          </w:p>
        </w:tc>
        <w:tc>
          <w:tcPr>
            <w:tcW w:type="dxa" w:w="1584"/>
            <w:tcMar>
              <w:top w:w="50" w:type="dxa"/>
              <w:bottom w:w="50" w:type="dxa"/>
              <w:left w:w="60" w:type="dxa"/>
              <w:right w:w="60" w:type="dxa"/>
            </w:tcMar>
            <w:shd w:fill="F8FAFC"/>
          </w:tcPr>
          <w:p>
            <w:pPr>
              <w:spacing w:before="20" w:after="20"/>
            </w:pPr>
            <w:r>
              <w:rPr>
                <w:sz w:val="17"/>
              </w:rPr>
              <w:t>Belum Berjalan</w:t>
            </w:r>
          </w:p>
        </w:tc>
        <w:tc>
          <w:tcPr>
            <w:tcW w:type="dxa" w:w="720"/>
            <w:tcMar>
              <w:top w:w="50" w:type="dxa"/>
              <w:bottom w:w="50" w:type="dxa"/>
              <w:left w:w="60" w:type="dxa"/>
              <w:right w:w="60" w:type="dxa"/>
            </w:tcMar>
            <w:shd w:fill="FFFFFF"/>
          </w:tcPr>
          <w:p>
            <w:pPr>
              <w:spacing w:before="20" w:after="20"/>
              <w:jc w:val="center"/>
            </w:pPr>
            <w:r>
              <w:rPr>
                <w:b/>
                <w:sz w:val="17"/>
              </w:rPr>
              <w:t>1</w:t>
            </w:r>
          </w:p>
        </w:tc>
        <w:tc>
          <w:tcPr>
            <w:tcW w:type="dxa" w:w="3024"/>
            <w:tcMar>
              <w:top w:w="50" w:type="dxa"/>
              <w:bottom w:w="50" w:type="dxa"/>
              <w:left w:w="60" w:type="dxa"/>
              <w:right w:w="60" w:type="dxa"/>
            </w:tcMar>
            <w:shd w:fill="FFFFFF"/>
          </w:tcPr>
          <w:p>
            <w:pPr>
              <w:spacing w:before="20" w:after="20"/>
            </w:pPr>
            <w:r>
              <w:rPr>
                <w:sz w:val="17"/>
              </w:rPr>
              <w:t>Modul skrip komunikasi dan panduan handling objection belum tersedia.</w:t>
            </w:r>
          </w:p>
        </w:tc>
      </w:tr>
      <w:tr>
        <w:tc>
          <w:tcPr>
            <w:tcW w:type="dxa" w:w="576"/>
            <w:tcMar>
              <w:top w:w="50" w:type="dxa"/>
              <w:bottom w:w="50" w:type="dxa"/>
              <w:left w:w="60" w:type="dxa"/>
              <w:right w:w="60" w:type="dxa"/>
            </w:tcMar>
            <w:shd w:fill="FFFFFF"/>
          </w:tcPr>
          <w:p>
            <w:pPr>
              <w:spacing w:before="20" w:after="20"/>
              <w:jc w:val="center"/>
            </w:pPr>
            <w:r>
              <w:rPr>
                <w:sz w:val="17"/>
              </w:rPr>
              <w:t>9</w:t>
            </w:r>
          </w:p>
        </w:tc>
        <w:tc>
          <w:tcPr>
            <w:tcW w:type="dxa" w:w="1584"/>
            <w:tcMar>
              <w:top w:w="50" w:type="dxa"/>
              <w:bottom w:w="50" w:type="dxa"/>
              <w:left w:w="60" w:type="dxa"/>
              <w:right w:w="60" w:type="dxa"/>
            </w:tcMar>
            <w:shd w:fill="FFFFFF"/>
          </w:tcPr>
          <w:p>
            <w:pPr>
              <w:spacing w:before="20" w:after="20"/>
            </w:pPr>
            <w:r>
              <w:rPr>
                <w:sz w:val="17"/>
              </w:rPr>
              <w:t>Pasal 1 (3)</w:t>
            </w:r>
          </w:p>
        </w:tc>
        <w:tc>
          <w:tcPr>
            <w:tcW w:type="dxa" w:w="2304"/>
            <w:tcMar>
              <w:top w:w="50" w:type="dxa"/>
              <w:bottom w:w="50" w:type="dxa"/>
              <w:left w:w="60" w:type="dxa"/>
              <w:right w:w="60" w:type="dxa"/>
            </w:tcMar>
            <w:shd w:fill="FFFFFF"/>
          </w:tcPr>
          <w:p>
            <w:pPr>
              <w:spacing w:before="20" w:after="20"/>
            </w:pPr>
            <w:r>
              <w:rPr>
                <w:sz w:val="17"/>
              </w:rPr>
              <w:t>Coaching &amp; Mentoring Ads</w:t>
            </w:r>
          </w:p>
        </w:tc>
        <w:tc>
          <w:tcPr>
            <w:tcW w:type="dxa" w:w="1584"/>
            <w:tcMar>
              <w:top w:w="50" w:type="dxa"/>
              <w:bottom w:w="50" w:type="dxa"/>
              <w:left w:w="60" w:type="dxa"/>
              <w:right w:w="60" w:type="dxa"/>
            </w:tcMar>
            <w:shd w:fill="FEFCE8"/>
          </w:tcPr>
          <w:p>
            <w:pPr>
              <w:spacing w:before="20" w:after="20"/>
            </w:pPr>
            <w:r>
              <w:rPr>
                <w:sz w:val="17"/>
              </w:rPr>
              <w:t>Sebagian</w:t>
            </w:r>
          </w:p>
        </w:tc>
        <w:tc>
          <w:tcPr>
            <w:tcW w:type="dxa" w:w="720"/>
            <w:tcMar>
              <w:top w:w="50" w:type="dxa"/>
              <w:bottom w:w="50" w:type="dxa"/>
              <w:left w:w="60" w:type="dxa"/>
              <w:right w:w="60" w:type="dxa"/>
            </w:tcMar>
            <w:shd w:fill="FFFFFF"/>
          </w:tcPr>
          <w:p>
            <w:pPr>
              <w:spacing w:before="20" w:after="20"/>
              <w:jc w:val="center"/>
            </w:pPr>
            <w:r>
              <w:rPr>
                <w:b/>
                <w:sz w:val="17"/>
              </w:rPr>
              <w:t>3</w:t>
            </w:r>
          </w:p>
        </w:tc>
        <w:tc>
          <w:tcPr>
            <w:tcW w:type="dxa" w:w="3024"/>
            <w:tcMar>
              <w:top w:w="50" w:type="dxa"/>
              <w:bottom w:w="50" w:type="dxa"/>
              <w:left w:w="60" w:type="dxa"/>
              <w:right w:w="60" w:type="dxa"/>
            </w:tcMar>
            <w:shd w:fill="FFFFFF"/>
          </w:tcPr>
          <w:p>
            <w:pPr>
              <w:spacing w:before="20" w:after="20"/>
            </w:pPr>
            <w:r>
              <w:rPr>
                <w:sz w:val="17"/>
              </w:rPr>
              <w:t>Diskusi transfer wawasan telah berjalan ke perwakilan internal, namun perlu dijadwalkan lebih terstruktur untuk tim yang lebih luas.</w:t>
            </w:r>
          </w:p>
        </w:tc>
      </w:tr>
      <w:tr>
        <w:tc>
          <w:tcPr>
            <w:tcW w:type="dxa" w:w="576"/>
            <w:tcMar>
              <w:top w:w="50" w:type="dxa"/>
              <w:bottom w:w="50" w:type="dxa"/>
              <w:left w:w="60" w:type="dxa"/>
              <w:right w:w="60" w:type="dxa"/>
            </w:tcMar>
            <w:shd w:fill="FFFFFF"/>
          </w:tcPr>
          <w:p>
            <w:pPr>
              <w:spacing w:before="20" w:after="20"/>
              <w:jc w:val="center"/>
            </w:pPr>
            <w:r>
              <w:rPr>
                <w:sz w:val="17"/>
              </w:rPr>
              <w:t>10</w:t>
            </w:r>
          </w:p>
        </w:tc>
        <w:tc>
          <w:tcPr>
            <w:tcW w:type="dxa" w:w="1584"/>
            <w:tcMar>
              <w:top w:w="50" w:type="dxa"/>
              <w:bottom w:w="50" w:type="dxa"/>
              <w:left w:w="60" w:type="dxa"/>
              <w:right w:w="60" w:type="dxa"/>
            </w:tcMar>
            <w:shd w:fill="FFFFFF"/>
          </w:tcPr>
          <w:p>
            <w:pPr>
              <w:spacing w:before="20" w:after="20"/>
            </w:pPr>
            <w:r>
              <w:rPr>
                <w:sz w:val="17"/>
              </w:rPr>
              <w:t>Pasal 2 (3)</w:t>
            </w:r>
          </w:p>
        </w:tc>
        <w:tc>
          <w:tcPr>
            <w:tcW w:type="dxa" w:w="2304"/>
            <w:tcMar>
              <w:top w:w="50" w:type="dxa"/>
              <w:bottom w:w="50" w:type="dxa"/>
              <w:left w:w="60" w:type="dxa"/>
              <w:right w:w="60" w:type="dxa"/>
            </w:tcMar>
            <w:shd w:fill="FFFFFF"/>
          </w:tcPr>
          <w:p>
            <w:pPr>
              <w:spacing w:before="20" w:after="20"/>
            </w:pPr>
            <w:r>
              <w:rPr>
                <w:sz w:val="17"/>
              </w:rPr>
              <w:t>Koordinasi Tatap Muka (Offline)</w:t>
            </w:r>
          </w:p>
        </w:tc>
        <w:tc>
          <w:tcPr>
            <w:tcW w:type="dxa" w:w="1584"/>
            <w:tcMar>
              <w:top w:w="50" w:type="dxa"/>
              <w:bottom w:w="50" w:type="dxa"/>
              <w:left w:w="60" w:type="dxa"/>
              <w:right w:w="60" w:type="dxa"/>
            </w:tcMar>
            <w:shd w:fill="F8FAFC"/>
          </w:tcPr>
          <w:p>
            <w:pPr>
              <w:spacing w:before="20" w:after="20"/>
            </w:pPr>
            <w:r>
              <w:rPr>
                <w:sz w:val="17"/>
              </w:rPr>
              <w:t>Belum Berjalan</w:t>
            </w:r>
          </w:p>
        </w:tc>
        <w:tc>
          <w:tcPr>
            <w:tcW w:type="dxa" w:w="720"/>
            <w:tcMar>
              <w:top w:w="50" w:type="dxa"/>
              <w:bottom w:w="50" w:type="dxa"/>
              <w:left w:w="60" w:type="dxa"/>
              <w:right w:w="60" w:type="dxa"/>
            </w:tcMar>
            <w:shd w:fill="FFFFFF"/>
          </w:tcPr>
          <w:p>
            <w:pPr>
              <w:spacing w:before="20" w:after="20"/>
              <w:jc w:val="center"/>
            </w:pPr>
            <w:r>
              <w:rPr>
                <w:b/>
                <w:sz w:val="17"/>
              </w:rPr>
              <w:t>1</w:t>
            </w:r>
          </w:p>
        </w:tc>
        <w:tc>
          <w:tcPr>
            <w:tcW w:type="dxa" w:w="3024"/>
            <w:tcMar>
              <w:top w:w="50" w:type="dxa"/>
              <w:bottom w:w="50" w:type="dxa"/>
              <w:left w:w="60" w:type="dxa"/>
              <w:right w:w="60" w:type="dxa"/>
            </w:tcMar>
            <w:shd w:fill="FFFFFF"/>
          </w:tcPr>
          <w:p>
            <w:pPr>
              <w:spacing w:before="20" w:after="20"/>
            </w:pPr>
            <w:r>
              <w:rPr>
                <w:sz w:val="17"/>
              </w:rPr>
              <w:t>Koordinasi selama ini sepenuhnya jarak jauh; agenda temu fisik rutin di kantor/lokasi proyek belum terlaksana.</w:t>
            </w:r>
          </w:p>
        </w:tc>
      </w:tr>
      <w:tr>
        <w:tc>
          <w:tcPr>
            <w:tcW w:type="dxa" w:w="576"/>
            <w:tcMar>
              <w:top w:w="50" w:type="dxa"/>
              <w:bottom w:w="50" w:type="dxa"/>
              <w:left w:w="60" w:type="dxa"/>
              <w:right w:w="60" w:type="dxa"/>
            </w:tcMar>
            <w:shd w:fill="FFFFFF"/>
          </w:tcPr>
          <w:p>
            <w:pPr>
              <w:spacing w:before="20" w:after="20"/>
              <w:jc w:val="center"/>
            </w:pPr>
            <w:r>
              <w:rPr>
                <w:sz w:val="17"/>
              </w:rPr>
              <w:t>11</w:t>
            </w:r>
          </w:p>
        </w:tc>
        <w:tc>
          <w:tcPr>
            <w:tcW w:type="dxa" w:w="1584"/>
            <w:tcMar>
              <w:top w:w="50" w:type="dxa"/>
              <w:bottom w:w="50" w:type="dxa"/>
              <w:left w:w="60" w:type="dxa"/>
              <w:right w:w="60" w:type="dxa"/>
            </w:tcMar>
            <w:shd w:fill="FFFFFF"/>
          </w:tcPr>
          <w:p>
            <w:pPr>
              <w:spacing w:before="20" w:after="20"/>
            </w:pPr>
            <w:r>
              <w:rPr>
                <w:sz w:val="17"/>
              </w:rPr>
              <w:t>Pasal 2 (4)</w:t>
            </w:r>
          </w:p>
        </w:tc>
        <w:tc>
          <w:tcPr>
            <w:tcW w:type="dxa" w:w="2304"/>
            <w:tcMar>
              <w:top w:w="50" w:type="dxa"/>
              <w:bottom w:w="50" w:type="dxa"/>
              <w:left w:w="60" w:type="dxa"/>
              <w:right w:w="60" w:type="dxa"/>
            </w:tcMar>
            <w:shd w:fill="FFFFFF"/>
          </w:tcPr>
          <w:p>
            <w:pPr>
              <w:spacing w:before="20" w:after="20"/>
            </w:pPr>
            <w:r>
              <w:rPr>
                <w:sz w:val="17"/>
              </w:rPr>
              <w:t>Keterlibatan Weekly Meeting</w:t>
            </w:r>
          </w:p>
        </w:tc>
        <w:tc>
          <w:tcPr>
            <w:tcW w:type="dxa" w:w="1584"/>
            <w:tcMar>
              <w:top w:w="50" w:type="dxa"/>
              <w:bottom w:w="50" w:type="dxa"/>
              <w:left w:w="60" w:type="dxa"/>
              <w:right w:w="60" w:type="dxa"/>
            </w:tcMar>
            <w:shd w:fill="F8FAFC"/>
          </w:tcPr>
          <w:p>
            <w:pPr>
              <w:spacing w:before="20" w:after="20"/>
            </w:pPr>
            <w:r>
              <w:rPr>
                <w:sz w:val="17"/>
              </w:rPr>
              <w:t>Belum Berjalan</w:t>
            </w:r>
          </w:p>
        </w:tc>
        <w:tc>
          <w:tcPr>
            <w:tcW w:type="dxa" w:w="720"/>
            <w:tcMar>
              <w:top w:w="50" w:type="dxa"/>
              <w:bottom w:w="50" w:type="dxa"/>
              <w:left w:w="60" w:type="dxa"/>
              <w:right w:w="60" w:type="dxa"/>
            </w:tcMar>
            <w:shd w:fill="FFFFFF"/>
          </w:tcPr>
          <w:p>
            <w:pPr>
              <w:spacing w:before="20" w:after="20"/>
              <w:jc w:val="center"/>
            </w:pPr>
            <w:r>
              <w:rPr>
                <w:b/>
                <w:sz w:val="17"/>
              </w:rPr>
              <w:t>1</w:t>
            </w:r>
          </w:p>
        </w:tc>
        <w:tc>
          <w:tcPr>
            <w:tcW w:type="dxa" w:w="3024"/>
            <w:tcMar>
              <w:top w:w="50" w:type="dxa"/>
              <w:bottom w:w="50" w:type="dxa"/>
              <w:left w:w="60" w:type="dxa"/>
              <w:right w:w="60" w:type="dxa"/>
            </w:tcMar>
            <w:shd w:fill="FFFFFF"/>
          </w:tcPr>
          <w:p>
            <w:pPr>
              <w:spacing w:before="20" w:after="20"/>
            </w:pPr>
            <w:r>
              <w:rPr>
                <w:sz w:val="17"/>
              </w:rPr>
              <w:t>Konsultan belum berkesempatan hadir dalam agenda evaluasi mingguan rutin tim internal.</w:t>
            </w:r>
          </w:p>
        </w:tc>
      </w:tr>
      <w:tr>
        <w:tc>
          <w:tcPr>
            <w:tcW w:type="dxa" w:w="576"/>
            <w:tcMar>
              <w:top w:w="50" w:type="dxa"/>
              <w:bottom w:w="50" w:type="dxa"/>
              <w:left w:w="60" w:type="dxa"/>
              <w:right w:w="60" w:type="dxa"/>
            </w:tcMar>
            <w:shd w:fill="FFFFFF"/>
          </w:tcPr>
          <w:p>
            <w:pPr>
              <w:spacing w:before="20" w:after="20"/>
              <w:jc w:val="center"/>
            </w:pPr>
            <w:r>
              <w:rPr>
                <w:sz w:val="17"/>
              </w:rPr>
              <w:t>12</w:t>
            </w:r>
          </w:p>
        </w:tc>
        <w:tc>
          <w:tcPr>
            <w:tcW w:type="dxa" w:w="1584"/>
            <w:tcMar>
              <w:top w:w="50" w:type="dxa"/>
              <w:bottom w:w="50" w:type="dxa"/>
              <w:left w:w="60" w:type="dxa"/>
              <w:right w:w="60" w:type="dxa"/>
            </w:tcMar>
            <w:shd w:fill="FFFFFF"/>
          </w:tcPr>
          <w:p>
            <w:pPr>
              <w:spacing w:before="20" w:after="20"/>
            </w:pPr>
            <w:r>
              <w:rPr>
                <w:sz w:val="17"/>
              </w:rPr>
              <w:t>Pasal 2 (5)</w:t>
            </w:r>
          </w:p>
        </w:tc>
        <w:tc>
          <w:tcPr>
            <w:tcW w:type="dxa" w:w="2304"/>
            <w:tcMar>
              <w:top w:w="50" w:type="dxa"/>
              <w:bottom w:w="50" w:type="dxa"/>
              <w:left w:w="60" w:type="dxa"/>
              <w:right w:w="60" w:type="dxa"/>
            </w:tcMar>
            <w:shd w:fill="FFFFFF"/>
          </w:tcPr>
          <w:p>
            <w:pPr>
              <w:spacing w:before="20" w:after="20"/>
            </w:pPr>
            <w:r>
              <w:rPr>
                <w:sz w:val="17"/>
              </w:rPr>
              <w:t>Komunikasi Remote &amp; Respons</w:t>
            </w:r>
          </w:p>
        </w:tc>
        <w:tc>
          <w:tcPr>
            <w:tcW w:type="dxa" w:w="1584"/>
            <w:tcMar>
              <w:top w:w="50" w:type="dxa"/>
              <w:bottom w:w="50" w:type="dxa"/>
              <w:left w:w="60" w:type="dxa"/>
              <w:right w:w="60" w:type="dxa"/>
            </w:tcMar>
            <w:shd w:fill="FEFCE8"/>
          </w:tcPr>
          <w:p>
            <w:pPr>
              <w:spacing w:before="20" w:after="20"/>
            </w:pPr>
            <w:r>
              <w:rPr>
                <w:sz w:val="17"/>
              </w:rPr>
              <w:t>Sebagian</w:t>
            </w:r>
          </w:p>
        </w:tc>
        <w:tc>
          <w:tcPr>
            <w:tcW w:type="dxa" w:w="720"/>
            <w:tcMar>
              <w:top w:w="50" w:type="dxa"/>
              <w:bottom w:w="50" w:type="dxa"/>
              <w:left w:w="60" w:type="dxa"/>
              <w:right w:w="60" w:type="dxa"/>
            </w:tcMar>
            <w:shd w:fill="FFFFFF"/>
          </w:tcPr>
          <w:p>
            <w:pPr>
              <w:spacing w:before="20" w:after="20"/>
              <w:jc w:val="center"/>
            </w:pPr>
            <w:r>
              <w:rPr>
                <w:b/>
                <w:sz w:val="17"/>
              </w:rPr>
              <w:t>4</w:t>
            </w:r>
          </w:p>
        </w:tc>
        <w:tc>
          <w:tcPr>
            <w:tcW w:type="dxa" w:w="3024"/>
            <w:tcMar>
              <w:top w:w="50" w:type="dxa"/>
              <w:bottom w:w="50" w:type="dxa"/>
              <w:left w:w="60" w:type="dxa"/>
              <w:right w:w="60" w:type="dxa"/>
            </w:tcMar>
            <w:shd w:fill="FFFFFF"/>
          </w:tcPr>
          <w:p>
            <w:pPr>
              <w:spacing w:before="20" w:after="20"/>
            </w:pPr>
            <w:r>
              <w:rPr>
                <w:sz w:val="17"/>
              </w:rPr>
              <w:t>Responsif dalam komunikasi telepon dan chat WhatsApp dua arah, namun belum terlaksana sesi meeting daring bersama tim.</w:t>
            </w:r>
          </w:p>
        </w:tc>
      </w:tr>
      <w:tr>
        <w:tc>
          <w:tcPr>
            <w:tcW w:type="dxa" w:w="576"/>
            <w:tcMar>
              <w:top w:w="50" w:type="dxa"/>
              <w:bottom w:w="50" w:type="dxa"/>
              <w:left w:w="60" w:type="dxa"/>
              <w:right w:w="60" w:type="dxa"/>
            </w:tcMar>
            <w:shd w:fill="FFFFFF"/>
          </w:tcPr>
          <w:p>
            <w:pPr>
              <w:spacing w:before="20" w:after="20"/>
              <w:jc w:val="center"/>
            </w:pPr>
            <w:r>
              <w:rPr>
                <w:sz w:val="17"/>
              </w:rPr>
              <w:t>13</w:t>
            </w:r>
          </w:p>
        </w:tc>
        <w:tc>
          <w:tcPr>
            <w:tcW w:type="dxa" w:w="1584"/>
            <w:tcMar>
              <w:top w:w="50" w:type="dxa"/>
              <w:bottom w:w="50" w:type="dxa"/>
              <w:left w:w="60" w:type="dxa"/>
              <w:right w:w="60" w:type="dxa"/>
            </w:tcMar>
            <w:shd w:fill="FFFFFF"/>
          </w:tcPr>
          <w:p>
            <w:pPr>
              <w:spacing w:before="20" w:after="20"/>
            </w:pPr>
            <w:r>
              <w:rPr>
                <w:sz w:val="17"/>
              </w:rPr>
              <w:t>Pasal 3 &amp; 4</w:t>
            </w:r>
          </w:p>
        </w:tc>
        <w:tc>
          <w:tcPr>
            <w:tcW w:type="dxa" w:w="2304"/>
            <w:tcMar>
              <w:top w:w="50" w:type="dxa"/>
              <w:bottom w:w="50" w:type="dxa"/>
              <w:left w:w="60" w:type="dxa"/>
              <w:right w:w="60" w:type="dxa"/>
            </w:tcMar>
            <w:shd w:fill="FFFFFF"/>
          </w:tcPr>
          <w:p>
            <w:pPr>
              <w:spacing w:before="20" w:after="20"/>
            </w:pPr>
            <w:r>
              <w:rPr>
                <w:sz w:val="17"/>
              </w:rPr>
              <w:t>Creative Briefing Strategis</w:t>
            </w:r>
          </w:p>
        </w:tc>
        <w:tc>
          <w:tcPr>
            <w:tcW w:type="dxa" w:w="1584"/>
            <w:tcMar>
              <w:top w:w="50" w:type="dxa"/>
              <w:bottom w:w="50" w:type="dxa"/>
              <w:left w:w="60" w:type="dxa"/>
              <w:right w:w="60" w:type="dxa"/>
            </w:tcMar>
            <w:shd w:fill="F8FAFC"/>
          </w:tcPr>
          <w:p>
            <w:pPr>
              <w:spacing w:before="20" w:after="20"/>
            </w:pPr>
            <w:r>
              <w:rPr>
                <w:sz w:val="17"/>
              </w:rPr>
              <w:t>Belum Berjalan</w:t>
            </w:r>
          </w:p>
        </w:tc>
        <w:tc>
          <w:tcPr>
            <w:tcW w:type="dxa" w:w="720"/>
            <w:tcMar>
              <w:top w:w="50" w:type="dxa"/>
              <w:bottom w:w="50" w:type="dxa"/>
              <w:left w:w="60" w:type="dxa"/>
              <w:right w:w="60" w:type="dxa"/>
            </w:tcMar>
            <w:shd w:fill="FFFFFF"/>
          </w:tcPr>
          <w:p>
            <w:pPr>
              <w:spacing w:before="20" w:after="20"/>
              <w:jc w:val="center"/>
            </w:pPr>
            <w:r>
              <w:rPr>
                <w:b/>
                <w:sz w:val="17"/>
              </w:rPr>
              <w:t>2</w:t>
            </w:r>
          </w:p>
        </w:tc>
        <w:tc>
          <w:tcPr>
            <w:tcW w:type="dxa" w:w="3024"/>
            <w:tcMar>
              <w:top w:w="50" w:type="dxa"/>
              <w:bottom w:w="50" w:type="dxa"/>
              <w:left w:w="60" w:type="dxa"/>
              <w:right w:w="60" w:type="dxa"/>
            </w:tcMar>
            <w:shd w:fill="FFFFFF"/>
          </w:tcPr>
          <w:p>
            <w:pPr>
              <w:spacing w:before="20" w:after="20"/>
            </w:pPr>
            <w:r>
              <w:rPr>
                <w:sz w:val="17"/>
              </w:rPr>
              <w:t>Arahan konsep video/hook kreatif belum diformulasikan secara tertulis ke tim konten.</w:t>
            </w:r>
          </w:p>
        </w:tc>
      </w:tr>
      <w:tr>
        <w:tc>
          <w:tcPr>
            <w:tcW w:type="dxa" w:w="576"/>
            <w:tcMar>
              <w:top w:w="50" w:type="dxa"/>
              <w:bottom w:w="50" w:type="dxa"/>
              <w:left w:w="60" w:type="dxa"/>
              <w:right w:w="60" w:type="dxa"/>
            </w:tcMar>
            <w:shd w:fill="FFFFFF"/>
          </w:tcPr>
          <w:p>
            <w:pPr>
              <w:spacing w:before="20" w:after="20"/>
              <w:jc w:val="center"/>
            </w:pPr>
            <w:r>
              <w:rPr>
                <w:sz w:val="17"/>
              </w:rPr>
              <w:t>14</w:t>
            </w:r>
          </w:p>
        </w:tc>
        <w:tc>
          <w:tcPr>
            <w:tcW w:type="dxa" w:w="1584"/>
            <w:tcMar>
              <w:top w:w="50" w:type="dxa"/>
              <w:bottom w:w="50" w:type="dxa"/>
              <w:left w:w="60" w:type="dxa"/>
              <w:right w:w="60" w:type="dxa"/>
            </w:tcMar>
            <w:shd w:fill="FFFFFF"/>
          </w:tcPr>
          <w:p>
            <w:pPr>
              <w:spacing w:before="20" w:after="20"/>
            </w:pPr>
            <w:r>
              <w:rPr>
                <w:sz w:val="17"/>
              </w:rPr>
              <w:t>Pasal 5 (1,3)</w:t>
            </w:r>
          </w:p>
        </w:tc>
        <w:tc>
          <w:tcPr>
            <w:tcW w:type="dxa" w:w="2304"/>
            <w:tcMar>
              <w:top w:w="50" w:type="dxa"/>
              <w:bottom w:w="50" w:type="dxa"/>
              <w:left w:w="60" w:type="dxa"/>
              <w:right w:w="60" w:type="dxa"/>
            </w:tcMar>
            <w:shd w:fill="FFFFFF"/>
          </w:tcPr>
          <w:p>
            <w:pPr>
              <w:spacing w:before="20" w:after="20"/>
            </w:pPr>
            <w:r>
              <w:rPr>
                <w:sz w:val="17"/>
              </w:rPr>
              <w:t>Kualitas &amp; Validitas Leads</w:t>
            </w:r>
          </w:p>
        </w:tc>
        <w:tc>
          <w:tcPr>
            <w:tcW w:type="dxa" w:w="1584"/>
            <w:tcMar>
              <w:top w:w="50" w:type="dxa"/>
              <w:bottom w:w="50" w:type="dxa"/>
              <w:left w:w="60" w:type="dxa"/>
              <w:right w:w="60" w:type="dxa"/>
            </w:tcMar>
            <w:shd w:fill="FEFCE8"/>
          </w:tcPr>
          <w:p>
            <w:pPr>
              <w:spacing w:before="20" w:after="20"/>
            </w:pPr>
            <w:r>
              <w:rPr>
                <w:sz w:val="17"/>
              </w:rPr>
              <w:t>Sebagian</w:t>
            </w:r>
          </w:p>
        </w:tc>
        <w:tc>
          <w:tcPr>
            <w:tcW w:type="dxa" w:w="720"/>
            <w:tcMar>
              <w:top w:w="50" w:type="dxa"/>
              <w:bottom w:w="50" w:type="dxa"/>
              <w:left w:w="60" w:type="dxa"/>
              <w:right w:w="60" w:type="dxa"/>
            </w:tcMar>
            <w:shd w:fill="FFFFFF"/>
          </w:tcPr>
          <w:p>
            <w:pPr>
              <w:spacing w:before="20" w:after="20"/>
              <w:jc w:val="center"/>
            </w:pPr>
            <w:r>
              <w:rPr>
                <w:b/>
                <w:sz w:val="17"/>
              </w:rPr>
              <w:t>3</w:t>
            </w:r>
          </w:p>
        </w:tc>
        <w:tc>
          <w:tcPr>
            <w:tcW w:type="dxa" w:w="3024"/>
            <w:tcMar>
              <w:top w:w="50" w:type="dxa"/>
              <w:bottom w:w="50" w:type="dxa"/>
              <w:left w:w="60" w:type="dxa"/>
              <w:right w:w="60" w:type="dxa"/>
            </w:tcMar>
            <w:shd w:fill="FFFFFF"/>
          </w:tcPr>
          <w:p>
            <w:pPr>
              <w:spacing w:before="20" w:after="20"/>
            </w:pPr>
            <w:r>
              <w:rPr>
                <w:sz w:val="17"/>
              </w:rPr>
              <w:t>Masih berada dalam tahap penyesuaian (testing); belum menghasilkan formula kampanye yang stabil dalam menghasilkan closing.</w:t>
            </w:r>
          </w:p>
        </w:tc>
      </w:tr>
      <w:tr>
        <w:tc>
          <w:tcPr>
            <w:tcW w:type="dxa" w:w="576"/>
            <w:tcMar>
              <w:top w:w="50" w:type="dxa"/>
              <w:bottom w:w="50" w:type="dxa"/>
              <w:left w:w="60" w:type="dxa"/>
              <w:right w:w="60" w:type="dxa"/>
            </w:tcMar>
            <w:shd w:fill="FFFFFF"/>
          </w:tcPr>
          <w:p>
            <w:pPr>
              <w:spacing w:before="20" w:after="20"/>
              <w:jc w:val="center"/>
            </w:pPr>
            <w:r>
              <w:rPr>
                <w:sz w:val="17"/>
              </w:rPr>
              <w:t>15</w:t>
            </w:r>
          </w:p>
        </w:tc>
        <w:tc>
          <w:tcPr>
            <w:tcW w:type="dxa" w:w="1584"/>
            <w:tcMar>
              <w:top w:w="50" w:type="dxa"/>
              <w:bottom w:w="50" w:type="dxa"/>
              <w:left w:w="60" w:type="dxa"/>
              <w:right w:w="60" w:type="dxa"/>
            </w:tcMar>
            <w:shd w:fill="FFFFFF"/>
          </w:tcPr>
          <w:p>
            <w:pPr>
              <w:spacing w:before="20" w:after="20"/>
            </w:pPr>
            <w:r>
              <w:rPr>
                <w:sz w:val="17"/>
              </w:rPr>
              <w:t>Pasal 5 (1,3)</w:t>
            </w:r>
          </w:p>
        </w:tc>
        <w:tc>
          <w:tcPr>
            <w:tcW w:type="dxa" w:w="2304"/>
            <w:tcMar>
              <w:top w:w="50" w:type="dxa"/>
              <w:bottom w:w="50" w:type="dxa"/>
              <w:left w:w="60" w:type="dxa"/>
              <w:right w:w="60" w:type="dxa"/>
            </w:tcMar>
            <w:shd w:fill="FFFFFF"/>
          </w:tcPr>
          <w:p>
            <w:pPr>
              <w:spacing w:before="20" w:after="20"/>
            </w:pPr>
            <w:r>
              <w:rPr>
                <w:sz w:val="17"/>
              </w:rPr>
              <w:t>Relevansi Daya Beli Prospek</w:t>
            </w:r>
          </w:p>
        </w:tc>
        <w:tc>
          <w:tcPr>
            <w:tcW w:type="dxa" w:w="1584"/>
            <w:tcMar>
              <w:top w:w="50" w:type="dxa"/>
              <w:bottom w:w="50" w:type="dxa"/>
              <w:left w:w="60" w:type="dxa"/>
              <w:right w:w="60" w:type="dxa"/>
            </w:tcMar>
            <w:shd w:fill="FEFCE8"/>
          </w:tcPr>
          <w:p>
            <w:pPr>
              <w:spacing w:before="20" w:after="20"/>
            </w:pPr>
            <w:r>
              <w:rPr>
                <w:sz w:val="17"/>
              </w:rPr>
              <w:t>Sebagian</w:t>
            </w:r>
          </w:p>
        </w:tc>
        <w:tc>
          <w:tcPr>
            <w:tcW w:type="dxa" w:w="720"/>
            <w:tcMar>
              <w:top w:w="50" w:type="dxa"/>
              <w:bottom w:w="50" w:type="dxa"/>
              <w:left w:w="60" w:type="dxa"/>
              <w:right w:w="60" w:type="dxa"/>
            </w:tcMar>
            <w:shd w:fill="FFFFFF"/>
          </w:tcPr>
          <w:p>
            <w:pPr>
              <w:spacing w:before="20" w:after="20"/>
              <w:jc w:val="center"/>
            </w:pPr>
            <w:r>
              <w:rPr>
                <w:b/>
                <w:sz w:val="17"/>
              </w:rPr>
              <w:t>4</w:t>
            </w:r>
          </w:p>
        </w:tc>
        <w:tc>
          <w:tcPr>
            <w:tcW w:type="dxa" w:w="3024"/>
            <w:tcMar>
              <w:top w:w="50" w:type="dxa"/>
              <w:bottom w:w="50" w:type="dxa"/>
              <w:left w:w="60" w:type="dxa"/>
              <w:right w:w="60" w:type="dxa"/>
            </w:tcMar>
            <w:shd w:fill="FFFFFF"/>
          </w:tcPr>
          <w:p>
            <w:pPr>
              <w:spacing w:before="20" w:after="20"/>
            </w:pPr>
            <w:r>
              <w:rPr>
                <w:sz w:val="17"/>
              </w:rPr>
              <w:t>Memberikan saran teknis untuk penyaringan audiens (rencana penerapan Instant Form guna meningkatkan kualitas leads).</w:t>
            </w:r>
          </w:p>
        </w:tc>
      </w:tr>
      <w:tr>
        <w:tc>
          <w:tcPr>
            <w:tcW w:type="dxa" w:w="576"/>
            <w:tcMar>
              <w:top w:w="50" w:type="dxa"/>
              <w:bottom w:w="50" w:type="dxa"/>
              <w:left w:w="60" w:type="dxa"/>
              <w:right w:w="60" w:type="dxa"/>
            </w:tcMar>
            <w:shd w:fill="FFFFFF"/>
          </w:tcPr>
          <w:p>
            <w:pPr>
              <w:spacing w:before="20" w:after="20"/>
              <w:jc w:val="center"/>
            </w:pPr>
            <w:r>
              <w:rPr>
                <w:sz w:val="17"/>
              </w:rPr>
              <w:t>16</w:t>
            </w:r>
          </w:p>
        </w:tc>
        <w:tc>
          <w:tcPr>
            <w:tcW w:type="dxa" w:w="1584"/>
            <w:tcMar>
              <w:top w:w="50" w:type="dxa"/>
              <w:bottom w:w="50" w:type="dxa"/>
              <w:left w:w="60" w:type="dxa"/>
              <w:right w:w="60" w:type="dxa"/>
            </w:tcMar>
            <w:shd w:fill="FFFFFF"/>
          </w:tcPr>
          <w:p>
            <w:pPr>
              <w:spacing w:before="20" w:after="20"/>
            </w:pPr>
            <w:r>
              <w:rPr>
                <w:sz w:val="17"/>
              </w:rPr>
              <w:t>Pasal 2 &amp; 5</w:t>
            </w:r>
          </w:p>
        </w:tc>
        <w:tc>
          <w:tcPr>
            <w:tcW w:type="dxa" w:w="2304"/>
            <w:tcMar>
              <w:top w:w="50" w:type="dxa"/>
              <w:bottom w:w="50" w:type="dxa"/>
              <w:left w:w="60" w:type="dxa"/>
              <w:right w:w="60" w:type="dxa"/>
            </w:tcMar>
            <w:shd w:fill="FFFFFF"/>
          </w:tcPr>
          <w:p>
            <w:pPr>
              <w:spacing w:before="20" w:after="20"/>
            </w:pPr>
            <w:r>
              <w:rPr>
                <w:sz w:val="17"/>
              </w:rPr>
              <w:t>Laporan Harian Pergerakan Leads</w:t>
            </w:r>
          </w:p>
        </w:tc>
        <w:tc>
          <w:tcPr>
            <w:tcW w:type="dxa" w:w="1584"/>
            <w:tcMar>
              <w:top w:w="50" w:type="dxa"/>
              <w:bottom w:w="50" w:type="dxa"/>
              <w:left w:w="60" w:type="dxa"/>
              <w:right w:w="60" w:type="dxa"/>
            </w:tcMar>
            <w:shd w:fill="F8FAFC"/>
          </w:tcPr>
          <w:p>
            <w:pPr>
              <w:spacing w:before="20" w:after="20"/>
            </w:pPr>
            <w:r>
              <w:rPr>
                <w:sz w:val="17"/>
              </w:rPr>
              <w:t>Belum Berjalan</w:t>
            </w:r>
          </w:p>
        </w:tc>
        <w:tc>
          <w:tcPr>
            <w:tcW w:type="dxa" w:w="720"/>
            <w:tcMar>
              <w:top w:w="50" w:type="dxa"/>
              <w:bottom w:w="50" w:type="dxa"/>
              <w:left w:w="60" w:type="dxa"/>
              <w:right w:w="60" w:type="dxa"/>
            </w:tcMar>
            <w:shd w:fill="FFFFFF"/>
          </w:tcPr>
          <w:p>
            <w:pPr>
              <w:spacing w:before="20" w:after="20"/>
              <w:jc w:val="center"/>
            </w:pPr>
            <w:r>
              <w:rPr>
                <w:b/>
                <w:sz w:val="17"/>
              </w:rPr>
              <w:t>1</w:t>
            </w:r>
          </w:p>
        </w:tc>
        <w:tc>
          <w:tcPr>
            <w:tcW w:type="dxa" w:w="3024"/>
            <w:tcMar>
              <w:top w:w="50" w:type="dxa"/>
              <w:bottom w:w="50" w:type="dxa"/>
              <w:left w:w="60" w:type="dxa"/>
              <w:right w:w="60" w:type="dxa"/>
            </w:tcMar>
            <w:shd w:fill="FFFFFF"/>
          </w:tcPr>
          <w:p>
            <w:pPr>
              <w:spacing w:before="20" w:after="20"/>
            </w:pPr>
            <w:r>
              <w:rPr>
                <w:sz w:val="17"/>
              </w:rPr>
              <w:t>Pembaruan data pergerakan leads harian dikelola secara langsung oleh tim internal.</w:t>
            </w:r>
          </w:p>
        </w:tc>
      </w:tr>
      <w:tr>
        <w:tc>
          <w:tcPr>
            <w:tcW w:type="dxa" w:w="576"/>
            <w:tcMar>
              <w:top w:w="50" w:type="dxa"/>
              <w:bottom w:w="50" w:type="dxa"/>
              <w:left w:w="60" w:type="dxa"/>
              <w:right w:w="60" w:type="dxa"/>
            </w:tcMar>
            <w:shd w:fill="FFFFFF"/>
          </w:tcPr>
          <w:p>
            <w:pPr>
              <w:spacing w:before="20" w:after="20"/>
              <w:jc w:val="center"/>
            </w:pPr>
            <w:r>
              <w:rPr>
                <w:sz w:val="17"/>
              </w:rPr>
              <w:t>17</w:t>
            </w:r>
          </w:p>
        </w:tc>
        <w:tc>
          <w:tcPr>
            <w:tcW w:type="dxa" w:w="1584"/>
            <w:tcMar>
              <w:top w:w="50" w:type="dxa"/>
              <w:bottom w:w="50" w:type="dxa"/>
              <w:left w:w="60" w:type="dxa"/>
              <w:right w:w="60" w:type="dxa"/>
            </w:tcMar>
            <w:shd w:fill="FFFFFF"/>
          </w:tcPr>
          <w:p>
            <w:pPr>
              <w:spacing w:before="20" w:after="20"/>
            </w:pPr>
            <w:r>
              <w:rPr>
                <w:sz w:val="17"/>
              </w:rPr>
              <w:t>Pasal 2, 3, 7</w:t>
            </w:r>
          </w:p>
        </w:tc>
        <w:tc>
          <w:tcPr>
            <w:tcW w:type="dxa" w:w="2304"/>
            <w:tcMar>
              <w:top w:w="50" w:type="dxa"/>
              <w:bottom w:w="50" w:type="dxa"/>
              <w:left w:w="60" w:type="dxa"/>
              <w:right w:w="60" w:type="dxa"/>
            </w:tcMar>
            <w:shd w:fill="FFFFFF"/>
          </w:tcPr>
          <w:p>
            <w:pPr>
              <w:spacing w:before="20" w:after="20"/>
            </w:pPr>
            <w:r>
              <w:rPr>
                <w:sz w:val="17"/>
              </w:rPr>
              <w:t>Laporan Resmi Tertulis Bulan I</w:t>
            </w:r>
          </w:p>
        </w:tc>
        <w:tc>
          <w:tcPr>
            <w:tcW w:type="dxa" w:w="1584"/>
            <w:tcMar>
              <w:top w:w="50" w:type="dxa"/>
              <w:bottom w:w="50" w:type="dxa"/>
              <w:left w:w="60" w:type="dxa"/>
              <w:right w:w="60" w:type="dxa"/>
            </w:tcMar>
            <w:shd w:fill="F8FAFC"/>
          </w:tcPr>
          <w:p>
            <w:pPr>
              <w:spacing w:before="20" w:after="20"/>
            </w:pPr>
            <w:r>
              <w:rPr>
                <w:sz w:val="17"/>
              </w:rPr>
              <w:t>Belum Berjalan</w:t>
            </w:r>
          </w:p>
        </w:tc>
        <w:tc>
          <w:tcPr>
            <w:tcW w:type="dxa" w:w="720"/>
            <w:tcMar>
              <w:top w:w="50" w:type="dxa"/>
              <w:bottom w:w="50" w:type="dxa"/>
              <w:left w:w="60" w:type="dxa"/>
              <w:right w:w="60" w:type="dxa"/>
            </w:tcMar>
            <w:shd w:fill="FFFFFF"/>
          </w:tcPr>
          <w:p>
            <w:pPr>
              <w:spacing w:before="20" w:after="20"/>
              <w:jc w:val="center"/>
            </w:pPr>
            <w:r>
              <w:rPr>
                <w:b/>
                <w:sz w:val="17"/>
              </w:rPr>
              <w:t>1</w:t>
            </w:r>
          </w:p>
        </w:tc>
        <w:tc>
          <w:tcPr>
            <w:tcW w:type="dxa" w:w="3024"/>
            <w:tcMar>
              <w:top w:w="50" w:type="dxa"/>
              <w:bottom w:w="50" w:type="dxa"/>
              <w:left w:w="60" w:type="dxa"/>
              <w:right w:w="60" w:type="dxa"/>
            </w:tcMar>
            <w:shd w:fill="FFFFFF"/>
          </w:tcPr>
          <w:p>
            <w:pPr>
              <w:spacing w:before="20" w:after="20"/>
            </w:pPr>
            <w:r>
              <w:rPr>
                <w:sz w:val="17"/>
              </w:rPr>
              <w:t>Dokumen laporan analitik tertulis performa Bulan I belum diserahkan sebagai bahan evaluasi resmi.</w:t>
            </w:r>
          </w:p>
        </w:tc>
      </w:tr>
    </w:tbl>
    <w:p/>
    <w:p>
      <w:pPr>
        <w:pStyle w:val="Heading1"/>
        <w:spacing w:before="280" w:after="120"/>
      </w:pPr>
      <w:r>
        <w:rPr>
          <w:b/>
          <w:color w:val="1A365D"/>
          <w:sz w:val="29"/>
        </w:rPr>
        <w:t>3. EVALUASI KUALITATIF &amp; ASPEK PENGEMBANGAN (CONSTRUCTIVE FEEDBACK)</w:t>
      </w:r>
    </w:p>
    <w:p>
      <w:pPr>
        <w:pStyle w:val="ListBullet"/>
      </w:pPr>
      <w:r>
        <w:rPr>
          <w:b/>
        </w:rPr>
        <w:t xml:space="preserve">Peningkatan Inisiatif &amp; Arahan Strategis: </w:t>
      </w:r>
      <w:r>
        <w:t>Diperlukan dorongan inisiatif dan rekomendasi terobosan yang lebih proaktif dari konsultan dalam merespons dinamika kualitas leads di lapangan, khususnya untuk produk segmen investasi/high-ticket.</w:t>
      </w:r>
    </w:p>
    <w:p>
      <w:pPr>
        <w:pStyle w:val="ListBullet"/>
      </w:pPr>
      <w:r>
        <w:rPr>
          <w:b/>
        </w:rPr>
        <w:t xml:space="preserve">Optimalisasi Mentoring &amp; Transfer Knowledge: </w:t>
      </w:r>
      <w:r>
        <w:t>Sesi transfer wawasan dan pembekalan teknis perlu diagendakan secara lebih terstruktur dan terjadwal agar wawasan digital marketing dapat diserap dan diaplikasikan secara optimal oleh tim internal.</w:t>
      </w:r>
    </w:p>
    <w:p>
      <w:pPr>
        <w:pStyle w:val="ListBullet"/>
      </w:pPr>
      <w:r>
        <w:rPr>
          <w:b/>
        </w:rPr>
        <w:t xml:space="preserve">Penyelesaian Deliverables Penunjang (Tools &amp; SOP): </w:t>
      </w:r>
      <w:r>
        <w:t>Output pendukung efektivitas sales seperti Dashboard Looker Studio, SOP alur follow-up, dan materi Sales Script diharapkan dapat segera direalisasikan guna mendukung konversi prospek.</w:t>
      </w:r>
    </w:p>
    <w:p>
      <w:pPr>
        <w:pStyle w:val="ListBullet"/>
      </w:pPr>
      <w:r>
        <w:rPr>
          <w:b/>
        </w:rPr>
        <w:t xml:space="preserve">Penyelarasan Komunikasi &amp; Administrasi Laporan: </w:t>
      </w:r>
      <w:r>
        <w:t>Pertemuan koordinasi secara tatap muka (offline) serta penyerahan Laporan Analitik Resmi Tertulis Bulan I menjadi langkah penting untuk menyelaraskan evaluasi dan arah strategi ke depan.</w:t>
      </w:r>
    </w:p>
    <w:p/>
    <w:p>
      <w:pPr>
        <w:pStyle w:val="Heading1"/>
        <w:spacing w:before="280" w:after="120"/>
      </w:pPr>
      <w:r>
        <w:rPr>
          <w:b/>
          <w:color w:val="1A365D"/>
          <w:sz w:val="29"/>
        </w:rPr>
        <w:t>4. ANALISIS KONTRAK &amp; REKOMENDASI TERMIN II (Rp 7.500.000,-)</w:t>
      </w:r>
    </w:p>
    <w:tbl>
      <w:tblPr>
        <w:tblW w:type="auto" w:w="0"/>
        <w:jc w:val="center"/>
        <w:tblLook w:firstColumn="1" w:firstRow="1" w:lastColumn="0" w:lastRow="0" w:noHBand="0" w:noVBand="1" w:val="04A0"/>
      </w:tblPr>
      <w:tblGrid>
        <w:gridCol w:w="9936"/>
      </w:tblGrid>
      <w:tr>
        <w:tc>
          <w:tcPr>
            <w:tcW w:type="dxa" w:w="9936"/>
            <w:shd w:fill="F0FDF4"/>
            <w:tcMar>
              <w:top w:w="120" w:type="dxa"/>
              <w:bottom w:w="120" w:type="dxa"/>
              <w:left w:w="180" w:type="dxa"/>
              <w:right w:w="180" w:type="dxa"/>
            </w:tcMar>
            <w:tcBorders>
              <w:top w:val="none"/>
              <w:left w:val="single" w:sz="24" w:space="0" w:color="3182CE"/>
              <w:bottom w:val="none"/>
              <w:right w:val="none"/>
            </w:tcBorders>
          </w:tcPr>
          <w:p>
            <w:pPr>
              <w:spacing w:before="40" w:after="40"/>
            </w:pPr>
            <w:r>
              <w:rPr>
                <w:b/>
                <w:color w:val="2B6CB0"/>
                <w:sz w:val="19"/>
              </w:rPr>
              <w:t xml:space="preserve">📋 KETENTUAN KONTRAKTUAL: </w:t>
            </w:r>
            <w:r>
              <w:rPr>
                <w:color w:val="2D3748"/>
                <w:sz w:val="19"/>
              </w:rPr>
              <w:t>Sesuai ketentuan Pasal 7 Ayat 2 PKS, realisasi pembayaran Termin II berkaitan erat dengan penyerahan Laporan Progres Resmi Bulan I yang disetujui bersama oleh manajemen.</w:t>
            </w:r>
          </w:p>
        </w:tc>
      </w:tr>
    </w:tbl>
    <w:p/>
    <w:tbl>
      <w:tblPr>
        <w:tblW w:type="auto" w:w="0"/>
        <w:jc w:val="center"/>
        <w:tblLook w:firstColumn="1" w:firstRow="1" w:lastColumn="0" w:lastRow="0" w:noHBand="0" w:noVBand="1" w:val="04A0"/>
      </w:tblPr>
      <w:tblGrid>
        <w:gridCol w:w="4968"/>
        <w:gridCol w:w="4968"/>
      </w:tblGrid>
      <w:tr>
        <w:tc>
          <w:tcPr>
            <w:tcW w:type="dxa" w:w="3600"/>
            <w:tcMar>
              <w:top w:w="70" w:type="dxa"/>
              <w:bottom w:w="70" w:type="dxa"/>
              <w:left w:w="90" w:type="dxa"/>
              <w:right w:w="90" w:type="dxa"/>
            </w:tcMar>
            <w:shd w:fill="EBF8FF"/>
          </w:tcPr>
          <w:p>
            <w:r>
              <w:rPr>
                <w:b/>
                <w:color w:val="2B6CB0"/>
              </w:rPr>
              <w:t>OPSI REKOMENDASI</w:t>
            </w:r>
          </w:p>
        </w:tc>
        <w:tc>
          <w:tcPr>
            <w:tcW w:type="dxa" w:w="6192"/>
            <w:tcMar>
              <w:top w:w="70" w:type="dxa"/>
              <w:bottom w:w="70" w:type="dxa"/>
              <w:left w:w="90" w:type="dxa"/>
              <w:right w:w="90" w:type="dxa"/>
            </w:tcMar>
            <w:shd w:fill="EBF8FF"/>
          </w:tcPr>
          <w:p>
            <w:r>
              <w:rPr>
                <w:b/>
                <w:color w:val="2B6CB0"/>
              </w:rPr>
              <w:t>DESKRIPSI &amp; LANGKAH TINDAK LANJUT</w:t>
            </w:r>
          </w:p>
        </w:tc>
      </w:tr>
      <w:tr>
        <w:tc>
          <w:tcPr>
            <w:tcW w:type="dxa" w:w="3600"/>
            <w:tcMar>
              <w:top w:w="70" w:type="dxa"/>
              <w:bottom w:w="70" w:type="dxa"/>
              <w:left w:w="90" w:type="dxa"/>
              <w:right w:w="90" w:type="dxa"/>
            </w:tcMar>
            <w:shd w:fill="F0FDF4"/>
          </w:tcPr>
          <w:p>
            <w:r>
              <w:rPr>
                <w:b/>
                <w:sz w:val="18"/>
              </w:rPr>
              <w:t>OPSI A: PENCAIRAN BERSYARAT</w:t>
              <w:br/>
              <w:t>(Sangat Direkomendasikan)</w:t>
            </w:r>
          </w:p>
        </w:tc>
        <w:tc>
          <w:tcPr>
            <w:tcW w:type="dxa" w:w="6192"/>
            <w:tcMar>
              <w:top w:w="70" w:type="dxa"/>
              <w:bottom w:w="70" w:type="dxa"/>
              <w:left w:w="90" w:type="dxa"/>
              <w:right w:w="90" w:type="dxa"/>
            </w:tcMar>
            <w:shd w:fill="F0FDF4"/>
          </w:tcPr>
          <w:p>
            <w:r>
              <w:rPr>
                <w:sz w:val="18"/>
              </w:rPr>
              <w:t>Penyelarasan pencairan Termin II dengan memberikan tenggat waktu kepada Konsultan untuk melengkapi deliverable prioritas: (1) Menyerahkan Laporan Analitik Resmi Bulan I, (2) Menyusun Dashboard/SOP penunjang, dan (3) Melakukan sesi koordinasi langsung di kantor.</w:t>
            </w:r>
          </w:p>
        </w:tc>
      </w:tr>
      <w:tr>
        <w:tc>
          <w:tcPr>
            <w:tcW w:type="dxa" w:w="3600"/>
            <w:tcMar>
              <w:top w:w="70" w:type="dxa"/>
              <w:bottom w:w="70" w:type="dxa"/>
              <w:left w:w="90" w:type="dxa"/>
              <w:right w:w="90" w:type="dxa"/>
            </w:tcMar>
            <w:shd w:fill="FFFFFF"/>
          </w:tcPr>
          <w:p>
            <w:r>
              <w:rPr>
                <w:b/>
                <w:sz w:val="18"/>
              </w:rPr>
              <w:t>OPSI B: MASA PENYESUAIAN &amp; EVALUASI</w:t>
            </w:r>
          </w:p>
        </w:tc>
        <w:tc>
          <w:tcPr>
            <w:tcW w:type="dxa" w:w="6192"/>
            <w:tcMar>
              <w:top w:w="70" w:type="dxa"/>
              <w:bottom w:w="70" w:type="dxa"/>
              <w:left w:w="90" w:type="dxa"/>
              <w:right w:w="90" w:type="dxa"/>
            </w:tcMar>
            <w:shd w:fill="FFFFFF"/>
          </w:tcPr>
          <w:p>
            <w:r>
              <w:rPr>
                <w:sz w:val="18"/>
              </w:rPr>
              <w:t>Memberikan masa perbaikan dan penyelarasan kerja (14 hari kerja) untuk mengoptimalkan performa kampanye sebelum keputusan termin berikutnya ditetapkan.</w:t>
            </w:r>
          </w:p>
        </w:tc>
      </w:tr>
      <w:tr>
        <w:tc>
          <w:tcPr>
            <w:tcW w:type="dxa" w:w="3600"/>
            <w:tcMar>
              <w:top w:w="70" w:type="dxa"/>
              <w:bottom w:w="70" w:type="dxa"/>
              <w:left w:w="90" w:type="dxa"/>
              <w:right w:w="90" w:type="dxa"/>
            </w:tcMar>
            <w:shd w:fill="FFFFFF"/>
          </w:tcPr>
          <w:p>
            <w:r>
              <w:rPr>
                <w:b/>
                <w:sz w:val="18"/>
              </w:rPr>
              <w:t>OPSI C: PENYESUAIAN RUANG LINGKUP / PENGAKHIRAN</w:t>
            </w:r>
          </w:p>
        </w:tc>
        <w:tc>
          <w:tcPr>
            <w:tcW w:type="dxa" w:w="6192"/>
            <w:tcMar>
              <w:top w:w="70" w:type="dxa"/>
              <w:bottom w:w="70" w:type="dxa"/>
              <w:left w:w="90" w:type="dxa"/>
              <w:right w:w="90" w:type="dxa"/>
            </w:tcMar>
            <w:shd w:fill="FFFFFF"/>
          </w:tcPr>
          <w:p>
            <w:r>
              <w:rPr>
                <w:sz w:val="18"/>
              </w:rPr>
              <w:t>Melakukan evaluasi ulang menyeluruh atas kesesuaian ruang lingkup kerja sama dan mempertimbangkan pengalihan alokasi anggaran ke kanal pemasaran yang dinilai lebih mendesak.</w:t>
            </w:r>
          </w:p>
        </w:tc>
      </w:tr>
    </w:tbl>
    <w:p/>
    <w:p>
      <w:pPr>
        <w:pStyle w:val="Heading1"/>
        <w:spacing w:before="280" w:after="120"/>
      </w:pPr>
      <w:r>
        <w:rPr>
          <w:b/>
          <w:color w:val="1A365D"/>
          <w:sz w:val="29"/>
        </w:rPr>
        <w:t>5. LEMBAR PENGESAHAN LAPORAN</w:t>
      </w:r>
    </w:p>
    <w:tbl>
      <w:tblPr>
        <w:tblW w:type="auto" w:w="0"/>
        <w:jc w:val="center"/>
        <w:tblLook w:firstColumn="1" w:firstRow="1" w:lastColumn="0" w:lastRow="0" w:noHBand="0" w:noVBand="1" w:val="04A0"/>
      </w:tblPr>
      <w:tblGrid>
        <w:gridCol w:w="3312"/>
        <w:gridCol w:w="3312"/>
        <w:gridCol w:w="3312"/>
      </w:tblGrid>
      <w:tr>
        <w:tc>
          <w:tcPr>
            <w:tcW w:type="dxa" w:w="3168"/>
            <w:tcMar>
              <w:top w:w="40" w:type="dxa"/>
              <w:bottom w:w="40" w:type="dxa"/>
              <w:left w:w="60" w:type="dxa"/>
              <w:right w:w="60" w:type="dxa"/>
            </w:tcMar>
          </w:tcPr>
          <w:p>
            <w:pPr>
              <w:jc w:val="center"/>
            </w:pPr>
            <w:r>
              <w:rPr>
                <w:sz w:val="18"/>
              </w:rPr>
              <w:t>Disusun Oleh,</w:t>
            </w:r>
          </w:p>
        </w:tc>
        <w:tc>
          <w:tcPr>
            <w:tcW w:type="dxa" w:w="3168"/>
            <w:tcMar>
              <w:top w:w="40" w:type="dxa"/>
              <w:bottom w:w="40" w:type="dxa"/>
              <w:left w:w="60" w:type="dxa"/>
              <w:right w:w="60" w:type="dxa"/>
            </w:tcMar>
          </w:tcPr>
          <w:p>
            <w:pPr>
              <w:jc w:val="center"/>
            </w:pPr>
            <w:r>
              <w:rPr>
                <w:sz w:val="18"/>
              </w:rPr>
              <w:t>Mengetahui (HRGA),</w:t>
            </w:r>
          </w:p>
        </w:tc>
        <w:tc>
          <w:tcPr>
            <w:tcW w:type="dxa" w:w="3168"/>
            <w:tcMar>
              <w:top w:w="40" w:type="dxa"/>
              <w:bottom w:w="40" w:type="dxa"/>
              <w:left w:w="60" w:type="dxa"/>
              <w:right w:w="60" w:type="dxa"/>
            </w:tcMar>
          </w:tcPr>
          <w:p>
            <w:pPr>
              <w:jc w:val="center"/>
            </w:pPr>
            <w:r>
              <w:rPr>
                <w:sz w:val="18"/>
              </w:rPr>
              <w:t>Menyetujui (Direksi),</w:t>
            </w:r>
          </w:p>
        </w:tc>
      </w:tr>
      <w:tr>
        <w:tc>
          <w:tcPr>
            <w:tcW w:type="dxa" w:w="3168"/>
            <w:tcMar>
              <w:top w:w="40" w:type="dxa"/>
              <w:bottom w:w="40" w:type="dxa"/>
              <w:left w:w="60" w:type="dxa"/>
              <w:right w:w="60" w:type="dxa"/>
            </w:tcMar>
          </w:tcPr>
          <w:p>
            <w:pPr>
              <w:jc w:val="center"/>
            </w:pPr>
            <w:r>
              <w:br/>
              <w:br/>
              <w:br/>
              <w:t>_______________________</w:t>
              <w:br/>
            </w:r>
            <w:r>
              <w:rPr>
                <w:b/>
                <w:sz w:val="18"/>
              </w:rPr>
              <w:t>NUGI FATHUL FALAH</w:t>
              <w:br/>
              <w:t>Lead Marcom &amp; Digital</w:t>
            </w:r>
          </w:p>
        </w:tc>
        <w:tc>
          <w:tcPr>
            <w:tcW w:type="dxa" w:w="3168"/>
            <w:tcMar>
              <w:top w:w="40" w:type="dxa"/>
              <w:bottom w:w="40" w:type="dxa"/>
              <w:left w:w="60" w:type="dxa"/>
              <w:right w:w="60" w:type="dxa"/>
            </w:tcMar>
          </w:tcPr>
          <w:p>
            <w:pPr>
              <w:jc w:val="center"/>
            </w:pPr>
            <w:r>
              <w:br/>
              <w:br/>
              <w:br/>
              <w:t>_______________________</w:t>
              <w:br/>
            </w:r>
            <w:r>
              <w:rPr>
                <w:b/>
                <w:sz w:val="18"/>
              </w:rPr>
              <w:t>PAK ARIE</w:t>
              <w:br/>
              <w:t>HRGA Yanproland</w:t>
            </w:r>
          </w:p>
        </w:tc>
        <w:tc>
          <w:tcPr>
            <w:tcW w:type="dxa" w:w="3168"/>
            <w:tcMar>
              <w:top w:w="40" w:type="dxa"/>
              <w:bottom w:w="40" w:type="dxa"/>
              <w:left w:w="60" w:type="dxa"/>
              <w:right w:w="60" w:type="dxa"/>
            </w:tcMar>
          </w:tcPr>
          <w:p>
            <w:pPr>
              <w:jc w:val="center"/>
            </w:pPr>
            <w:r>
              <w:br/>
              <w:br/>
              <w:br/>
              <w:t>_______________________</w:t>
              <w:br/>
            </w:r>
            <w:r>
              <w:rPr>
                <w:b/>
                <w:sz w:val="18"/>
              </w:rPr>
              <w:t>PAK YANA PRIATNA</w:t>
              <w:br/>
              <w:t>Direktur Utama Yanproland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