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2088" cy="10689336"/>
            <wp:effectExtent l="0" t="0" r="0" b="0"/>
            <wp:wrapNone/>
            <wp:docPr id="1" name="Kop Surat GREN Propertykost (Background)" descr="Official Letterhead Background Layer A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GREN-Propertykost-Jatinangor-Kop-Surat-A4-300dpi.png"/>
                    <pic:cNvPicPr/>
                  </pic:nvPicPr>
                  <pic:blipFill>
                    <a:blip r:embed="rId9"/>
                    <a:stretch>
                      <a:fillRect/>
                    </a:stretch>
                  </pic:blipFill>
                  <pic:spPr>
                    <a:xfrm>
                      <a:off x="0" y="0"/>
                      <a:ext cx="7562088" cy="10689336"/>
                    </a:xfrm>
                    <a:prstGeom prst="rect"/>
                  </pic:spPr>
                </pic:pic>
              </a:graphicData>
            </a:graphic>
          </wp:anchor>
        </w:drawing>
      </w:r>
      <w:r>
        <w:rPr>
          <w:b/>
          <w:color w:val="1B365D"/>
          <w:sz w:val="25"/>
        </w:rPr>
        <w:t>INTERNAL OFFICE MEMO</w:t>
      </w:r>
    </w:p>
    <w:p>
      <w:pPr>
        <w:spacing w:after="20"/>
        <w:jc w:val="center"/>
      </w:pPr>
      <w:r>
        <w:rPr>
          <w:b/>
          <w:sz w:val="21"/>
        </w:rPr>
        <w:t>PT. KENZO ANATHA BUMI</w:t>
      </w:r>
    </w:p>
    <w:p>
      <w:pPr>
        <w:spacing w:after="80"/>
        <w:jc w:val="center"/>
      </w:pPr>
      <w:r>
        <w:rPr>
          <w:b/>
          <w:color w:val="0D5C75"/>
          <w:sz w:val="20"/>
        </w:rPr>
        <w:t>No. 004/MKT/KAB/GREN/IX/2026</w:t>
      </w:r>
    </w:p>
    <w:p>
      <w:pPr>
        <w:spacing w:before="0" w:after="80"/>
        <w:pBdr>
          <w:bottom w:val="single" w:sz="12" w:space="1" w:color="1B365D"/>
        </w:pBdr>
      </w:pPr>
    </w:p>
    <w:tbl>
      <w:tblPr>
        <w:tblW w:type="auto" w:w="0"/>
        <w:jc w:val="center"/>
        <w:tblLayout w:type="fixed"/>
        <w:tblLook w:firstColumn="1" w:firstRow="1" w:lastColumn="0" w:lastRow="0" w:noHBand="0" w:noVBand="1" w:val="04A0"/>
      </w:tblPr>
      <w:tblGrid>
        <w:gridCol w:w="3202"/>
        <w:gridCol w:w="3202"/>
        <w:gridCol w:w="3202"/>
      </w:tblGrid>
      <w:tr>
        <w:tc>
          <w:tcPr>
            <w:tcW w:type="dxa" w:w="1872"/>
          </w:tcPr>
          <w:p>
            <w:pPr>
              <w:spacing w:after="20"/>
            </w:pPr>
            <w:r>
              <w:rPr>
                <w:b/>
                <w:sz w:val="18"/>
              </w:rPr>
              <w:t>Kepada Yth</w:t>
            </w:r>
          </w:p>
        </w:tc>
        <w:tc>
          <w:tcPr>
            <w:tcW w:type="dxa" w:w="288"/>
          </w:tcPr>
          <w:p>
            <w:pPr>
              <w:spacing w:after="20"/>
            </w:pPr>
            <w:r>
              <w:rPr>
                <w:b/>
                <w:sz w:val="18"/>
              </w:rPr>
              <w:t>:</w:t>
            </w:r>
          </w:p>
        </w:tc>
        <w:tc>
          <w:tcPr>
            <w:tcW w:type="dxa" w:w="7344"/>
          </w:tcPr>
          <w:p>
            <w:pPr>
              <w:spacing w:after="20"/>
            </w:pPr>
            <w:r>
              <w:rPr>
                <w:b/>
                <w:sz w:val="18"/>
              </w:rPr>
              <w:t>Rekan-rekan Tim Sales &amp; Marketing GREN Propertykost</w:t>
            </w:r>
          </w:p>
        </w:tc>
      </w:tr>
      <w:tr>
        <w:tc>
          <w:tcPr>
            <w:tcW w:type="dxa" w:w="1872"/>
          </w:tcPr>
          <w:p>
            <w:pPr>
              <w:spacing w:after="20"/>
            </w:pPr>
            <w:r>
              <w:rPr>
                <w:b/>
                <w:sz w:val="18"/>
              </w:rPr>
              <w:t>Dari</w:t>
            </w:r>
          </w:p>
        </w:tc>
        <w:tc>
          <w:tcPr>
            <w:tcW w:type="dxa" w:w="288"/>
          </w:tcPr>
          <w:p>
            <w:pPr>
              <w:spacing w:after="20"/>
            </w:pPr>
            <w:r>
              <w:rPr>
                <w:b/>
                <w:sz w:val="18"/>
              </w:rPr>
              <w:t>:</w:t>
            </w:r>
          </w:p>
        </w:tc>
        <w:tc>
          <w:tcPr>
            <w:tcW w:type="dxa" w:w="7344"/>
          </w:tcPr>
          <w:p>
            <w:pPr>
              <w:spacing w:after="20"/>
            </w:pPr>
            <w:r>
              <w:rPr>
                <w:b/>
                <w:sz w:val="18"/>
              </w:rPr>
              <w:t>Direktur Utama PT. Kenzo Anatha Bumi (Bapak Yana Priatna)</w:t>
            </w:r>
          </w:p>
        </w:tc>
      </w:tr>
      <w:tr>
        <w:tc>
          <w:tcPr>
            <w:tcW w:type="dxa" w:w="1872"/>
          </w:tcPr>
          <w:p>
            <w:pPr>
              <w:spacing w:after="20"/>
            </w:pPr>
            <w:r>
              <w:rPr>
                <w:b/>
                <w:sz w:val="18"/>
              </w:rPr>
              <w:t>Tembusan</w:t>
            </w:r>
          </w:p>
        </w:tc>
        <w:tc>
          <w:tcPr>
            <w:tcW w:type="dxa" w:w="288"/>
          </w:tcPr>
          <w:p>
            <w:pPr>
              <w:spacing w:after="20"/>
            </w:pPr>
            <w:r>
              <w:rPr>
                <w:b/>
                <w:sz w:val="18"/>
              </w:rPr>
              <w:t>:</w:t>
            </w:r>
          </w:p>
        </w:tc>
        <w:tc>
          <w:tcPr>
            <w:tcW w:type="dxa" w:w="7344"/>
          </w:tcPr>
          <w:p>
            <w:pPr>
              <w:spacing w:after="20"/>
            </w:pPr>
            <w:r>
              <w:rPr>
                <w:b w:val="0"/>
                <w:sz w:val="18"/>
              </w:rPr>
              <w:t>1. Bapak Arie (HRD &amp; General Affairs)</w:t>
              <w:br/>
              <w:t>2. Nugi Fathul Falah (SPV Markom dan Digital)</w:t>
            </w:r>
          </w:p>
        </w:tc>
      </w:tr>
      <w:tr>
        <w:tc>
          <w:tcPr>
            <w:tcW w:type="dxa" w:w="1872"/>
          </w:tcPr>
          <w:p>
            <w:pPr>
              <w:spacing w:after="20"/>
            </w:pPr>
            <w:r>
              <w:rPr>
                <w:b/>
                <w:sz w:val="18"/>
              </w:rPr>
              <w:t>Tanggal</w:t>
            </w:r>
          </w:p>
        </w:tc>
        <w:tc>
          <w:tcPr>
            <w:tcW w:type="dxa" w:w="288"/>
          </w:tcPr>
          <w:p>
            <w:pPr>
              <w:spacing w:after="20"/>
            </w:pPr>
            <w:r>
              <w:rPr>
                <w:b/>
                <w:sz w:val="18"/>
              </w:rPr>
              <w:t>:</w:t>
            </w:r>
          </w:p>
        </w:tc>
        <w:tc>
          <w:tcPr>
            <w:tcW w:type="dxa" w:w="7344"/>
          </w:tcPr>
          <w:p>
            <w:pPr>
              <w:spacing w:after="20"/>
            </w:pPr>
            <w:r>
              <w:rPr>
                <w:b w:val="0"/>
                <w:sz w:val="18"/>
              </w:rPr>
              <w:t>21 September 2026</w:t>
            </w:r>
          </w:p>
        </w:tc>
      </w:tr>
      <w:tr>
        <w:tc>
          <w:tcPr>
            <w:tcW w:type="dxa" w:w="1872"/>
          </w:tcPr>
          <w:p>
            <w:pPr>
              <w:spacing w:after="20"/>
            </w:pPr>
            <w:r>
              <w:rPr>
                <w:b/>
                <w:sz w:val="18"/>
              </w:rPr>
              <w:t>Perihal</w:t>
            </w:r>
          </w:p>
        </w:tc>
        <w:tc>
          <w:tcPr>
            <w:tcW w:type="dxa" w:w="288"/>
          </w:tcPr>
          <w:p>
            <w:pPr>
              <w:spacing w:after="20"/>
            </w:pPr>
            <w:r>
              <w:rPr>
                <w:b/>
                <w:sz w:val="18"/>
              </w:rPr>
              <w:t>:</w:t>
            </w:r>
          </w:p>
        </w:tc>
        <w:tc>
          <w:tcPr>
            <w:tcW w:type="dxa" w:w="7344"/>
          </w:tcPr>
          <w:p>
            <w:pPr>
              <w:spacing w:after="20"/>
            </w:pPr>
            <w:r>
              <w:rPr>
                <w:b/>
                <w:sz w:val="18"/>
              </w:rPr>
              <w:t>Kebijakan Fee Penjualan Rukost 10% (Khusus Cash Keras 21 Hari)</w:t>
            </w:r>
          </w:p>
        </w:tc>
      </w:tr>
    </w:tbl>
    <w:p>
      <w:pPr>
        <w:spacing w:before="40" w:after="80"/>
        <w:pBdr>
          <w:bottom w:val="single" w:sz="6" w:space="1" w:color="CCCCCC"/>
        </w:pBdr>
      </w:pPr>
    </w:p>
    <w:p>
      <w:pPr>
        <w:spacing w:after="40"/>
      </w:pPr>
      <w:r>
        <w:rPr>
          <w:sz w:val="19"/>
        </w:rPr>
        <w:t>Dengan Hormat,</w:t>
      </w:r>
    </w:p>
    <w:p>
      <w:pPr>
        <w:spacing w:after="80"/>
      </w:pPr>
      <w:r>
        <w:rPr>
          <w:sz w:val="19"/>
        </w:rPr>
        <w:t>Dalam rangka percepatan penjualan unit Rukost GREN Propertykost Jatinangor, bersama ini Direktur Utama menetapkan instruksi dan kebijakan langsung mengenai skema fee penjualan bagi rekan-rekan Tim Sales &amp; Marketing sebagai berikut:</w:t>
      </w:r>
    </w:p>
    <w:p>
      <w:pPr>
        <w:spacing w:before="50" w:after="10"/>
      </w:pPr>
      <w:r>
        <w:rPr>
          <w:b/>
          <w:color w:val="1B365D"/>
          <w:sz w:val="18"/>
        </w:rPr>
        <w:t>1. Fee Rukost Menjadi 10% (Khusus Sales Marketing):</w:t>
      </w:r>
    </w:p>
    <w:p>
      <w:pPr>
        <w:spacing w:after="50"/>
        <w:ind w:left="259"/>
      </w:pPr>
      <w:r>
        <w:rPr>
          <w:sz w:val="18"/>
        </w:rPr>
        <w:t>Fee penjualan unit rukost resmi diberlakukan kembali menjadi 10% khusus bagi rekan-rekan Tim Sales Marketing internal yang berhasil merealisasikan penjualan unit.</w:t>
      </w:r>
    </w:p>
    <w:p>
      <w:pPr>
        <w:spacing w:before="50" w:after="10"/>
      </w:pPr>
      <w:r>
        <w:rPr>
          <w:b/>
          <w:color w:val="1B365D"/>
          <w:sz w:val="18"/>
        </w:rPr>
        <w:t>2. Hanya untuk Skema Bayar Cash Keras:</w:t>
      </w:r>
    </w:p>
    <w:p>
      <w:pPr>
        <w:spacing w:after="50"/>
        <w:ind w:left="259"/>
      </w:pPr>
      <w:r>
        <w:rPr>
          <w:sz w:val="18"/>
        </w:rPr>
        <w:t>Ketentuan fee 10% ini hanya berlaku khusus untuk transaksi pembelian konsumen dengan cara pembayaran Cash Keras.</w:t>
      </w:r>
    </w:p>
    <w:p>
      <w:pPr>
        <w:spacing w:before="50" w:after="10"/>
      </w:pPr>
      <w:r>
        <w:rPr>
          <w:b/>
          <w:color w:val="1B365D"/>
          <w:sz w:val="18"/>
        </w:rPr>
        <w:t>3. Batas Waktu 21 Hari (3 Minggu) dari Reservasi:</w:t>
      </w:r>
    </w:p>
    <w:p>
      <w:pPr>
        <w:spacing w:after="50"/>
        <w:ind w:left="259"/>
      </w:pPr>
      <w:r>
        <w:rPr>
          <w:sz w:val="18"/>
        </w:rPr>
        <w:t>Skema harga cash keras dan fee 10% ini berlaku maksimal 21 hari (3 minggu) saja, terhitung sejak konsumen melakukan reservasi / booking fee.</w:t>
      </w:r>
    </w:p>
    <w:p>
      <w:pPr>
        <w:spacing w:before="50" w:after="10"/>
      </w:pPr>
      <w:r>
        <w:rPr>
          <w:b/>
          <w:color w:val="1B365D"/>
          <w:sz w:val="18"/>
        </w:rPr>
        <w:t>4. Ketentuan Lewat dari 3 Minggu:</w:t>
      </w:r>
    </w:p>
    <w:p>
      <w:pPr>
        <w:spacing w:after="50"/>
        <w:ind w:left="259"/>
      </w:pPr>
      <w:r>
        <w:rPr>
          <w:sz w:val="18"/>
        </w:rPr>
        <w:t>Apabila pelunasan melewati batas waktu 3 minggu (21 hari) dari tanggal reservasi, maka besaran fee akan berbeda (disesuaikan kembali) serta harga unit dapat dinegosiasikan. Detail ketentuan terkait hal ini akan disharekan lebih lanjut oleh manajemen.</w:t>
      </w:r>
    </w:p>
    <w:p>
      <w:pPr>
        <w:spacing w:before="50" w:after="10"/>
      </w:pPr>
      <w:r>
        <w:rPr>
          <w:b/>
          <w:color w:val="1B365D"/>
          <w:sz w:val="18"/>
        </w:rPr>
        <w:t>5. Masa Berlaku Program:</w:t>
      </w:r>
    </w:p>
    <w:p>
      <w:pPr>
        <w:spacing w:after="50"/>
        <w:ind w:left="259"/>
      </w:pPr>
      <w:r>
        <w:rPr>
          <w:sz w:val="18"/>
        </w:rPr>
        <w:t>Program ini mulai berlaku sejak tanggal memo ini diterbitkan. Terkait batas akhir berlakunya promo fee ini, nantinya akan diinfokan kembali oleh manajemen secara resmi (baik melalui grup WhatsApp, lisan, maupun pemberitahuan tertulis di kemudian hari).</w:t>
      </w:r>
    </w:p>
    <w:p>
      <w:pPr>
        <w:spacing w:before="60" w:after="60"/>
      </w:pPr>
      <w:r>
        <w:rPr>
          <w:b/>
          <w:color w:val="0D5C75"/>
          <w:sz w:val="19"/>
        </w:rPr>
        <w:t>Mari manfaatkan dan maksimalkan kesempatan ini bersama tim untuk kejar target closing sebanyak-banyaknya!</w:t>
      </w:r>
    </w:p>
    <w:p>
      <w:pPr>
        <w:spacing w:after="80"/>
      </w:pPr>
      <w:r>
        <w:rPr>
          <w:sz w:val="18"/>
        </w:rPr>
        <w:t>Demikian instruksi ini disampaikan untuk dapat dipedomani dan dilaksanakan dengan penuh tanggung jawab.</w:t>
      </w:r>
    </w:p>
    <w:tbl>
      <w:tblPr>
        <w:tblW w:type="auto" w:w="0"/>
        <w:jc w:val="center"/>
        <w:tblLayout w:type="fixed"/>
        <w:tblLook w:firstColumn="1" w:firstRow="1" w:lastColumn="0" w:lastRow="0" w:noHBand="0" w:noVBand="1" w:val="04A0"/>
      </w:tblPr>
      <w:tblGrid>
        <w:gridCol w:w="4802"/>
        <w:gridCol w:w="4802"/>
      </w:tblGrid>
      <w:tr>
        <w:tc>
          <w:tcPr>
            <w:tcW w:type="dxa" w:w="5184"/>
          </w:tcPr>
          <w:p/>
        </w:tc>
        <w:tc>
          <w:tcPr>
            <w:tcW w:type="dxa" w:w="4320"/>
          </w:tcPr>
          <w:p>
            <w:pPr>
              <w:spacing w:before="0" w:after="20"/>
              <w:jc w:val="center"/>
            </w:pPr>
            <w:r>
              <w:rPr>
                <w:b/>
                <w:sz w:val="19"/>
              </w:rPr>
              <w:t>PT. KENZO ANATHA BUMI</w:t>
            </w:r>
          </w:p>
          <w:p>
            <w:pPr>
              <w:spacing w:before="40" w:after="40"/>
              <w:jc w:val="center"/>
            </w:pPr>
            <w:r>
              <w:drawing>
                <wp:inline xmlns:a="http://schemas.openxmlformats.org/drawingml/2006/main" xmlns:pic="http://schemas.openxmlformats.org/drawingml/2006/picture">
                  <wp:extent cx="1645920" cy="444192"/>
                  <wp:docPr id="2" name="Picture 2"/>
                  <wp:cNvGraphicFramePr>
                    <a:graphicFrameLocks noChangeAspect="1"/>
                  </wp:cNvGraphicFramePr>
                  <a:graphic>
                    <a:graphicData uri="http://schemas.openxmlformats.org/drawingml/2006/picture">
                      <pic:pic>
                        <pic:nvPicPr>
                          <pic:cNvPr id="0" name="TTD_Yana_Priatna.png"/>
                          <pic:cNvPicPr/>
                        </pic:nvPicPr>
                        <pic:blipFill>
                          <a:blip r:embed="rId10"/>
                          <a:stretch>
                            <a:fillRect/>
                          </a:stretch>
                        </pic:blipFill>
                        <pic:spPr>
                          <a:xfrm>
                            <a:off x="0" y="0"/>
                            <a:ext cx="1645920" cy="444192"/>
                          </a:xfrm>
                          <a:prstGeom prst="rect"/>
                        </pic:spPr>
                      </pic:pic>
                    </a:graphicData>
                  </a:graphic>
                </wp:inline>
              </w:drawing>
            </w:r>
          </w:p>
          <w:p>
            <w:pPr>
              <w:spacing w:before="0" w:after="0"/>
              <w:jc w:val="center"/>
            </w:pPr>
            <w:r>
              <w:rPr>
                <w:b/>
                <w:sz w:val="19"/>
              </w:rPr>
              <w:t>(Yana Priatna)</w:t>
              <w:br/>
            </w:r>
            <w:r>
              <w:rPr>
                <w:color w:val="555555"/>
                <w:sz w:val="17"/>
              </w:rPr>
              <w:t>Direktur Utama / CEO &amp; Founder</w:t>
            </w:r>
          </w:p>
        </w:tc>
      </w:tr>
    </w:tbl>
    <w:sectPr w:rsidR="00FC693F" w:rsidRPr="0006063C" w:rsidSect="00034616">
      <w:pgSz w:w="11909" w:h="16834"/>
      <w:pgMar w:top="2664"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