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color w:val="1B365D"/>
          <w:sz w:val="28"/>
        </w:rPr>
        <w:t>INTERNAL OFFICE MEMO</w:t>
      </w:r>
    </w:p>
    <w:p>
      <w:pPr>
        <w:spacing w:after="80"/>
        <w:jc w:val="center"/>
      </w:pPr>
      <w:r>
        <w:rPr>
          <w:b/>
          <w:sz w:val="24"/>
        </w:rPr>
        <w:t>PT. KENZO ANATHA BUMI</w:t>
      </w:r>
    </w:p>
    <w:p>
      <w:pPr>
        <w:spacing w:after="280"/>
        <w:jc w:val="center"/>
      </w:pPr>
      <w:r>
        <w:rPr>
          <w:b/>
          <w:color w:val="0D5C75"/>
          <w:sz w:val="22"/>
        </w:rPr>
        <w:t>No. 004/MKT/KAB/GREN/IX/2026</w:t>
      </w:r>
    </w:p>
    <w:p>
      <w:pPr>
        <w:spacing w:after="200"/>
        <w:pBdr>
          <w:bottom w:val="single" w:sz="18" w:space="1" w:color="1B365D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</w:tcPr>
          <w:p>
            <w:pPr>
              <w:spacing w:after="60"/>
            </w:pPr>
            <w:r>
              <w:rPr>
                <w:b/>
                <w:sz w:val="20"/>
              </w:rPr>
              <w:t>Kepada Yth</w:t>
            </w:r>
          </w:p>
        </w:tc>
        <w:tc>
          <w:tcPr>
            <w:tcW w:type="dxa" w:w="288"/>
          </w:tcPr>
          <w:p>
            <w:pPr>
              <w:spacing w:after="60"/>
            </w:pPr>
            <w:r>
              <w:rPr>
                <w:b/>
                <w:sz w:val="20"/>
              </w:rPr>
              <w:t>:</w:t>
            </w:r>
          </w:p>
        </w:tc>
        <w:tc>
          <w:tcPr>
            <w:tcW w:type="dxa" w:w="6912"/>
          </w:tcPr>
          <w:p>
            <w:pPr>
              <w:spacing w:after="60"/>
            </w:pPr>
            <w:r>
              <w:rPr>
                <w:b/>
                <w:sz w:val="20"/>
              </w:rPr>
              <w:t>Seluruh Rekan Sales &amp; Agent (All Team) GREN Propertykost</w:t>
            </w:r>
          </w:p>
        </w:tc>
      </w:tr>
      <w:tr>
        <w:tc>
          <w:tcPr>
            <w:tcW w:type="dxa" w:w="2160"/>
          </w:tcPr>
          <w:p>
            <w:pPr>
              <w:spacing w:after="60"/>
            </w:pPr>
            <w:r>
              <w:rPr>
                <w:b/>
                <w:sz w:val="20"/>
              </w:rPr>
              <w:t>Dari</w:t>
            </w:r>
          </w:p>
        </w:tc>
        <w:tc>
          <w:tcPr>
            <w:tcW w:type="dxa" w:w="288"/>
          </w:tcPr>
          <w:p>
            <w:pPr>
              <w:spacing w:after="60"/>
            </w:pPr>
            <w:r>
              <w:rPr>
                <w:b/>
                <w:sz w:val="20"/>
              </w:rPr>
              <w:t>:</w:t>
            </w:r>
          </w:p>
        </w:tc>
        <w:tc>
          <w:tcPr>
            <w:tcW w:type="dxa" w:w="6912"/>
          </w:tcPr>
          <w:p>
            <w:pPr>
              <w:spacing w:after="60"/>
            </w:pPr>
            <w:r>
              <w:rPr>
                <w:b w:val="0"/>
                <w:sz w:val="20"/>
              </w:rPr>
              <w:t>Divisi Marketing Communication &amp; Digital</w:t>
            </w:r>
          </w:p>
        </w:tc>
      </w:tr>
      <w:tr>
        <w:tc>
          <w:tcPr>
            <w:tcW w:type="dxa" w:w="2160"/>
          </w:tcPr>
          <w:p>
            <w:pPr>
              <w:spacing w:after="60"/>
            </w:pPr>
            <w:r>
              <w:rPr>
                <w:b/>
                <w:sz w:val="20"/>
              </w:rPr>
              <w:t>Tembusan</w:t>
            </w:r>
          </w:p>
        </w:tc>
        <w:tc>
          <w:tcPr>
            <w:tcW w:type="dxa" w:w="288"/>
          </w:tcPr>
          <w:p>
            <w:pPr>
              <w:spacing w:after="60"/>
            </w:pPr>
            <w:r>
              <w:rPr>
                <w:b/>
                <w:sz w:val="20"/>
              </w:rPr>
              <w:t>:</w:t>
            </w:r>
          </w:p>
        </w:tc>
        <w:tc>
          <w:tcPr>
            <w:tcW w:type="dxa" w:w="6912"/>
          </w:tcPr>
          <w:p>
            <w:pPr>
              <w:spacing w:after="60"/>
            </w:pPr>
            <w:r>
              <w:rPr>
                <w:b w:val="0"/>
                <w:sz w:val="20"/>
              </w:rPr>
              <w:t>Bapak Yana Priatna (Direktur Utama / CEO &amp; Founder)</w:t>
            </w:r>
          </w:p>
        </w:tc>
      </w:tr>
      <w:tr>
        <w:tc>
          <w:tcPr>
            <w:tcW w:type="dxa" w:w="2160"/>
          </w:tcPr>
          <w:p>
            <w:pPr>
              <w:spacing w:after="60"/>
            </w:pPr>
            <w:r>
              <w:rPr>
                <w:b/>
                <w:sz w:val="20"/>
              </w:rPr>
              <w:t>Tanggal</w:t>
            </w:r>
          </w:p>
        </w:tc>
        <w:tc>
          <w:tcPr>
            <w:tcW w:type="dxa" w:w="288"/>
          </w:tcPr>
          <w:p>
            <w:pPr>
              <w:spacing w:after="60"/>
            </w:pPr>
            <w:r>
              <w:rPr>
                <w:b/>
                <w:sz w:val="20"/>
              </w:rPr>
              <w:t>:</w:t>
            </w:r>
          </w:p>
        </w:tc>
        <w:tc>
          <w:tcPr>
            <w:tcW w:type="dxa" w:w="6912"/>
          </w:tcPr>
          <w:p>
            <w:pPr>
              <w:spacing w:after="60"/>
            </w:pPr>
            <w:r>
              <w:rPr>
                <w:b w:val="0"/>
                <w:sz w:val="20"/>
              </w:rPr>
              <w:t>21 September 2026</w:t>
            </w:r>
          </w:p>
        </w:tc>
      </w:tr>
      <w:tr>
        <w:tc>
          <w:tcPr>
            <w:tcW w:type="dxa" w:w="2160"/>
          </w:tcPr>
          <w:p>
            <w:pPr>
              <w:spacing w:after="60"/>
            </w:pPr>
            <w:r>
              <w:rPr>
                <w:b/>
                <w:sz w:val="20"/>
              </w:rPr>
              <w:t>Perihal</w:t>
            </w:r>
          </w:p>
        </w:tc>
        <w:tc>
          <w:tcPr>
            <w:tcW w:type="dxa" w:w="288"/>
          </w:tcPr>
          <w:p>
            <w:pPr>
              <w:spacing w:after="60"/>
            </w:pPr>
            <w:r>
              <w:rPr>
                <w:b/>
                <w:sz w:val="20"/>
              </w:rPr>
              <w:t>:</w:t>
            </w:r>
          </w:p>
        </w:tc>
        <w:tc>
          <w:tcPr>
            <w:tcW w:type="dxa" w:w="6912"/>
          </w:tcPr>
          <w:p>
            <w:pPr>
              <w:spacing w:after="60"/>
            </w:pPr>
            <w:r>
              <w:rPr>
                <w:b/>
                <w:sz w:val="20"/>
              </w:rPr>
              <w:t>Kebijakan Skema Fee Penjualan Rukost 10% Khusus Cash Keras (Masa Berlaku 21 Hari)</w:t>
            </w:r>
          </w:p>
        </w:tc>
      </w:tr>
    </w:tbl>
    <w:p>
      <w:pPr>
        <w:spacing w:before="120" w:after="200"/>
        <w:pBdr>
          <w:bottom w:val="single" w:sz="6" w:space="1" w:color="CCCCCC"/>
        </w:pBdr>
      </w:pPr>
    </w:p>
    <w:p>
      <w:pPr>
        <w:spacing w:after="120"/>
      </w:pPr>
      <w:r>
        <w:rPr>
          <w:sz w:val="21"/>
        </w:rPr>
        <w:t>Dengan Hormat,</w:t>
      </w:r>
    </w:p>
    <w:p>
      <w:pPr>
        <w:spacing w:after="160"/>
      </w:pPr>
      <w:r>
        <w:rPr>
          <w:sz w:val="21"/>
        </w:rPr>
        <w:t>Sehubungan dengan arahan langsung manajemen dan komitmen perusahaan untuk memberikan apresiasi maksimal bagi rekan-rekan lapangan, bersama ini kami sampaikan kebijakan terbaru mengenai pemberlakuan kembali Skema Fee Penjualan Rukost Tapak 3 Lantai GREN Propertykost Jatinangor dengan ketentuan sebagai berikut:</w:t>
      </w:r>
    </w:p>
    <w:p>
      <w:pPr>
        <w:spacing w:before="80" w:after="40"/>
      </w:pPr>
      <w:r>
        <w:rPr>
          <w:b/>
          <w:color w:val="1B365D"/>
          <w:sz w:val="21"/>
        </w:rPr>
        <w:t>1. Skema Fee Penjualan Menjadi 10% untuk All Team</w:t>
      </w:r>
    </w:p>
    <w:p>
      <w:pPr>
        <w:spacing w:after="120"/>
        <w:ind w:left="360"/>
      </w:pPr>
      <w:r>
        <w:rPr>
          <w:sz w:val="21"/>
        </w:rPr>
        <w:t>Fee penjualan unit rukost resmi diberlakukan kembali menjadi 10% (Sepuluh Persen) untuk All Team (seluruh jajaran Sales Internal, Sales Freelance, dan Agent Rekanan) yang berhasil merealisasikan penjualan unit.</w:t>
      </w:r>
    </w:p>
    <w:p>
      <w:pPr>
        <w:spacing w:before="80" w:after="40"/>
      </w:pPr>
      <w:r>
        <w:rPr>
          <w:b/>
          <w:color w:val="1B365D"/>
          <w:sz w:val="21"/>
        </w:rPr>
        <w:t>2. Khusus Pembelian Skema Cash Keras</w:t>
      </w:r>
    </w:p>
    <w:p>
      <w:pPr>
        <w:spacing w:after="120"/>
        <w:ind w:left="360"/>
      </w:pPr>
      <w:r>
        <w:rPr>
          <w:sz w:val="21"/>
        </w:rPr>
        <w:t>Pemberlakuan fee 10% ini berlaku secara spesifik hanya untuk transaksi pembelian unit dengan skema pembayaran Cash Keras.</w:t>
      </w:r>
    </w:p>
    <w:p>
      <w:pPr>
        <w:spacing w:before="80" w:after="40"/>
      </w:pPr>
      <w:r>
        <w:rPr>
          <w:b/>
          <w:color w:val="1B365D"/>
          <w:sz w:val="21"/>
        </w:rPr>
        <w:t>3. Masa Berlaku Golden Period: Maksimal 21 Hari (3 Minggu)</w:t>
      </w:r>
    </w:p>
    <w:p>
      <w:pPr>
        <w:spacing w:after="120"/>
        <w:ind w:left="360"/>
      </w:pPr>
      <w:r>
        <w:rPr>
          <w:sz w:val="21"/>
        </w:rPr>
        <w:t>Kebijakan fee 10% Cash Keras ini hanya berlaku terbatas selama 21 (Dua Puluh Satu) Hari Kalender atau 3 (Tiga) Minggu terhitung sejak tanggal diterbitkannya tanda terima Reservasi / Booking Fee konsumen.</w:t>
      </w:r>
    </w:p>
    <w:p>
      <w:pPr>
        <w:spacing w:before="80" w:after="40"/>
      </w:pPr>
      <w:r>
        <w:rPr>
          <w:b/>
          <w:color w:val="1B365D"/>
          <w:sz w:val="21"/>
        </w:rPr>
        <w:t>4. Ketentuan Melewati Batas Waktu 21 Hari</w:t>
      </w:r>
    </w:p>
    <w:p>
      <w:pPr>
        <w:spacing w:after="120"/>
        <w:ind w:left="360"/>
      </w:pPr>
      <w:r>
        <w:rPr>
          <w:sz w:val="21"/>
        </w:rPr>
        <w:t>Apabila pelunasan transaksi melewati batas waktu 3 minggu (21 hari) pasca reservasi, maka skema fee yang berlaku akan berbeda (disesuaikan kembali) dan akan disharekan lebih lanjut oleh manajemen. Selain itu, harga unit pada kondisi tersebut dapat dinegosiasikan.</w:t>
      </w:r>
    </w:p>
    <w:p>
      <w:pPr>
        <w:spacing w:before="80" w:after="40"/>
      </w:pPr>
      <w:r>
        <w:rPr>
          <w:b/>
          <w:color w:val="1B365D"/>
          <w:sz w:val="21"/>
        </w:rPr>
        <w:t>5. Instruksi Manajemen: Manfaatkan &amp; Maksimalkan Team</w:t>
      </w:r>
    </w:p>
    <w:p>
      <w:pPr>
        <w:spacing w:after="120"/>
        <w:ind w:left="360"/>
      </w:pPr>
      <w:r>
        <w:rPr>
          <w:sz w:val="21"/>
        </w:rPr>
        <w:t>Pihak manajemen menghimbau seluruh rekan sales dan leader untuk segera merapatkan barisan, bergerak cepat mem-follow up calon buyer prospektif, serta memanfaatkan momentum golden period 21 hari ini secara maksimal guna mendongkrak pencapaian closing unit bersama.</w:t>
      </w:r>
    </w:p>
    <w:p>
      <w:pPr>
        <w:spacing w:before="120" w:after="160"/>
      </w:pPr>
      <w:r>
        <w:rPr>
          <w:i/>
          <w:sz w:val="21"/>
        </w:rPr>
        <w:t>Kebijakan ini berlaku efektif sejak tanggal diterbitkan IOM ini.</w:t>
      </w:r>
    </w:p>
    <w:p>
      <w:pPr>
        <w:spacing w:after="400"/>
      </w:pPr>
      <w:r>
        <w:rPr>
          <w:sz w:val="21"/>
        </w:rPr>
        <w:t>Demikian Internal Office Memo ini disampaikan untuk dapat dipedomani dan dilaksanakan dengan sebaik-baiknya.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024"/>
          </w:tcPr>
          <w:p>
            <w:pPr>
              <w:jc w:val="center"/>
            </w:pPr>
            <w:r>
              <w:rPr>
                <w:b/>
                <w:sz w:val="20"/>
              </w:rPr>
              <w:t>Disusun oleh,</w:t>
            </w:r>
          </w:p>
        </w:tc>
        <w:tc>
          <w:tcPr>
            <w:tcW w:type="dxa" w:w="3312"/>
          </w:tcPr>
          <w:p>
            <w:pPr>
              <w:jc w:val="center"/>
            </w:pPr>
            <w:r>
              <w:rPr>
                <w:b/>
                <w:sz w:val="20"/>
              </w:rPr>
              <w:t>Disetujui oleh,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b/>
                <w:sz w:val="20"/>
              </w:rPr>
              <w:t>Mengetahui,</w:t>
            </w:r>
          </w:p>
        </w:tc>
      </w:tr>
      <w:tr>
        <w:trPr>
          <w:trHeight w:val="1296"/>
        </w:trPr>
        <w:tc>
          <w:tcPr>
            <w:tcW w:type="dxa" w:w="3024"/>
          </w:tcPr>
          <w:p/>
        </w:tc>
        <w:tc>
          <w:tcPr>
            <w:tcW w:type="dxa" w:w="3312"/>
          </w:tcPr>
          <w:p/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pPr>
              <w:jc w:val="center"/>
            </w:pPr>
            <w:r>
              <w:rPr>
                <w:b/>
                <w:sz w:val="21"/>
              </w:rPr>
              <w:t>(Nugi Fathul Falah)</w:t>
              <w:br/>
            </w:r>
            <w:r>
              <w:rPr>
                <w:color w:val="555555"/>
                <w:sz w:val="18"/>
              </w:rPr>
              <w:t>SPV Markom dan Digital</w:t>
            </w:r>
          </w:p>
        </w:tc>
        <w:tc>
          <w:tcPr>
            <w:tcW w:type="dxa" w:w="3312"/>
          </w:tcPr>
          <w:p>
            <w:pPr>
              <w:jc w:val="center"/>
            </w:pPr>
            <w:r>
              <w:rPr>
                <w:b/>
                <w:sz w:val="21"/>
              </w:rPr>
              <w:t>(Arie)</w:t>
              <w:br/>
            </w:r>
            <w:r>
              <w:rPr>
                <w:color w:val="555555"/>
                <w:sz w:val="18"/>
              </w:rPr>
              <w:t>HRD &amp; General Affairs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b/>
                <w:sz w:val="21"/>
              </w:rPr>
              <w:t>(Yana Priatna)</w:t>
              <w:br/>
            </w:r>
            <w:r>
              <w:rPr>
                <w:color w:val="555555"/>
                <w:sz w:val="18"/>
              </w:rPr>
              <w:t>Direktur Utama / CEO &amp; Founder</w:t>
            </w:r>
          </w:p>
        </w:tc>
      </w:tr>
    </w:tbl>
    <w:sectPr w:rsidR="00FC693F" w:rsidRPr="0006063C" w:rsidSect="00034616"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