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B365D"/>
          <w:sz w:val="28"/>
        </w:rPr>
        <w:t>INTERNAL OFFICE MEMO</w:t>
      </w:r>
    </w:p>
    <w:p>
      <w:pPr>
        <w:spacing w:after="80"/>
        <w:jc w:val="center"/>
      </w:pPr>
      <w:r>
        <w:rPr>
          <w:b/>
          <w:sz w:val="24"/>
        </w:rPr>
        <w:t>PT. KENZO ANATHA BUMI</w:t>
      </w:r>
    </w:p>
    <w:p>
      <w:pPr>
        <w:spacing w:after="280"/>
        <w:jc w:val="center"/>
      </w:pPr>
      <w:r>
        <w:rPr>
          <w:b/>
          <w:color w:val="0D5C75"/>
          <w:sz w:val="22"/>
        </w:rPr>
        <w:t>No. 005/MKT/KAB/GREN/IX/2026</w:t>
      </w:r>
    </w:p>
    <w:p>
      <w:pPr>
        <w:spacing w:after="200"/>
        <w:pBdr>
          <w:bottom w:val="single" w:sz="18" w:space="1" w:color="1B365D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</w:tcPr>
          <w:p>
            <w:pPr>
              <w:spacing w:after="60"/>
            </w:pPr>
            <w:r>
              <w:rPr>
                <w:b/>
                <w:sz w:val="21"/>
              </w:rPr>
              <w:t>Kepada Yth</w:t>
            </w:r>
          </w:p>
        </w:tc>
        <w:tc>
          <w:tcPr>
            <w:tcW w:type="dxa" w:w="288"/>
          </w:tcPr>
          <w:p>
            <w:pPr>
              <w:spacing w:after="60"/>
            </w:pPr>
            <w:r>
              <w:rPr>
                <w:b/>
                <w:sz w:val="21"/>
              </w:rPr>
              <w:t>:</w:t>
            </w:r>
          </w:p>
        </w:tc>
        <w:tc>
          <w:tcPr>
            <w:tcW w:type="dxa" w:w="6912"/>
          </w:tcPr>
          <w:p>
            <w:pPr>
              <w:spacing w:after="60"/>
            </w:pPr>
            <w:r>
              <w:rPr>
                <w:b/>
                <w:sz w:val="21"/>
              </w:rPr>
              <w:t>Divisi Sales &amp; Marketing GREN Propertykost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b/>
                <w:sz w:val="21"/>
              </w:rPr>
              <w:t>Dari</w:t>
            </w:r>
          </w:p>
        </w:tc>
        <w:tc>
          <w:tcPr>
            <w:tcW w:type="dxa" w:w="288"/>
          </w:tcPr>
          <w:p>
            <w:pPr>
              <w:spacing w:after="60"/>
            </w:pPr>
            <w:r>
              <w:rPr>
                <w:b/>
                <w:sz w:val="21"/>
              </w:rPr>
              <w:t>:</w:t>
            </w:r>
          </w:p>
        </w:tc>
        <w:tc>
          <w:tcPr>
            <w:tcW w:type="dxa" w:w="6912"/>
          </w:tcPr>
          <w:p>
            <w:pPr>
              <w:spacing w:after="60"/>
            </w:pPr>
            <w:r>
              <w:rPr>
                <w:b w:val="0"/>
                <w:sz w:val="21"/>
              </w:rPr>
              <w:t>Divisi Marketing Communication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b/>
                <w:sz w:val="21"/>
              </w:rPr>
              <w:t>Tembusan</w:t>
            </w:r>
          </w:p>
        </w:tc>
        <w:tc>
          <w:tcPr>
            <w:tcW w:type="dxa" w:w="288"/>
          </w:tcPr>
          <w:p>
            <w:pPr>
              <w:spacing w:after="60"/>
            </w:pPr>
            <w:r>
              <w:rPr>
                <w:b/>
                <w:sz w:val="21"/>
              </w:rPr>
              <w:t>:</w:t>
            </w:r>
          </w:p>
        </w:tc>
        <w:tc>
          <w:tcPr>
            <w:tcW w:type="dxa" w:w="6912"/>
          </w:tcPr>
          <w:p>
            <w:pPr>
              <w:spacing w:after="60"/>
            </w:pPr>
            <w:r>
              <w:rPr>
                <w:b w:val="0"/>
                <w:sz w:val="21"/>
              </w:rPr>
              <w:t>Bapak Yana Priatna (CEO &amp; Founder Yanproland)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b/>
                <w:sz w:val="21"/>
              </w:rPr>
              <w:t>Tanggal</w:t>
            </w:r>
          </w:p>
        </w:tc>
        <w:tc>
          <w:tcPr>
            <w:tcW w:type="dxa" w:w="288"/>
          </w:tcPr>
          <w:p>
            <w:pPr>
              <w:spacing w:after="60"/>
            </w:pPr>
            <w:r>
              <w:rPr>
                <w:b/>
                <w:sz w:val="21"/>
              </w:rPr>
              <w:t>:</w:t>
            </w:r>
          </w:p>
        </w:tc>
        <w:tc>
          <w:tcPr>
            <w:tcW w:type="dxa" w:w="6912"/>
          </w:tcPr>
          <w:p>
            <w:pPr>
              <w:spacing w:after="60"/>
            </w:pPr>
            <w:r>
              <w:rPr>
                <w:b w:val="0"/>
                <w:sz w:val="21"/>
              </w:rPr>
              <w:t>21 September 2026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b/>
                <w:sz w:val="21"/>
              </w:rPr>
              <w:t>Perihal</w:t>
            </w:r>
          </w:p>
        </w:tc>
        <w:tc>
          <w:tcPr>
            <w:tcW w:type="dxa" w:w="288"/>
          </w:tcPr>
          <w:p>
            <w:pPr>
              <w:spacing w:after="60"/>
            </w:pPr>
            <w:r>
              <w:rPr>
                <w:b/>
                <w:sz w:val="21"/>
              </w:rPr>
              <w:t>:</w:t>
            </w:r>
          </w:p>
        </w:tc>
        <w:tc>
          <w:tcPr>
            <w:tcW w:type="dxa" w:w="6912"/>
          </w:tcPr>
          <w:p>
            <w:pPr>
              <w:spacing w:after="60"/>
            </w:pPr>
            <w:r>
              <w:rPr>
                <w:b/>
                <w:sz w:val="21"/>
              </w:rPr>
              <w:t>Kebijakan Program Penjualan &amp; Aktivasi Marketing Kuartal IV 2026</w:t>
            </w:r>
          </w:p>
        </w:tc>
      </w:tr>
    </w:tbl>
    <w:p>
      <w:pPr>
        <w:spacing w:before="120" w:after="240"/>
        <w:pBdr>
          <w:bottom w:val="single" w:sz="6" w:space="1" w:color="CCCCCC"/>
        </w:pBdr>
      </w:pPr>
    </w:p>
    <w:p>
      <w:pPr>
        <w:spacing w:after="120"/>
      </w:pPr>
      <w:r>
        <w:rPr>
          <w:sz w:val="21"/>
        </w:rPr>
        <w:t>Dengan Hormat,</w:t>
      </w:r>
    </w:p>
    <w:p>
      <w:pPr>
        <w:spacing w:after="160"/>
      </w:pPr>
      <w:r>
        <w:rPr>
          <w:sz w:val="21"/>
        </w:rPr>
        <w:t>Sehubungan dengan upaya percepatan penyerapan unit dan optimalisasi strategi penjualan GREN Propertykost Jatinangor menjelang penutupan tahun 2026, bersama ini manajemen memberlakukan ketentuan operasional dan program kerja sebagai berikut:</w:t>
      </w:r>
    </w:p>
    <w:p>
      <w:pPr>
        <w:spacing w:before="80" w:after="40"/>
      </w:pPr>
      <w:r>
        <w:rPr>
          <w:b/>
          <w:color w:val="1B365D"/>
          <w:sz w:val="21"/>
        </w:rPr>
        <w:t>1. Target &amp; Fokus Penjualan</w:t>
      </w:r>
    </w:p>
    <w:p>
      <w:pPr>
        <w:spacing w:after="120"/>
        <w:ind w:left="360"/>
      </w:pPr>
      <w:r>
        <w:rPr>
          <w:sz w:val="21"/>
        </w:rPr>
        <w:t>Fokus penawaran diarahkan pada unit Rukost Tapak 3 Lantai kawasan Jatinangor dengan sasaran utama investor passive income, orang tua mahasiswa baru kampus Unpad/ITB/IPDN, dan jejaring relasi korporasi.</w:t>
      </w:r>
    </w:p>
    <w:p>
      <w:pPr>
        <w:spacing w:before="80" w:after="40"/>
      </w:pPr>
      <w:r>
        <w:rPr>
          <w:b/>
          <w:color w:val="1B365D"/>
          <w:sz w:val="21"/>
        </w:rPr>
        <w:t>2. Skema Benefit &amp; Program Insentif</w:t>
      </w:r>
    </w:p>
    <w:p>
      <w:pPr>
        <w:spacing w:after="120"/>
        <w:ind w:left="360"/>
      </w:pPr>
      <w:r>
        <w:rPr>
          <w:sz w:val="21"/>
        </w:rPr>
        <w:t>Setiap konsumen yang melakukan booking fee resmi berhak mendapatkan paket promosi khusus serta pendampingan survei langsung ke lokasi proyek oleh tim marketing &amp; sales representatif.</w:t>
      </w:r>
    </w:p>
    <w:p>
      <w:pPr>
        <w:spacing w:before="80" w:after="40"/>
      </w:pPr>
      <w:r>
        <w:rPr>
          <w:b/>
          <w:color w:val="1B365D"/>
          <w:sz w:val="21"/>
        </w:rPr>
        <w:t>3. Ketentuan Verifikasi Data Konsumen</w:t>
      </w:r>
    </w:p>
    <w:p>
      <w:pPr>
        <w:spacing w:after="120"/>
        <w:ind w:left="360"/>
      </w:pPr>
      <w:r>
        <w:rPr>
          <w:sz w:val="21"/>
        </w:rPr>
        <w:t>Setiap leads dan data calon buyer yang masuk wajib diverifikasi kelengkapan identitas serta kesiapan anggaran investasinya oleh tim administrasi marcom sebelum dijadwalkan survei fisik atau penyerahan berkas pemesanan (SKUP).</w:t>
      </w:r>
    </w:p>
    <w:p>
      <w:pPr>
        <w:spacing w:before="80" w:after="40"/>
      </w:pPr>
      <w:r>
        <w:rPr>
          <w:b/>
          <w:color w:val="1B365D"/>
          <w:sz w:val="21"/>
        </w:rPr>
        <w:t>4. Koordinasi Pelaksanaan Lapangan</w:t>
      </w:r>
    </w:p>
    <w:p>
      <w:pPr>
        <w:spacing w:after="120"/>
        <w:ind w:left="360"/>
      </w:pPr>
      <w:r>
        <w:rPr>
          <w:sz w:val="21"/>
        </w:rPr>
        <w:t>Tim Sales dan Marketing Communication wajib berkoordinasi secara berkala dalam penyediaan sarana promosi fisik (open table, brosur, materi presentasi) serta pelaporan data harian ke dalam CRM system.</w:t>
      </w:r>
    </w:p>
    <w:p>
      <w:pPr>
        <w:spacing w:before="120" w:after="160"/>
      </w:pPr>
      <w:r>
        <w:rPr>
          <w:i/>
          <w:sz w:val="21"/>
        </w:rPr>
        <w:t>Ketentuan ini mulai berlaku efektif sejak tanggal diterbitkan sampai dengan pemberitahuan lebih lanjut.</w:t>
      </w:r>
    </w:p>
    <w:p>
      <w:pPr>
        <w:spacing w:after="400"/>
      </w:pPr>
      <w:r>
        <w:rPr>
          <w:sz w:val="21"/>
        </w:rPr>
        <w:t>Demikian Internal Office Memo ini disampaikan untuk dapat dilaksanakan dengan penuh tanggung jawab.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20"/>
              </w:rPr>
              <w:t>Disusun oleh,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sz w:val="20"/>
              </w:rPr>
              <w:t>Disetujui oleh,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20"/>
              </w:rPr>
              <w:t>Mengetahui,</w:t>
            </w:r>
          </w:p>
        </w:tc>
      </w:tr>
      <w:tr>
        <w:trPr>
          <w:trHeight w:val="1296"/>
        </w:trPr>
        <w:tc>
          <w:tcPr>
            <w:tcW w:type="dxa" w:w="3024"/>
          </w:tcPr>
          <w:p/>
        </w:tc>
        <w:tc>
          <w:tcPr>
            <w:tcW w:type="dxa" w:w="3312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21"/>
              </w:rPr>
              <w:t>(Nugi Fathul Falah)</w:t>
              <w:br/>
            </w:r>
            <w:r>
              <w:rPr>
                <w:color w:val="555555"/>
                <w:sz w:val="18"/>
              </w:rPr>
              <w:t>Adm Marketing Communication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sz w:val="21"/>
              </w:rPr>
              <w:t>(Iman Sentosa)</w:t>
              <w:br/>
            </w:r>
            <w:r>
              <w:rPr>
                <w:color w:val="555555"/>
                <w:sz w:val="18"/>
              </w:rPr>
              <w:t>Manager Digital Marketing &amp; Marcomm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21"/>
              </w:rPr>
              <w:t>(Yana Priatna)</w:t>
              <w:br/>
            </w:r>
            <w:r>
              <w:rPr>
                <w:color w:val="555555"/>
                <w:sz w:val="18"/>
              </w:rPr>
              <w:t>CEO &amp; Founder Yanproland</w:t>
            </w:r>
          </w:p>
        </w:tc>
      </w:tr>
    </w:tbl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