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FB5" w:rsidRDefault="00BB7BFC" w:rsidP="00180E29">
      <w:pPr>
        <w:jc w:val="center"/>
      </w:pPr>
      <w:r>
        <w:rPr>
          <w:b/>
          <w:color w:val="1A5276"/>
          <w:sz w:val="40"/>
        </w:rPr>
        <w:t>WEEK 5: CAPSTONE PROJECT REPORT</w:t>
      </w:r>
      <w:r>
        <w:rPr>
          <w:b/>
          <w:color w:val="1A5276"/>
          <w:sz w:val="40"/>
        </w:rPr>
        <w:br/>
      </w:r>
      <w:r>
        <w:rPr>
          <w:i/>
          <w:color w:val="2874A6"/>
          <w:sz w:val="26"/>
        </w:rPr>
        <w:t>Comprehensive Data Science Project Reporting &amp; Strategic Policy Recommendations</w:t>
      </w:r>
      <w:r>
        <w:rPr>
          <w:i/>
          <w:color w:val="2874A6"/>
          <w:sz w:val="26"/>
        </w:rPr>
        <w:br/>
      </w:r>
      <w:r>
        <w:rPr>
          <w:color w:val="2C3E50"/>
          <w:sz w:val="21"/>
        </w:rPr>
        <w:t>A Data-Driven Global Well-Being Investigation based on the World Happiness Report (2015–2022)</w:t>
      </w:r>
      <w:r>
        <w:rPr>
          <w:color w:val="2C3E50"/>
          <w:sz w:val="21"/>
        </w:rPr>
        <w:br/>
      </w:r>
    </w:p>
    <w:p w:rsidR="00CB2FB5" w:rsidRDefault="00BB7BFC">
      <w:pPr>
        <w:pStyle w:val="Heading1"/>
        <w:spacing w:before="280" w:after="80"/>
      </w:pPr>
      <w:r>
        <w:rPr>
          <w:color w:val="1A5276"/>
          <w:sz w:val="30"/>
        </w:rPr>
        <w:t>1. Executive Summary</w:t>
      </w:r>
    </w:p>
    <w:p w:rsidR="00CB2FB5" w:rsidRDefault="00BB7BFC">
      <w:r>
        <w:t>This comprehensive capstone report synthesizes the 5-week data science investigation into global subjective well-being, leveraging the multi-year World Happiness Report dataset. By integrating exploratory data analysis, vi</w:t>
      </w:r>
      <w:r>
        <w:t>sual storytelling, parametric statistical hypothesis testing, and supervised machine learning pipelines, this project establishes a rigorous, evidence-based framework identifying the primary drivers of national happiness.</w:t>
      </w:r>
    </w:p>
    <w:p w:rsidR="00CB2FB5" w:rsidRDefault="00BB7BFC">
      <w:r>
        <w:t>Key Findings: While economic outpu</w:t>
      </w:r>
      <w:r>
        <w:t>t (GDP per capita) and healthy life expectancy establish the foundational prerequisite for subjective well-being (explaining over 70% of variance), social support networks (Family) and institutional trust (absence of corruption) serve as vital non-linear m</w:t>
      </w:r>
      <w:r>
        <w:t>ultipliers that differentiate top-tier thriving societies from stagnant economies. Predictive machine learning models achieved high out-of-sample accuracy (R² = 0.866; Classification AUC = 0.939), providing reliable quantitative tools for scenario simulati</w:t>
      </w:r>
      <w:r>
        <w:t>on and targeted policy intervention.</w:t>
      </w:r>
    </w:p>
    <w:p w:rsidR="00CB2FB5" w:rsidRDefault="00BB7BFC">
      <w:pPr>
        <w:pStyle w:val="Heading1"/>
        <w:spacing w:before="280" w:after="80"/>
      </w:pPr>
      <w:r>
        <w:rPr>
          <w:color w:val="1A5276"/>
          <w:sz w:val="30"/>
        </w:rPr>
        <w:t>2. End-to-End Project Methodology</w:t>
      </w:r>
    </w:p>
    <w:p w:rsidR="00CB2FB5" w:rsidRDefault="00BB7BFC">
      <w:r>
        <w:t>The analytical workflow was structured across four distinct phases to ensure scientific rigor and data integrity:</w:t>
      </w:r>
    </w:p>
    <w:p w:rsidR="00CB2FB5" w:rsidRDefault="00BB7BFC">
      <w:pPr>
        <w:pStyle w:val="ListBullet"/>
      </w:pPr>
      <w:r>
        <w:rPr>
          <w:b/>
        </w:rPr>
        <w:t xml:space="preserve">Phase 1: Data Acquisition &amp; Preprocessing (Week 1): </w:t>
      </w:r>
      <w:r>
        <w:t>Extracted and profi</w:t>
      </w:r>
      <w:r>
        <w:t>led 1,231 multi-year country records. Diagnosed concatenation schema gaps in 2017–2022 and restricted modeling to 315 complete, verified observations across six core socio-economic dimensions while eliminating target-leaking features (Happiness Rank, Dysto</w:t>
      </w:r>
      <w:r>
        <w:t>pia Residual).</w:t>
      </w:r>
    </w:p>
    <w:p w:rsidR="00CB2FB5" w:rsidRDefault="00BB7BFC">
      <w:pPr>
        <w:pStyle w:val="ListBullet"/>
      </w:pPr>
      <w:r>
        <w:rPr>
          <w:b/>
        </w:rPr>
        <w:t xml:space="preserve">Phase 2: Advanced Visual Storytelling (Week 2): </w:t>
      </w:r>
      <w:r>
        <w:t>Built multi-dimensional visual narratives exploring regional clustering, log-linear wealth effects, and disparity breakdowns between the top 10 happiest and bottom 10 struggling nations.</w:t>
      </w:r>
    </w:p>
    <w:p w:rsidR="00CB2FB5" w:rsidRDefault="00BB7BFC">
      <w:pPr>
        <w:pStyle w:val="ListBullet"/>
      </w:pPr>
      <w:r>
        <w:rPr>
          <w:b/>
        </w:rPr>
        <w:t xml:space="preserve">Phase </w:t>
      </w:r>
      <w:r>
        <w:rPr>
          <w:b/>
        </w:rPr>
        <w:t xml:space="preserve">3: Statistical Hypothesis Testing (Week 3): </w:t>
      </w:r>
      <w:r>
        <w:t>Formulated and executed two-sample independent t-tests and correlation significance tests (t = 16.84, p &lt; 0.0001), formally rejecting the null hypothesis to prove that high-GDP nations experience statistically su</w:t>
      </w:r>
      <w:r>
        <w:t>perior happiness.</w:t>
      </w:r>
    </w:p>
    <w:p w:rsidR="00CB2FB5" w:rsidRDefault="00BB7BFC">
      <w:pPr>
        <w:pStyle w:val="ListBullet"/>
      </w:pPr>
      <w:r>
        <w:rPr>
          <w:b/>
        </w:rPr>
        <w:t xml:space="preserve">Phase 4: Predictive Machine Learning &amp; Diagnostics (Week 4): </w:t>
      </w:r>
      <w:r>
        <w:t>Trained, validated, and compared five regression and classification architectures (Linear, Ridge L2, Decision Trees, Random Forest, Gradient Boosting) using 5-Fold Cross-Validat</w:t>
      </w:r>
      <w:r>
        <w:t>ion and residual error diagnostics.</w:t>
      </w:r>
    </w:p>
    <w:p w:rsidR="00BB7BFC" w:rsidRDefault="00BB7BFC" w:rsidP="00BB7BFC">
      <w:pPr>
        <w:pStyle w:val="ListBullet"/>
        <w:numPr>
          <w:ilvl w:val="0"/>
          <w:numId w:val="0"/>
        </w:numPr>
        <w:ind w:left="360"/>
      </w:pPr>
    </w:p>
    <w:p w:rsidR="00CB2FB5" w:rsidRDefault="00BB7BFC">
      <w:pPr>
        <w:pStyle w:val="Heading1"/>
        <w:spacing w:before="280" w:after="80"/>
      </w:pPr>
      <w:r>
        <w:rPr>
          <w:color w:val="1A5276"/>
          <w:sz w:val="30"/>
        </w:rPr>
        <w:lastRenderedPageBreak/>
        <w:t>3. Synthesis of Technical &amp; Empirical Results</w:t>
      </w:r>
    </w:p>
    <w:p w:rsidR="00CB2FB5" w:rsidRDefault="00BB7BFC">
      <w:r>
        <w:t>Quantitative modeling across the multi-year dataset yielded consistent empirical insights:</w:t>
      </w:r>
    </w:p>
    <w:p w:rsidR="00CB2FB5" w:rsidRDefault="00BB7BFC">
      <w:pPr>
        <w:pStyle w:val="Heading2"/>
        <w:spacing w:after="60"/>
      </w:pPr>
      <w:r>
        <w:rPr>
          <w:color w:val="2874A6"/>
          <w:sz w:val="24"/>
        </w:rPr>
        <w:t>Machine Learning Model Performance Benchmark</w:t>
      </w:r>
    </w:p>
    <w:tbl>
      <w:tblPr>
        <w:tblW w:w="0" w:type="auto"/>
        <w:jc w:val="center"/>
        <w:tblLook w:val="04A0"/>
      </w:tblPr>
      <w:tblGrid>
        <w:gridCol w:w="1560"/>
        <w:gridCol w:w="1560"/>
        <w:gridCol w:w="1560"/>
        <w:gridCol w:w="1560"/>
        <w:gridCol w:w="1560"/>
        <w:gridCol w:w="1560"/>
      </w:tblGrid>
      <w:tr w:rsidR="00CB2FB5">
        <w:trPr>
          <w:jc w:val="center"/>
        </w:trPr>
        <w:tc>
          <w:tcPr>
            <w:tcW w:w="1560" w:type="dxa"/>
            <w:shd w:val="clear" w:color="auto" w:fill="1A5276"/>
          </w:tcPr>
          <w:p w:rsidR="00CB2FB5" w:rsidRDefault="00BB7BFC">
            <w:pPr>
              <w:jc w:val="center"/>
            </w:pPr>
            <w:r>
              <w:rPr>
                <w:b/>
                <w:color w:val="FFFFFF"/>
                <w:sz w:val="17"/>
              </w:rPr>
              <w:t>Model Architecture</w:t>
            </w:r>
          </w:p>
        </w:tc>
        <w:tc>
          <w:tcPr>
            <w:tcW w:w="1560" w:type="dxa"/>
            <w:shd w:val="clear" w:color="auto" w:fill="1A5276"/>
          </w:tcPr>
          <w:p w:rsidR="00CB2FB5" w:rsidRDefault="00BB7BFC">
            <w:pPr>
              <w:jc w:val="center"/>
            </w:pPr>
            <w:r>
              <w:rPr>
                <w:b/>
                <w:color w:val="FFFFFF"/>
                <w:sz w:val="17"/>
              </w:rPr>
              <w:t>MAE</w:t>
            </w:r>
          </w:p>
        </w:tc>
        <w:tc>
          <w:tcPr>
            <w:tcW w:w="1560" w:type="dxa"/>
            <w:shd w:val="clear" w:color="auto" w:fill="1A5276"/>
          </w:tcPr>
          <w:p w:rsidR="00CB2FB5" w:rsidRDefault="00BB7BFC">
            <w:pPr>
              <w:jc w:val="center"/>
            </w:pPr>
            <w:r>
              <w:rPr>
                <w:b/>
                <w:color w:val="FFFFFF"/>
                <w:sz w:val="17"/>
              </w:rPr>
              <w:t>RMSE</w:t>
            </w:r>
          </w:p>
        </w:tc>
        <w:tc>
          <w:tcPr>
            <w:tcW w:w="1560" w:type="dxa"/>
            <w:shd w:val="clear" w:color="auto" w:fill="1A5276"/>
          </w:tcPr>
          <w:p w:rsidR="00CB2FB5" w:rsidRDefault="00BB7BFC">
            <w:pPr>
              <w:jc w:val="center"/>
            </w:pPr>
            <w:r>
              <w:rPr>
                <w:b/>
                <w:color w:val="FFFFFF"/>
                <w:sz w:val="17"/>
              </w:rPr>
              <w:t>Test R²</w:t>
            </w:r>
          </w:p>
        </w:tc>
        <w:tc>
          <w:tcPr>
            <w:tcW w:w="1560" w:type="dxa"/>
            <w:shd w:val="clear" w:color="auto" w:fill="1A5276"/>
          </w:tcPr>
          <w:p w:rsidR="00CB2FB5" w:rsidRDefault="00BB7BFC">
            <w:pPr>
              <w:jc w:val="center"/>
            </w:pPr>
            <w:r>
              <w:rPr>
                <w:b/>
                <w:color w:val="FFFFFF"/>
                <w:sz w:val="17"/>
              </w:rPr>
              <w:t>5-</w:t>
            </w:r>
            <w:r>
              <w:rPr>
                <w:b/>
                <w:color w:val="FFFFFF"/>
                <w:sz w:val="17"/>
              </w:rPr>
              <w:t>Fold CV R² / AUC</w:t>
            </w:r>
          </w:p>
        </w:tc>
        <w:tc>
          <w:tcPr>
            <w:tcW w:w="1560" w:type="dxa"/>
            <w:shd w:val="clear" w:color="auto" w:fill="1A5276"/>
          </w:tcPr>
          <w:p w:rsidR="00CB2FB5" w:rsidRDefault="00BB7BFC">
            <w:pPr>
              <w:jc w:val="center"/>
            </w:pPr>
            <w:r>
              <w:rPr>
                <w:b/>
                <w:color w:val="FFFFFF"/>
                <w:sz w:val="17"/>
              </w:rPr>
              <w:t>Primary Strength / Bias</w:t>
            </w:r>
          </w:p>
        </w:tc>
      </w:tr>
      <w:tr w:rsidR="00CB2FB5">
        <w:trPr>
          <w:jc w:val="center"/>
        </w:trPr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Multiple Linear Regression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0.353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0.444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0.866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0.721 ± 0.067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Optimal baseline interpretability</w:t>
            </w:r>
          </w:p>
        </w:tc>
      </w:tr>
      <w:tr w:rsidR="00CB2FB5">
        <w:trPr>
          <w:jc w:val="center"/>
        </w:trPr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Ridge Regression (L2)</w:t>
            </w:r>
          </w:p>
        </w:tc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0.353</w:t>
            </w:r>
          </w:p>
        </w:tc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0.444</w:t>
            </w:r>
          </w:p>
        </w:tc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0.866</w:t>
            </w:r>
          </w:p>
        </w:tc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0.721 ± 0.067</w:t>
            </w:r>
          </w:p>
        </w:tc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Controls GDP-Health multicollinearity</w:t>
            </w:r>
          </w:p>
        </w:tc>
      </w:tr>
      <w:tr w:rsidR="00CB2FB5">
        <w:trPr>
          <w:jc w:val="center"/>
        </w:trPr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Random Forest Regressor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0.392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0.481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0.844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0.751 ± 0.056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Lowest generalization variance across folds</w:t>
            </w:r>
          </w:p>
        </w:tc>
      </w:tr>
      <w:tr w:rsidR="00CB2FB5">
        <w:trPr>
          <w:jc w:val="center"/>
        </w:trPr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Gradient Boosting Regressor</w:t>
            </w:r>
          </w:p>
        </w:tc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0.404</w:t>
            </w:r>
          </w:p>
        </w:tc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0.489</w:t>
            </w:r>
          </w:p>
        </w:tc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0.838</w:t>
            </w:r>
          </w:p>
        </w:tc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0.732 ± 0.051</w:t>
            </w:r>
          </w:p>
        </w:tc>
        <w:tc>
          <w:tcPr>
            <w:tcW w:w="1560" w:type="dxa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Captures subtle non-linear interactions</w:t>
            </w:r>
          </w:p>
        </w:tc>
      </w:tr>
      <w:tr w:rsidR="00CB2FB5">
        <w:trPr>
          <w:jc w:val="center"/>
        </w:trPr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Decision Tree (depth=4)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0.479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0.642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0.721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>0.565 ± 0.123</w:t>
            </w:r>
          </w:p>
        </w:tc>
        <w:tc>
          <w:tcPr>
            <w:tcW w:w="1560" w:type="dxa"/>
            <w:shd w:val="clear" w:color="auto" w:fill="F2F4F4"/>
          </w:tcPr>
          <w:p w:rsidR="00CB2FB5" w:rsidRDefault="00BB7BFC">
            <w:pPr>
              <w:jc w:val="center"/>
            </w:pPr>
            <w:r>
              <w:rPr>
                <w:sz w:val="17"/>
              </w:rPr>
              <w:t xml:space="preserve">High variance; prone </w:t>
            </w:r>
            <w:r>
              <w:rPr>
                <w:sz w:val="17"/>
              </w:rPr>
              <w:t>to leaf overfitting</w:t>
            </w:r>
          </w:p>
        </w:tc>
      </w:tr>
    </w:tbl>
    <w:p w:rsidR="00CB2FB5" w:rsidRDefault="00CB2FB5">
      <w:pPr>
        <w:spacing w:after="120"/>
      </w:pPr>
    </w:p>
    <w:p w:rsidR="00CB2FB5" w:rsidRDefault="00BB7BFC">
      <w:pPr>
        <w:pStyle w:val="Heading1"/>
        <w:spacing w:before="280" w:after="80"/>
      </w:pPr>
      <w:r>
        <w:rPr>
          <w:color w:val="1A5276"/>
          <w:sz w:val="30"/>
        </w:rPr>
        <w:lastRenderedPageBreak/>
        <w:t>4. Visual Analytics &amp; Evidence</w:t>
      </w:r>
    </w:p>
    <w:p w:rsidR="00CB2FB5" w:rsidRDefault="00BB7BFC">
      <w:r>
        <w:rPr>
          <w:noProof/>
        </w:rPr>
        <w:drawing>
          <wp:inline distT="0" distB="0" distL="0" distR="0">
            <wp:extent cx="5029200" cy="37198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1_region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FB5" w:rsidRDefault="00BB7BFC">
      <w:pPr>
        <w:jc w:val="center"/>
      </w:pPr>
      <w:r>
        <w:rPr>
          <w:i/>
          <w:sz w:val="18"/>
        </w:rPr>
        <w:t>Figure 1: Global Regional Disparity in Happiness Scores (Western Europe vs. Developing Regions).</w:t>
      </w:r>
    </w:p>
    <w:p w:rsidR="00CB2FB5" w:rsidRDefault="00BB7BFC">
      <w:r>
        <w:rPr>
          <w:noProof/>
        </w:rPr>
        <w:drawing>
          <wp:inline distT="0" distB="0" distL="0" distR="0">
            <wp:extent cx="5029200" cy="279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_feature_importa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FB5" w:rsidRDefault="00BB7BFC">
      <w:pPr>
        <w:jc w:val="center"/>
      </w:pPr>
      <w:r>
        <w:rPr>
          <w:i/>
          <w:sz w:val="18"/>
        </w:rPr>
        <w:t>Figure 2: Relative Feature Importances Derived from Random Forest Modeling.</w:t>
      </w:r>
    </w:p>
    <w:p w:rsidR="00CB2FB5" w:rsidRDefault="00BB7BFC">
      <w:pPr>
        <w:pStyle w:val="Heading1"/>
        <w:spacing w:before="280" w:after="80"/>
      </w:pPr>
      <w:r>
        <w:rPr>
          <w:color w:val="1A5276"/>
          <w:sz w:val="30"/>
        </w:rPr>
        <w:lastRenderedPageBreak/>
        <w:t>5. Strategic Recommendatio</w:t>
      </w:r>
      <w:r>
        <w:rPr>
          <w:color w:val="1A5276"/>
          <w:sz w:val="30"/>
        </w:rPr>
        <w:t>ns for Decision-Makers &amp; Governments</w:t>
      </w:r>
    </w:p>
    <w:p w:rsidR="00CB2FB5" w:rsidRDefault="00BB7BFC">
      <w:r>
        <w:t>Based on quantitative factor weights and model diagnostics, the following actionable strategies are recommended for national policymakers, developmental agencies, and international economic forums:</w:t>
      </w:r>
    </w:p>
    <w:p w:rsidR="00CB2FB5" w:rsidRDefault="00BB7BFC">
      <w:pPr>
        <w:pStyle w:val="ListBullet"/>
      </w:pPr>
      <w:r>
        <w:rPr>
          <w:b/>
        </w:rPr>
        <w:t xml:space="preserve">1. Shift from Pure GDP Maximization to Inclusive Prosperity: </w:t>
      </w:r>
      <w:r>
        <w:t>While GDP per capita is the strongest baseline driver, diminishing marginal returns occur beyond upper-middle-income thresholds. National policy must pivot toward equitable distribution, healthca</w:t>
      </w:r>
      <w:r>
        <w:t>re accessibility, and community infrastructure to yield measurable happiness gains.</w:t>
      </w:r>
    </w:p>
    <w:p w:rsidR="00CB2FB5" w:rsidRDefault="00BB7BFC">
      <w:pPr>
        <w:pStyle w:val="ListBullet"/>
      </w:pPr>
      <w:r>
        <w:rPr>
          <w:b/>
        </w:rPr>
        <w:t xml:space="preserve">2. Strengthen Institutional Anti-Corruption Frameworks: </w:t>
      </w:r>
      <w:r>
        <w:t>Government Trust and Low Corruption exhibit the highest disparity ratio between top 10 and bottom 10 nations. Transp</w:t>
      </w:r>
      <w:r>
        <w:t>arent judicial systems, open governance data, and meritocratic public administrations act as critical catalysts for civic satisfaction.</w:t>
      </w:r>
    </w:p>
    <w:p w:rsidR="00CB2FB5" w:rsidRDefault="00BB7BFC">
      <w:pPr>
        <w:pStyle w:val="ListBullet"/>
      </w:pPr>
      <w:r>
        <w:rPr>
          <w:b/>
        </w:rPr>
        <w:t xml:space="preserve">3. Formalize Social Safety Nets &amp; Mental Health Support: </w:t>
      </w:r>
      <w:r>
        <w:t>Family and social cohesion account for over 22% of predictive m</w:t>
      </w:r>
      <w:r>
        <w:t>odel weight. Governments should invest in family leave policies, eldercare infrastructure, and community-level mental wellness programs to buffer against macroeconomic volatility.</w:t>
      </w:r>
    </w:p>
    <w:p w:rsidR="00CB2FB5" w:rsidRDefault="00BB7BFC">
      <w:pPr>
        <w:pStyle w:val="ListBullet"/>
      </w:pPr>
      <w:r>
        <w:rPr>
          <w:b/>
        </w:rPr>
        <w:t xml:space="preserve">4. Protect Democratic Freedoms and Civic Autonomy: </w:t>
      </w:r>
      <w:r>
        <w:t xml:space="preserve">The freedom to make life </w:t>
      </w:r>
      <w:r>
        <w:t>choices correlates strongly with subjective well-being across all income quartiles. Protecting civic freedoms, entrepreneurship ease, and individual rights directly elevates national morale.</w:t>
      </w:r>
    </w:p>
    <w:p w:rsidR="00CB2FB5" w:rsidRDefault="00BB7BFC">
      <w:pPr>
        <w:pStyle w:val="Heading1"/>
        <w:spacing w:before="280" w:after="80"/>
      </w:pPr>
      <w:r>
        <w:rPr>
          <w:color w:val="1A5276"/>
          <w:sz w:val="30"/>
        </w:rPr>
        <w:t>6. Socio-Economic Impact &amp; Business Implications</w:t>
      </w:r>
    </w:p>
    <w:p w:rsidR="00CB2FB5" w:rsidRDefault="00BB7BFC">
      <w:r>
        <w:t>The implications</w:t>
      </w:r>
      <w:r>
        <w:t xml:space="preserve"> of national well-being extend directly into economic productivity, human capital retention, and corporate performance:</w:t>
      </w:r>
    </w:p>
    <w:p w:rsidR="00CB2FB5" w:rsidRDefault="00BB7BFC">
      <w:r>
        <w:t>• Labor Productivity &amp; Innovation: Nations with higher subjective well-being consistently exhibit higher workforce engagement, lower abs</w:t>
      </w:r>
      <w:r>
        <w:t>enteeism, and superior rates of technological innovation.</w:t>
      </w:r>
      <w:r>
        <w:br/>
        <w:t>• Foreign Direct Investment (FDI) Attractiveness: International corporations increasingly factor quality-of-life indices, social stability, and institutional transparency into long-term capital allo</w:t>
      </w:r>
      <w:r>
        <w:t>cation decisions.</w:t>
      </w:r>
      <w:r>
        <w:br/>
        <w:t>• Brain Drain Mitigation: High-trust, high-freedom societies retain domestic skilled talent and attract global human capital, generating positive compounding feedback loops.</w:t>
      </w:r>
    </w:p>
    <w:p w:rsidR="00CB2FB5" w:rsidRDefault="00BB7BFC">
      <w:pPr>
        <w:pStyle w:val="Heading1"/>
        <w:spacing w:before="280" w:after="80"/>
      </w:pPr>
      <w:r>
        <w:rPr>
          <w:color w:val="1A5276"/>
          <w:sz w:val="30"/>
        </w:rPr>
        <w:t>7. Limitations &amp; Future Research Roadmap</w:t>
      </w:r>
    </w:p>
    <w:p w:rsidR="00CB2FB5" w:rsidRDefault="00BB7BFC">
      <w:r>
        <w:t>While the project deliv</w:t>
      </w:r>
      <w:r>
        <w:t>ers robust predictive and statistical results, several analytical constraints provide avenues for future extension:</w:t>
      </w:r>
    </w:p>
    <w:p w:rsidR="00CB2FB5" w:rsidRDefault="00BB7BFC">
      <w:pPr>
        <w:pStyle w:val="ListBullet"/>
      </w:pPr>
      <w:r>
        <w:rPr>
          <w:b/>
        </w:rPr>
        <w:t xml:space="preserve">Schema Concatenation Harmonization: </w:t>
      </w:r>
      <w:r>
        <w:t>Future iterations should rectify historical column header variations in 2017–2022 to expand the fully-su</w:t>
      </w:r>
      <w:r>
        <w:t>pervised modeling dataset from 315 rows to over 1,200 observations.</w:t>
      </w:r>
    </w:p>
    <w:p w:rsidR="00CB2FB5" w:rsidRDefault="00BB7BFC">
      <w:pPr>
        <w:pStyle w:val="ListBullet"/>
      </w:pPr>
      <w:r>
        <w:rPr>
          <w:b/>
        </w:rPr>
        <w:lastRenderedPageBreak/>
        <w:t xml:space="preserve">Granular Sub-National &amp; Inequality Data: </w:t>
      </w:r>
      <w:r>
        <w:t>National averages can mask severe internal socio-economic and regional disparities; integrating regional Gini coefficients and urban-versus-rural i</w:t>
      </w:r>
      <w:r>
        <w:t>ndices would refine predictive precision.</w:t>
      </w:r>
    </w:p>
    <w:p w:rsidR="00CB2FB5" w:rsidRDefault="00BB7BFC">
      <w:pPr>
        <w:pStyle w:val="ListBullet"/>
      </w:pPr>
      <w:r>
        <w:rPr>
          <w:b/>
        </w:rPr>
        <w:t xml:space="preserve">Advanced Time-Series &amp; Econometric Modeling: </w:t>
      </w:r>
      <w:r>
        <w:t>Incorporating panel data econometric techniques (Fixed Effects / Random Effects) and deep learning sequential models to study macro-shock resilience (e.g., global recess</w:t>
      </w:r>
      <w:r>
        <w:t>ions, pandemics).</w:t>
      </w:r>
    </w:p>
    <w:p w:rsidR="00CB2FB5" w:rsidRDefault="00BB7BFC">
      <w:pPr>
        <w:pStyle w:val="Heading1"/>
        <w:spacing w:before="280" w:after="80"/>
      </w:pPr>
      <w:r>
        <w:rPr>
          <w:color w:val="1A5276"/>
          <w:sz w:val="30"/>
        </w:rPr>
        <w:t>8. Conclusion</w:t>
      </w:r>
    </w:p>
    <w:p w:rsidR="00CB2FB5" w:rsidRDefault="00BB7BFC">
      <w:r>
        <w:t>The 5-week World Happiness Report project successfully bridges quantitative data science methodologies—from exploratory auditing to predictive machine learning—with real-world socio-economic strategy. The findings conclusive</w:t>
      </w:r>
      <w:r>
        <w:t>ly demonstrate that sustainable national well-being requires a balanced tripartite strategy: sustainable economic output, accessible social safety architectures, and uncompromising institutional integrity.</w:t>
      </w:r>
    </w:p>
    <w:sectPr w:rsidR="00CB2FB5" w:rsidSect="00180E29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80E29"/>
    <w:rsid w:val="0029639D"/>
    <w:rsid w:val="00326F90"/>
    <w:rsid w:val="00AA1D8D"/>
    <w:rsid w:val="00B47730"/>
    <w:rsid w:val="00BB7BFC"/>
    <w:rsid w:val="00CB0664"/>
    <w:rsid w:val="00CB2FB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B7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B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NUHITA</cp:lastModifiedBy>
  <cp:revision>3</cp:revision>
  <dcterms:created xsi:type="dcterms:W3CDTF">2013-12-23T23:15:00Z</dcterms:created>
  <dcterms:modified xsi:type="dcterms:W3CDTF">2026-08-22T14:57:00Z</dcterms:modified>
  <cp:category/>
</cp:coreProperties>
</file>