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D0D" w:rsidRDefault="00034D0D">
      <w:pPr>
        <w:pStyle w:val="normal0"/>
        <w:jc w:val="center"/>
        <w:rPr>
          <w:rStyle w:val="SubtleReference"/>
          <w:sz w:val="28"/>
        </w:rPr>
      </w:pPr>
    </w:p>
    <w:p w:rsidR="007B4C65" w:rsidRDefault="007B4C65">
      <w:pPr>
        <w:pStyle w:val="normal0"/>
        <w:jc w:val="center"/>
        <w:rPr>
          <w:rStyle w:val="SubtleReference"/>
          <w:sz w:val="28"/>
        </w:rPr>
      </w:pPr>
    </w:p>
    <w:p w:rsidR="007B4C65" w:rsidRDefault="007B4C65">
      <w:pPr>
        <w:pStyle w:val="normal0"/>
        <w:jc w:val="center"/>
        <w:rPr>
          <w:rStyle w:val="SubtleReference"/>
          <w:sz w:val="28"/>
        </w:rPr>
      </w:pPr>
    </w:p>
    <w:p w:rsidR="007B4C65" w:rsidRPr="007B4C65" w:rsidRDefault="007B4C65" w:rsidP="007B4C65">
      <w:pPr>
        <w:pStyle w:val="Heading2"/>
        <w:jc w:val="center"/>
        <w:rPr>
          <w:rStyle w:val="IntenseEmphasis"/>
          <w:i w:val="0"/>
          <w:sz w:val="44"/>
        </w:rPr>
      </w:pPr>
      <w:r w:rsidRPr="007B4C65">
        <w:rPr>
          <w:rStyle w:val="IntenseEmphasis"/>
          <w:i w:val="0"/>
          <w:sz w:val="44"/>
        </w:rPr>
        <w:t>The World Happiness Story</w:t>
      </w: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  <w:rPr>
          <w:sz w:val="24"/>
        </w:rPr>
      </w:pPr>
      <w:r>
        <w:rPr>
          <w:sz w:val="24"/>
        </w:rPr>
        <w:t>Advanced Data Visualization and Storytelling with Python</w:t>
      </w:r>
    </w:p>
    <w:p w:rsidR="007B4C65" w:rsidRDefault="007B4C65" w:rsidP="007B4C65">
      <w:pPr>
        <w:jc w:val="center"/>
        <w:rPr>
          <w:i/>
          <w:sz w:val="24"/>
        </w:rPr>
      </w:pPr>
      <w:r>
        <w:rPr>
          <w:i/>
          <w:sz w:val="24"/>
        </w:rPr>
        <w:t>A Visual Narrative Built on the 2015 World Happiness Report</w:t>
      </w: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</w:pPr>
    </w:p>
    <w:p w:rsidR="007B4C65" w:rsidRDefault="007B4C65" w:rsidP="007B4C65">
      <w:pPr>
        <w:jc w:val="center"/>
        <w:rPr>
          <w:sz w:val="28"/>
        </w:rPr>
      </w:pPr>
      <w:r>
        <w:rPr>
          <w:sz w:val="28"/>
        </w:rPr>
        <w:t>Week 1 Task</w:t>
      </w:r>
    </w:p>
    <w:p w:rsidR="00034D0D" w:rsidRDefault="00034D0D" w:rsidP="007B4C65">
      <w:pPr>
        <w:jc w:val="center"/>
        <w:rPr>
          <w:rStyle w:val="SubtleReference"/>
          <w:sz w:val="28"/>
        </w:rPr>
      </w:pPr>
    </w:p>
    <w:p w:rsidR="00034D0D" w:rsidRDefault="00034D0D" w:rsidP="00034D0D">
      <w:pPr>
        <w:jc w:val="both"/>
        <w:rPr>
          <w:rStyle w:val="SubtleReference"/>
          <w:sz w:val="28"/>
        </w:rPr>
      </w:pPr>
      <w:r>
        <w:rPr>
          <w:rStyle w:val="SubtleReference"/>
          <w:sz w:val="28"/>
        </w:rPr>
        <w:br w:type="page"/>
      </w:r>
    </w:p>
    <w:p w:rsidR="00034D0D" w:rsidRDefault="00034D0D">
      <w:pPr>
        <w:rPr>
          <w:rStyle w:val="SubtleReference"/>
          <w:sz w:val="28"/>
        </w:rPr>
      </w:pPr>
    </w:p>
    <w:p w:rsidR="00E708E7" w:rsidRPr="00E708E7" w:rsidRDefault="00E708E7" w:rsidP="007B4C65">
      <w:pPr>
        <w:pStyle w:val="normal0"/>
        <w:rPr>
          <w:rStyle w:val="SubtleReference"/>
          <w:sz w:val="28"/>
        </w:rPr>
      </w:pPr>
    </w:p>
    <w:p w:rsidR="00AA5FA7" w:rsidRDefault="00E708E7">
      <w:pPr>
        <w:pStyle w:val="normal0"/>
        <w:numPr>
          <w:ilvl w:val="0"/>
          <w:numId w:val="1"/>
        </w:numPr>
      </w:pPr>
      <w:r>
        <w:t>Introduction</w:t>
      </w:r>
    </w:p>
    <w:p w:rsidR="00E708E7" w:rsidRDefault="00E708E7" w:rsidP="00E708E7">
      <w:pPr>
        <w:pStyle w:val="normal0"/>
        <w:ind w:left="720"/>
      </w:pPr>
    </w:p>
    <w:p w:rsidR="00AA5FA7" w:rsidRDefault="00E708E7">
      <w:pPr>
        <w:pStyle w:val="normal0"/>
        <w:ind w:left="720"/>
      </w:pPr>
      <w:r>
        <w:t xml:space="preserve">This report presents an exploratory analysis of the World Happiness Report </w:t>
      </w:r>
      <w:proofErr w:type="gramStart"/>
      <w:r>
        <w:t>dataset ,</w:t>
      </w:r>
      <w:proofErr w:type="gramEnd"/>
      <w:r>
        <w:t xml:space="preserve"> a well-known cross-country survey that ranks nations by self-reported happiness and breaks that score down into contributing factors such as economic output , social support , </w:t>
      </w:r>
      <w:proofErr w:type="spellStart"/>
      <w:r>
        <w:t>health,freedom,trust</w:t>
      </w:r>
      <w:proofErr w:type="spellEnd"/>
      <w:r>
        <w:t xml:space="preserve"> in government and generosity.</w:t>
      </w:r>
    </w:p>
    <w:p w:rsidR="00AA5FA7" w:rsidRDefault="00AA5FA7">
      <w:pPr>
        <w:pStyle w:val="normal0"/>
      </w:pPr>
    </w:p>
    <w:p w:rsidR="00AA5FA7" w:rsidRDefault="00E708E7">
      <w:pPr>
        <w:pStyle w:val="normal0"/>
        <w:numPr>
          <w:ilvl w:val="0"/>
          <w:numId w:val="1"/>
        </w:numPr>
      </w:pPr>
      <w:r>
        <w:t>Data Cleaning Steps</w:t>
      </w:r>
    </w:p>
    <w:p w:rsidR="00AA5FA7" w:rsidRDefault="00AA5FA7">
      <w:pPr>
        <w:pStyle w:val="normal0"/>
        <w:ind w:left="720"/>
      </w:pPr>
    </w:p>
    <w:p w:rsidR="00AA5FA7" w:rsidRDefault="00E708E7">
      <w:pPr>
        <w:pStyle w:val="normal0"/>
        <w:ind w:left="720"/>
        <w:rPr>
          <w:b/>
          <w:bCs/>
        </w:rPr>
      </w:pPr>
      <w:r>
        <w:rPr>
          <w:b/>
          <w:bCs/>
        </w:rPr>
        <w:t>2.1 Missing Values</w:t>
      </w:r>
    </w:p>
    <w:p w:rsidR="00AA5FA7" w:rsidRDefault="00E708E7">
      <w:pPr>
        <w:pStyle w:val="normal0"/>
        <w:ind w:left="720"/>
      </w:pPr>
      <w:r>
        <w:tab/>
        <w:t xml:space="preserve">An initial null check revealed extensive </w:t>
      </w:r>
      <w:proofErr w:type="spellStart"/>
      <w:r>
        <w:t>missingness</w:t>
      </w:r>
      <w:proofErr w:type="spellEnd"/>
      <w:r>
        <w:t xml:space="preserve"> across nearly every numeric </w:t>
      </w:r>
      <w:proofErr w:type="gramStart"/>
      <w:r>
        <w:t>column(</w:t>
      </w:r>
      <w:proofErr w:type="spellStart"/>
      <w:proofErr w:type="gramEnd"/>
      <w:r>
        <w:t>e.g</w:t>
      </w:r>
      <w:proofErr w:type="spellEnd"/>
      <w:r>
        <w:t xml:space="preserve"> Happiness score was missing in 916 of 1231 rows).Investigation showed this was not random </w:t>
      </w:r>
      <w:proofErr w:type="spellStart"/>
      <w:r>
        <w:t>missingness</w:t>
      </w:r>
      <w:proofErr w:type="spellEnd"/>
      <w:r>
        <w:t xml:space="preserve"> but a schema alignment issues: each year’s original release used slightly different column names, and when the files were concatenated only 2015 and 2016 files shared exact column names used in this combined file. As a result:</w:t>
      </w:r>
    </w:p>
    <w:p w:rsidR="00AA5FA7" w:rsidRDefault="00E708E7">
      <w:pPr>
        <w:pStyle w:val="normal0"/>
        <w:ind w:left="720"/>
      </w:pPr>
      <w:r>
        <w:t>Rows for 2015 and 2016 (315 rows total) retained complete data for the core columns used in this analysis.</w:t>
      </w:r>
    </w:p>
    <w:p w:rsidR="00AA5FA7" w:rsidRDefault="00E708E7">
      <w:pPr>
        <w:pStyle w:val="normal0"/>
        <w:ind w:left="1440"/>
      </w:pPr>
      <w:r>
        <w:t>• Rows for 2017–2022 were largely blank in these columns and were excluded from the score-based</w:t>
      </w:r>
    </w:p>
    <w:p w:rsidR="00AA5FA7" w:rsidRDefault="00E708E7">
      <w:pPr>
        <w:pStyle w:val="normal0"/>
        <w:ind w:left="1440"/>
      </w:pPr>
      <w:proofErr w:type="gramStart"/>
      <w:r>
        <w:t>visualizations</w:t>
      </w:r>
      <w:proofErr w:type="gramEnd"/>
      <w:r>
        <w:t xml:space="preserve"> and correlation analysis, since imputing them would misrepresent the original survey results.</w:t>
      </w:r>
    </w:p>
    <w:p w:rsidR="00AA5FA7" w:rsidRDefault="00E708E7">
      <w:pPr>
        <w:pStyle w:val="normal0"/>
        <w:ind w:left="1440"/>
      </w:pPr>
      <w:r>
        <w:t>• The Standard Error column was dropped from analysis — it was populated for only 158 rows (2015 only) and is</w:t>
      </w:r>
    </w:p>
    <w:p w:rsidR="00AA5FA7" w:rsidRDefault="00E708E7">
      <w:pPr>
        <w:pStyle w:val="normal0"/>
        <w:ind w:left="1440"/>
      </w:pPr>
      <w:proofErr w:type="gramStart"/>
      <w:r>
        <w:t>not</w:t>
      </w:r>
      <w:proofErr w:type="gramEnd"/>
      <w:r>
        <w:t xml:space="preserve"> comparable across years.</w:t>
      </w:r>
    </w:p>
    <w:p w:rsidR="00AA5FA7" w:rsidRDefault="00E708E7">
      <w:pPr>
        <w:pStyle w:val="normal0"/>
        <w:ind w:left="1440"/>
      </w:pPr>
      <w:r>
        <w:t>After filtering to rows with a valid Happiness Score, the working analysis dataset contains 315 country-year observations</w:t>
      </w:r>
    </w:p>
    <w:p w:rsidR="00AA5FA7" w:rsidRDefault="00E708E7">
      <w:pPr>
        <w:pStyle w:val="normal0"/>
        <w:ind w:left="1440"/>
      </w:pPr>
      <w:proofErr w:type="gramStart"/>
      <w:r>
        <w:t>covering</w:t>
      </w:r>
      <w:proofErr w:type="gramEnd"/>
      <w:r>
        <w:t xml:space="preserve"> the 2015 and 2016 survey rounds.</w:t>
      </w:r>
    </w:p>
    <w:p w:rsidR="00AA5FA7" w:rsidRDefault="00AA5FA7">
      <w:pPr>
        <w:pStyle w:val="normal0"/>
        <w:ind w:left="1440"/>
      </w:pPr>
    </w:p>
    <w:p w:rsidR="00AA5FA7" w:rsidRDefault="00E708E7">
      <w:pPr>
        <w:pStyle w:val="normal0"/>
        <w:ind w:left="720"/>
        <w:rPr>
          <w:b/>
          <w:bCs/>
        </w:rPr>
      </w:pPr>
      <w:r>
        <w:rPr>
          <w:b/>
          <w:bCs/>
        </w:rPr>
        <w:t>2.2 Data Types</w:t>
      </w:r>
    </w:p>
    <w:p w:rsidR="00AA5FA7" w:rsidRDefault="00E708E7">
      <w:pPr>
        <w:pStyle w:val="normal0"/>
        <w:ind w:left="720"/>
      </w:pPr>
      <w:r>
        <w:tab/>
        <w:t xml:space="preserve">Numeric fields (Happiness Rank, Happiness Score, Economy, Family, Health, Freedom, Trust, Generosity, </w:t>
      </w:r>
      <w:proofErr w:type="gramStart"/>
      <w:r>
        <w:t>Dystopia</w:t>
      </w:r>
      <w:proofErr w:type="gramEnd"/>
    </w:p>
    <w:p w:rsidR="00AA5FA7" w:rsidRDefault="00E708E7">
      <w:pPr>
        <w:pStyle w:val="normal0"/>
        <w:ind w:left="720"/>
      </w:pPr>
      <w:r>
        <w:t>Residual, year) were already stored as float64/int64 and required no conversion. Country and Region were kept as text</w:t>
      </w:r>
    </w:p>
    <w:p w:rsidR="00AA5FA7" w:rsidRDefault="00E708E7">
      <w:pPr>
        <w:pStyle w:val="normal0"/>
        <w:ind w:left="720"/>
      </w:pPr>
      <w:r>
        <w:t>(</w:t>
      </w:r>
      <w:proofErr w:type="gramStart"/>
      <w:r>
        <w:t>string</w:t>
      </w:r>
      <w:proofErr w:type="gramEnd"/>
      <w:r>
        <w:t>) fields. The unlabeled index column ("Unnamed: 0") was identified as a leftover row index from the source CSV</w:t>
      </w:r>
    </w:p>
    <w:p w:rsidR="00AA5FA7" w:rsidRDefault="00E708E7">
      <w:pPr>
        <w:pStyle w:val="normal0"/>
        <w:ind w:left="720"/>
      </w:pPr>
      <w:proofErr w:type="gramStart"/>
      <w:r>
        <w:t>and</w:t>
      </w:r>
      <w:proofErr w:type="gramEnd"/>
      <w:r>
        <w:t xml:space="preserve"> dropped, as it carried no analytical value.</w:t>
      </w:r>
    </w:p>
    <w:p w:rsidR="00AA5FA7" w:rsidRDefault="00AA5FA7">
      <w:pPr>
        <w:pStyle w:val="normal0"/>
        <w:ind w:left="720"/>
        <w:rPr>
          <w:b/>
          <w:bCs/>
        </w:rPr>
      </w:pPr>
    </w:p>
    <w:p w:rsidR="00E708E7" w:rsidRDefault="00E708E7">
      <w:pPr>
        <w:pStyle w:val="normal0"/>
        <w:ind w:left="720"/>
        <w:rPr>
          <w:b/>
          <w:bCs/>
        </w:rPr>
      </w:pPr>
    </w:p>
    <w:p w:rsidR="00E708E7" w:rsidRDefault="00E708E7">
      <w:pPr>
        <w:pStyle w:val="normal0"/>
        <w:ind w:left="720"/>
        <w:rPr>
          <w:b/>
          <w:bCs/>
        </w:rPr>
      </w:pPr>
    </w:p>
    <w:p w:rsidR="00E708E7" w:rsidRDefault="00E708E7">
      <w:pPr>
        <w:pStyle w:val="normal0"/>
        <w:ind w:left="720"/>
        <w:rPr>
          <w:b/>
          <w:bCs/>
        </w:rPr>
      </w:pPr>
    </w:p>
    <w:p w:rsidR="00AA5FA7" w:rsidRDefault="00E708E7">
      <w:pPr>
        <w:pStyle w:val="normal0"/>
        <w:ind w:left="720"/>
        <w:rPr>
          <w:b/>
          <w:bCs/>
        </w:rPr>
      </w:pPr>
      <w:r>
        <w:rPr>
          <w:b/>
          <w:bCs/>
        </w:rPr>
        <w:t>2.3 Duplicate Rows</w:t>
      </w:r>
    </w:p>
    <w:p w:rsidR="00AA5FA7" w:rsidRDefault="00E708E7">
      <w:pPr>
        <w:pStyle w:val="normal0"/>
        <w:ind w:left="720"/>
      </w:pPr>
      <w:r>
        <w:lastRenderedPageBreak/>
        <w:tab/>
        <w:t>A full-row duplicate check returned zero duplicate records. A secondary check for duplicate Country + year combinations</w:t>
      </w:r>
    </w:p>
    <w:p w:rsidR="00AA5FA7" w:rsidRDefault="00E708E7">
      <w:pPr>
        <w:pStyle w:val="normal0"/>
        <w:ind w:left="720"/>
      </w:pPr>
      <w:proofErr w:type="gramStart"/>
      <w:r>
        <w:t>within</w:t>
      </w:r>
      <w:proofErr w:type="gramEnd"/>
      <w:r>
        <w:t xml:space="preserve"> the cleaned 315-row dataset also returned zero duplicates, confirming each country appears at most once per survey</w:t>
      </w:r>
    </w:p>
    <w:p w:rsidR="00AA5FA7" w:rsidRDefault="00E708E7">
      <w:pPr>
        <w:pStyle w:val="normal0"/>
        <w:ind w:left="720"/>
      </w:pPr>
      <w:proofErr w:type="gramStart"/>
      <w:r>
        <w:t>year</w:t>
      </w:r>
      <w:proofErr w:type="gramEnd"/>
      <w:r>
        <w:t>.</w:t>
      </w:r>
    </w:p>
    <w:p w:rsidR="00AA5FA7" w:rsidRDefault="00AA5FA7">
      <w:pPr>
        <w:pStyle w:val="normal0"/>
        <w:ind w:left="720"/>
      </w:pPr>
    </w:p>
    <w:p w:rsidR="00AA5FA7" w:rsidRDefault="00E708E7">
      <w:pPr>
        <w:pStyle w:val="normal0"/>
        <w:numPr>
          <w:ilvl w:val="0"/>
          <w:numId w:val="1"/>
        </w:numPr>
      </w:pPr>
      <w:r>
        <w:t>Visualization &amp; Analysis</w:t>
      </w:r>
    </w:p>
    <w:p w:rsidR="00AA5FA7" w:rsidRDefault="00AA5FA7">
      <w:pPr>
        <w:pStyle w:val="normal0"/>
      </w:pPr>
    </w:p>
    <w:p w:rsidR="00AA5FA7" w:rsidRDefault="00AA5FA7">
      <w:pPr>
        <w:pStyle w:val="normal0"/>
      </w:pPr>
    </w:p>
    <w:p w:rsidR="00AA5FA7" w:rsidRDefault="00E708E7">
      <w:pPr>
        <w:pStyle w:val="normal0"/>
        <w:ind w:left="720"/>
      </w:pPr>
      <w:r>
        <w:rPr>
          <w:b/>
          <w:bCs/>
        </w:rPr>
        <w:t>3.1 Distribution of World Happiness Score</w:t>
      </w:r>
      <w:r>
        <w:rPr>
          <w:noProof/>
        </w:rPr>
        <w:drawing>
          <wp:inline distT="114300" distB="114300" distL="114300" distR="114300">
            <wp:extent cx="4233863" cy="265224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652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5FA7" w:rsidRDefault="00E708E7">
      <w:pPr>
        <w:pStyle w:val="normal0"/>
        <w:ind w:left="720"/>
      </w:pPr>
      <w:r>
        <w:t>The histogram shows happiness scores spread across a wide range, from roughly 2.8 to 7.6, with a mean near 5.4. The</w:t>
      </w:r>
    </w:p>
    <w:p w:rsidR="00AA5FA7" w:rsidRDefault="00E708E7">
      <w:pPr>
        <w:pStyle w:val="normal0"/>
        <w:ind w:left="720"/>
      </w:pPr>
      <w:proofErr w:type="gramStart"/>
      <w:r>
        <w:t>distribution</w:t>
      </w:r>
      <w:proofErr w:type="gramEnd"/>
      <w:r>
        <w:t xml:space="preserve"> is fairly broad and slightly bimodal rather than sharply peaked, with concentrations of countries around the</w:t>
      </w:r>
    </w:p>
    <w:p w:rsidR="00AA5FA7" w:rsidRDefault="00E708E7">
      <w:pPr>
        <w:pStyle w:val="normal0"/>
        <w:ind w:left="720"/>
      </w:pPr>
      <w:r>
        <w:t xml:space="preserve">5.0 </w:t>
      </w:r>
      <w:proofErr w:type="gramStart"/>
      <w:r>
        <w:t>and</w:t>
      </w:r>
      <w:proofErr w:type="gramEnd"/>
      <w:r>
        <w:t xml:space="preserve"> 5.8–6.0 marks. This indicates the global population of countries does not cluster tightly around one happiness level</w:t>
      </w:r>
    </w:p>
    <w:p w:rsidR="00AA5FA7" w:rsidRDefault="00E708E7">
      <w:pPr>
        <w:pStyle w:val="normal0"/>
        <w:ind w:left="720"/>
      </w:pPr>
      <w:r>
        <w:t xml:space="preserve">— </w:t>
      </w:r>
      <w:proofErr w:type="gramStart"/>
      <w:r>
        <w:t>there</w:t>
      </w:r>
      <w:proofErr w:type="gramEnd"/>
      <w:r>
        <w:t xml:space="preserve"> is a genuine and fairly continuous spread from low-scoring to high-scoring nations, consistent with real economic</w:t>
      </w:r>
    </w:p>
    <w:p w:rsidR="00AA5FA7" w:rsidRDefault="00E708E7">
      <w:pPr>
        <w:pStyle w:val="normal0"/>
        <w:ind w:left="720"/>
      </w:pPr>
      <w:proofErr w:type="gramStart"/>
      <w:r>
        <w:t>and</w:t>
      </w:r>
      <w:proofErr w:type="gramEnd"/>
      <w:r>
        <w:t xml:space="preserve"> social disparities between regions.</w:t>
      </w:r>
    </w:p>
    <w:p w:rsidR="00AA5FA7" w:rsidRDefault="00AA5FA7">
      <w:pPr>
        <w:pStyle w:val="normal0"/>
        <w:ind w:left="720"/>
      </w:pPr>
    </w:p>
    <w:p w:rsidR="00AA5FA7" w:rsidRDefault="00AA5FA7">
      <w:pPr>
        <w:pStyle w:val="normal0"/>
        <w:ind w:left="720"/>
      </w:pPr>
    </w:p>
    <w:p w:rsidR="00AA5FA7" w:rsidRDefault="00AA5FA7">
      <w:pPr>
        <w:pStyle w:val="normal0"/>
        <w:ind w:left="720"/>
      </w:pPr>
    </w:p>
    <w:p w:rsidR="00AA5FA7" w:rsidRDefault="00E708E7">
      <w:pPr>
        <w:pStyle w:val="normal0"/>
        <w:ind w:left="720"/>
      </w:pPr>
      <w:r>
        <w:rPr>
          <w:b/>
          <w:bCs/>
        </w:rPr>
        <w:lastRenderedPageBreak/>
        <w:t xml:space="preserve">3.2 </w:t>
      </w:r>
      <w:proofErr w:type="spellStart"/>
      <w:r>
        <w:rPr>
          <w:b/>
          <w:bCs/>
        </w:rPr>
        <w:t>Boxplot</w:t>
      </w:r>
      <w:proofErr w:type="spellEnd"/>
      <w:r>
        <w:rPr>
          <w:b/>
          <w:bCs/>
        </w:rPr>
        <w:t xml:space="preserve"> of Happiness Score (Outlier Detection)</w:t>
      </w:r>
      <w:r>
        <w:rPr>
          <w:noProof/>
        </w:rPr>
        <w:drawing>
          <wp:inline distT="114300" distB="114300" distL="114300" distR="114300">
            <wp:extent cx="4210381" cy="262829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381" cy="2628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5FA7" w:rsidRDefault="00E708E7">
      <w:pPr>
        <w:pStyle w:val="normal0"/>
        <w:ind w:left="720"/>
      </w:pPr>
      <w:r>
        <w:t xml:space="preserve">The </w:t>
      </w:r>
      <w:proofErr w:type="spellStart"/>
      <w:r>
        <w:t>boxplot</w:t>
      </w:r>
      <w:proofErr w:type="spellEnd"/>
      <w:r>
        <w:t xml:space="preserve"> places the median happiness score around 5.3, with the </w:t>
      </w:r>
      <w:proofErr w:type="spellStart"/>
      <w:r>
        <w:t>interquartile</w:t>
      </w:r>
      <w:proofErr w:type="spellEnd"/>
      <w:r>
        <w:t xml:space="preserve"> range (the middle 50% of countries)</w:t>
      </w:r>
    </w:p>
    <w:p w:rsidR="00AA5FA7" w:rsidRDefault="00E708E7">
      <w:pPr>
        <w:pStyle w:val="normal0"/>
        <w:ind w:left="720"/>
      </w:pPr>
      <w:proofErr w:type="gramStart"/>
      <w:r>
        <w:t>spanning</w:t>
      </w:r>
      <w:proofErr w:type="gramEnd"/>
      <w:r>
        <w:t xml:space="preserve"> roughly 4.5 to 6.3. The whiskers extend to the dataset's minimum and maximum values with no points plotted</w:t>
      </w:r>
    </w:p>
    <w:p w:rsidR="00AA5FA7" w:rsidRDefault="00E708E7">
      <w:pPr>
        <w:pStyle w:val="normal0"/>
        <w:ind w:left="720"/>
      </w:pPr>
      <w:proofErr w:type="gramStart"/>
      <w:r>
        <w:t>beyond</w:t>
      </w:r>
      <w:proofErr w:type="gramEnd"/>
      <w:r>
        <w:t xml:space="preserve"> them, meaning no statistical outliers were detected by the standard 1.5×IQR rule. The lowest-scoring countries in</w:t>
      </w:r>
    </w:p>
    <w:p w:rsidR="00AA5FA7" w:rsidRDefault="00E708E7">
      <w:pPr>
        <w:pStyle w:val="normal0"/>
        <w:ind w:left="720"/>
      </w:pPr>
      <w:proofErr w:type="gramStart"/>
      <w:r>
        <w:t>the</w:t>
      </w:r>
      <w:proofErr w:type="gramEnd"/>
      <w:r>
        <w:t xml:space="preserve"> data (e.g., Togo and Burundi) and the highest-scoring (e.g., Switzerland, Iceland, and Denmark) are extreme relative to the median but still fall within the expected statistical range - they are genuinely low or high happiness countries rather than data errors</w:t>
      </w:r>
    </w:p>
    <w:p w:rsidR="00AA5FA7" w:rsidRDefault="00AA5FA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AA5FA7" w:rsidRDefault="00E708E7">
      <w:pPr>
        <w:pStyle w:val="normal0"/>
        <w:ind w:left="720"/>
        <w:rPr>
          <w:b/>
          <w:bCs/>
        </w:rPr>
      </w:pPr>
      <w:r>
        <w:rPr>
          <w:b/>
          <w:bCs/>
        </w:rPr>
        <w:lastRenderedPageBreak/>
        <w:t>3.3 Correlation Matrix of Happiness Factor</w:t>
      </w:r>
    </w:p>
    <w:p w:rsidR="00AA5FA7" w:rsidRDefault="00E708E7">
      <w:pPr>
        <w:pStyle w:val="normal0"/>
        <w:ind w:left="720"/>
      </w:pPr>
      <w:r>
        <w:rPr>
          <w:noProof/>
        </w:rPr>
        <w:drawing>
          <wp:inline distT="114300" distB="114300" distL="114300" distR="114300">
            <wp:extent cx="4843463" cy="2911677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911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5FA7" w:rsidRDefault="00E708E7">
      <w:pPr>
        <w:pStyle w:val="normal0"/>
        <w:ind w:left="720"/>
      </w:pPr>
      <w:r>
        <w:t>The correlation matrix shows Happiness Score has its strongest positive relationships with Economy/GDP per Capita</w:t>
      </w:r>
    </w:p>
    <w:p w:rsidR="00AA5FA7" w:rsidRDefault="00E708E7">
      <w:pPr>
        <w:pStyle w:val="normal0"/>
        <w:ind w:left="720"/>
      </w:pPr>
      <w:r>
        <w:t>(0.78) and Health/Life Expectancy (0.73), followed by Family (0.69) and Freedom (0.56). Trust in Government Corruption</w:t>
      </w:r>
    </w:p>
    <w:p w:rsidR="00AA5FA7" w:rsidRDefault="00E708E7">
      <w:pPr>
        <w:pStyle w:val="normal0"/>
        <w:ind w:left="720"/>
      </w:pPr>
      <w:r>
        <w:t>(0.40) and Dystopia Residual (0.53) are moderately correlated, while Generosity shows only a weak relationship (0.17).</w:t>
      </w:r>
    </w:p>
    <w:p w:rsidR="00AA5FA7" w:rsidRDefault="00E708E7">
      <w:pPr>
        <w:pStyle w:val="normal0"/>
        <w:ind w:left="720"/>
      </w:pPr>
      <w:r>
        <w:t>Happiness Rank is, as expected, almost perfectly inversely correlated with Happiness Score (-0.99), since rank is derived</w:t>
      </w:r>
    </w:p>
    <w:p w:rsidR="00AA5FA7" w:rsidRDefault="00E708E7">
      <w:pPr>
        <w:pStyle w:val="normal0"/>
        <w:ind w:left="720"/>
      </w:pPr>
      <w:proofErr w:type="gramStart"/>
      <w:r>
        <w:t>directly</w:t>
      </w:r>
      <w:proofErr w:type="gramEnd"/>
      <w:r>
        <w:t xml:space="preserve"> from the score. Among the underlying factors themselves, Economy and Health are strongly correlated with each</w:t>
      </w:r>
    </w:p>
    <w:p w:rsidR="00AA5FA7" w:rsidRDefault="00E708E7">
      <w:pPr>
        <w:pStyle w:val="normal0"/>
        <w:ind w:left="720"/>
      </w:pPr>
      <w:proofErr w:type="gramStart"/>
      <w:r>
        <w:t>other</w:t>
      </w:r>
      <w:proofErr w:type="gramEnd"/>
      <w:r>
        <w:t xml:space="preserve"> (0.79), reflecting how national wealth and public health outcomes tend to move together.</w:t>
      </w:r>
    </w:p>
    <w:p w:rsidR="00AA5FA7" w:rsidRDefault="00AA5FA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>
      <w:pPr>
        <w:pStyle w:val="normal0"/>
        <w:ind w:left="720"/>
      </w:pPr>
    </w:p>
    <w:p w:rsidR="00E708E7" w:rsidRDefault="00E708E7" w:rsidP="00E708E7">
      <w:pPr>
        <w:pStyle w:val="normal0"/>
        <w:numPr>
          <w:ilvl w:val="0"/>
          <w:numId w:val="1"/>
        </w:numPr>
      </w:pPr>
      <w:r>
        <w:lastRenderedPageBreak/>
        <w:t>Summary of Key Insights</w:t>
      </w:r>
    </w:p>
    <w:p w:rsidR="00E708E7" w:rsidRDefault="00E708E7" w:rsidP="00E708E7">
      <w:pPr>
        <w:pStyle w:val="normal0"/>
        <w:ind w:left="720"/>
      </w:pPr>
    </w:p>
    <w:p w:rsidR="00E708E7" w:rsidRDefault="00E708E7" w:rsidP="00E708E7">
      <w:pPr>
        <w:pStyle w:val="normal0"/>
        <w:ind w:left="720"/>
      </w:pPr>
      <w:r>
        <w:t>• Happiness scores in the 2015–2016 data range from 2.84 (Togo) to 7.59 (Switzerland), with a global mean of</w:t>
      </w:r>
    </w:p>
    <w:p w:rsidR="00E708E7" w:rsidRDefault="00E708E7" w:rsidP="00E708E7">
      <w:pPr>
        <w:pStyle w:val="normal0"/>
        <w:ind w:left="720"/>
      </w:pPr>
      <w:proofErr w:type="gramStart"/>
      <w:r>
        <w:t>about</w:t>
      </w:r>
      <w:proofErr w:type="gramEnd"/>
      <w:r>
        <w:t xml:space="preserve"> 5.38 and no statistical outliers — the spread reflects real cross-country differences rather than data</w:t>
      </w:r>
    </w:p>
    <w:p w:rsidR="00E708E7" w:rsidRDefault="00E708E7" w:rsidP="00E708E7">
      <w:pPr>
        <w:pStyle w:val="normal0"/>
        <w:ind w:left="720"/>
      </w:pPr>
      <w:proofErr w:type="gramStart"/>
      <w:r>
        <w:t>anomalies</w:t>
      </w:r>
      <w:proofErr w:type="gramEnd"/>
      <w:r>
        <w:t>.</w:t>
      </w:r>
    </w:p>
    <w:p w:rsidR="00E708E7" w:rsidRDefault="00E708E7" w:rsidP="00E708E7">
      <w:pPr>
        <w:pStyle w:val="normal0"/>
        <w:ind w:left="720"/>
      </w:pPr>
      <w:r>
        <w:t>• Economic prosperity (GDP per capita) and health/life expectancy are the two factors most strongly associated</w:t>
      </w:r>
    </w:p>
    <w:p w:rsidR="00E708E7" w:rsidRDefault="00E708E7" w:rsidP="00E708E7">
      <w:pPr>
        <w:pStyle w:val="normal0"/>
        <w:ind w:left="720"/>
      </w:pPr>
      <w:proofErr w:type="gramStart"/>
      <w:r>
        <w:t>with</w:t>
      </w:r>
      <w:proofErr w:type="gramEnd"/>
      <w:r>
        <w:t xml:space="preserve"> national happiness, followed closely by strength of family/social support.</w:t>
      </w:r>
    </w:p>
    <w:p w:rsidR="00E708E7" w:rsidRDefault="00E708E7" w:rsidP="00E708E7">
      <w:pPr>
        <w:pStyle w:val="normal0"/>
        <w:ind w:left="720"/>
      </w:pPr>
      <w:r>
        <w:t>• Freedom and trust in government show moderate positive associations with happiness, while generosity has</w:t>
      </w:r>
    </w:p>
    <w:p w:rsidR="00E708E7" w:rsidRDefault="00E708E7" w:rsidP="00E708E7">
      <w:pPr>
        <w:pStyle w:val="normal0"/>
        <w:ind w:left="720"/>
      </w:pPr>
      <w:proofErr w:type="gramStart"/>
      <w:r>
        <w:t>only</w:t>
      </w:r>
      <w:proofErr w:type="gramEnd"/>
      <w:r>
        <w:t xml:space="preserve"> a weak relationship — a country's happiness level is not strongly explained by how generous its population</w:t>
      </w:r>
    </w:p>
    <w:p w:rsidR="00E708E7" w:rsidRDefault="00E708E7" w:rsidP="00E708E7">
      <w:pPr>
        <w:pStyle w:val="normal0"/>
        <w:ind w:left="720"/>
      </w:pPr>
      <w:proofErr w:type="gramStart"/>
      <w:r>
        <w:t>reports</w:t>
      </w:r>
      <w:proofErr w:type="gramEnd"/>
      <w:r>
        <w:t xml:space="preserve"> being.</w:t>
      </w:r>
    </w:p>
    <w:p w:rsidR="00E708E7" w:rsidRDefault="00E708E7" w:rsidP="00E708E7">
      <w:pPr>
        <w:pStyle w:val="normal0"/>
        <w:ind w:left="720"/>
      </w:pPr>
      <w:r>
        <w:t>• Data availability was uneven across survey years due to inconsistent column naming across the original yearly</w:t>
      </w:r>
    </w:p>
    <w:p w:rsidR="00E708E7" w:rsidRDefault="00E708E7" w:rsidP="00E708E7">
      <w:pPr>
        <w:pStyle w:val="normal0"/>
        <w:ind w:left="720"/>
      </w:pPr>
      <w:proofErr w:type="gramStart"/>
      <w:r>
        <w:t>files</w:t>
      </w:r>
      <w:proofErr w:type="gramEnd"/>
      <w:r>
        <w:t>; only the 2015 and 2016 rounds could be reliably used for the score-based and correlation analyses, so</w:t>
      </w:r>
    </w:p>
    <w:p w:rsidR="00E708E7" w:rsidRDefault="00E708E7" w:rsidP="00E708E7">
      <w:pPr>
        <w:pStyle w:val="normal0"/>
        <w:ind w:left="720"/>
      </w:pPr>
      <w:proofErr w:type="gramStart"/>
      <w:r>
        <w:t>these</w:t>
      </w:r>
      <w:proofErr w:type="gramEnd"/>
      <w:r>
        <w:t xml:space="preserve"> findings represent that period specifically rather than the full 2015–2022 span.</w:t>
      </w:r>
    </w:p>
    <w:p w:rsidR="00E708E7" w:rsidRDefault="00E708E7" w:rsidP="00E708E7">
      <w:pPr>
        <w:pStyle w:val="normal0"/>
        <w:ind w:left="720"/>
      </w:pPr>
      <w:r>
        <w:t>• Overall, the data supports the report's central narrative: happiness is a multi-dimensional outcome most closely</w:t>
      </w:r>
    </w:p>
    <w:sectPr w:rsidR="00E708E7" w:rsidSect="00E708E7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67B88B4-0876-44AB-952A-47F35ACB66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140646-34BB-4BE5-B79A-412EA21B3F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AE4B00-74F0-48EA-96A7-4AF55BB990C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A97B5F"/>
    <w:multiLevelType w:val="multilevel"/>
    <w:tmpl w:val="B052B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TrueTypeFonts/>
  <w:proofState w:spelling="clean" w:grammar="clean"/>
  <w:defaultTabStop w:val="720"/>
  <w:characterSpacingControl w:val="doNotCompress"/>
  <w:compat/>
  <w:rsids>
    <w:rsidRoot w:val="00AA5FA7"/>
    <w:rsid w:val="00034D0D"/>
    <w:rsid w:val="007B4C65"/>
    <w:rsid w:val="007D29A7"/>
    <w:rsid w:val="00847DA2"/>
    <w:rsid w:val="00AA5FA7"/>
    <w:rsid w:val="00B1445D"/>
    <w:rsid w:val="00B40863"/>
    <w:rsid w:val="00E70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863"/>
  </w:style>
  <w:style w:type="paragraph" w:styleId="Heading1">
    <w:name w:val="heading 1"/>
    <w:basedOn w:val="normal0"/>
    <w:next w:val="normal0"/>
    <w:rsid w:val="00AA5FA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A5FA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A5FA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A5FA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A5FA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A5FA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A5FA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A5FA7"/>
  </w:style>
  <w:style w:type="paragraph" w:styleId="Title">
    <w:name w:val="Title"/>
    <w:basedOn w:val="normal0"/>
    <w:next w:val="normal0"/>
    <w:rsid w:val="00AA5FA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A5FA7"/>
    <w:pPr>
      <w:keepNext/>
      <w:keepLines/>
      <w:spacing w:after="320"/>
    </w:pPr>
    <w:rPr>
      <w:color w:val="666666"/>
      <w:sz w:val="30"/>
      <w:szCs w:val="30"/>
    </w:rPr>
  </w:style>
  <w:style w:type="character" w:styleId="SubtleReference">
    <w:name w:val="Subtle Reference"/>
    <w:basedOn w:val="DefaultParagraphFont"/>
    <w:uiPriority w:val="31"/>
    <w:qFormat/>
    <w:rsid w:val="00E708E7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8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8E7"/>
    <w:rPr>
      <w:rFonts w:ascii="Tahom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7B4C65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7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NUHITA</dc:creator>
  <cp:lastModifiedBy>NUHITA</cp:lastModifiedBy>
  <cp:revision>2</cp:revision>
  <dcterms:created xsi:type="dcterms:W3CDTF">2026-08-15T17:24:00Z</dcterms:created>
  <dcterms:modified xsi:type="dcterms:W3CDTF">2026-08-15T17:24:00Z</dcterms:modified>
</cp:coreProperties>
</file>