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276"/>
          <w:sz w:val="40"/>
        </w:rPr>
        <w:t>Week 4: Machine Learning Model Development &amp; Evaluation</w:t>
        <w:br/>
      </w:r>
      <w:r>
        <w:rPr>
          <w:i/>
          <w:color w:val="2874A6"/>
          <w:sz w:val="24"/>
        </w:rPr>
        <w:t>Predictive Modeling and Statistical Validation on the World Happiness Index</w:t>
        <w:br/>
      </w:r>
      <w:r>
        <w:rPr>
          <w:color w:val="808080"/>
          <w:sz w:val="20"/>
        </w:rPr>
        <w:t>YUVA Data Analytics Internship | Machine Learning Deliverable</w:t>
      </w:r>
    </w:p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A5276"/>
          <w:sz w:val="32"/>
        </w:rPr>
        <w:t>1. Executive Summary &amp; Task Objectives</w:t>
      </w:r>
    </w:p>
    <w:p>
      <w:r>
        <w:t>Week 4 focuses on designing, training, validating, and critically benchmarking predictive Machine Learning models using the multi-year World Happiness Report dataset. The objective is to construct regression pipelines that predict a nation's Happiness Score based on key socio-economic indicators, rigorously evaluate their generalization capabilities using 5-Fold Cross-Validation, and provide diagnostic assessments of error distributions.</w:t>
      </w:r>
    </w:p>
    <w:p>
      <w:pPr>
        <w:pStyle w:val="Heading1"/>
        <w:spacing w:before="280" w:after="120"/>
      </w:pPr>
      <w:r>
        <w:rPr>
          <w:b/>
          <w:color w:val="1A5276"/>
          <w:sz w:val="32"/>
        </w:rPr>
        <w:t>2. Data Preprocessing &amp; Feature Engineering Pipeline</w:t>
      </w:r>
    </w:p>
    <w:p>
      <w:r>
        <w:t>Data preprocessing was performed to ensure statistical validity and prevent data leakage across model partitions:</w:t>
      </w:r>
    </w:p>
    <w:p>
      <w:pPr>
        <w:pStyle w:val="ListBullet"/>
      </w:pPr>
      <w:r>
        <w:rPr>
          <w:b/>
        </w:rPr>
        <w:t xml:space="preserve">Feature Selection: </w:t>
      </w:r>
      <w:r>
        <w:t>Six core socio-economic dimensions were extracted as predictor variables (X): Economy (GDP per Capita), Social Support (Family), Health (Life Expectancy), Freedom to Make Choices, Perceptions of Government Corruption (Trust), and Generosity.</w:t>
      </w:r>
    </w:p>
    <w:p>
      <w:pPr>
        <w:pStyle w:val="ListBullet"/>
      </w:pPr>
      <w:r>
        <w:rPr>
          <w:b/>
        </w:rPr>
        <w:t xml:space="preserve">Target Variable: </w:t>
      </w:r>
      <w:r>
        <w:t>Happiness Score (y), representing the national average subjective well-being measured on the 0–10 Cantril Ladder scale.</w:t>
      </w:r>
    </w:p>
    <w:p>
      <w:pPr>
        <w:pStyle w:val="ListBullet"/>
      </w:pPr>
      <w:r>
        <w:rPr>
          <w:b/>
        </w:rPr>
        <w:t xml:space="preserve">Missing Value Treatment: </w:t>
      </w:r>
      <w:r>
        <w:t>Filtered complete cases across the reporting timeline to avoid distortion from incomplete schema reporting.</w:t>
      </w:r>
    </w:p>
    <w:p>
      <w:pPr>
        <w:pStyle w:val="ListBullet"/>
      </w:pPr>
      <w:r>
        <w:rPr>
          <w:b/>
        </w:rPr>
        <w:t xml:space="preserve">Data Partitioning: </w:t>
      </w:r>
      <w:r>
        <w:t>Stratified/shuffled 80/20 train-test split (252 training records, 63 testing records) using a fixed random seed (seed=42) for reproducible benchmarking.</w:t>
      </w:r>
    </w:p>
    <w:p>
      <w:pPr>
        <w:pStyle w:val="ListBullet"/>
      </w:pPr>
      <w:r>
        <w:rPr>
          <w:b/>
        </w:rPr>
        <w:t xml:space="preserve">Feature Normalization: </w:t>
      </w:r>
      <w:r>
        <w:t>StandardScaler was fitted strictly on training partitions (μ = 0, σ = 1) and applied to test sets for distance-sensitive and linear algorithms.</w:t>
      </w:r>
    </w:p>
    <w:p>
      <w:pPr>
        <w:pStyle w:val="Heading1"/>
        <w:spacing w:before="280" w:after="120"/>
      </w:pPr>
      <w:r>
        <w:rPr>
          <w:b/>
          <w:color w:val="1A5276"/>
          <w:sz w:val="32"/>
        </w:rPr>
        <w:t>3. Model Selection &amp; Theoretical Justification</w:t>
      </w:r>
    </w:p>
    <w:p>
      <w:r>
        <w:t>To comprehensively evaluate linear and non-linear patterns, five distinct algorithms were trained and compared:</w:t>
      </w:r>
    </w:p>
    <w:p>
      <w:pPr>
        <w:pStyle w:val="ListBullet"/>
      </w:pPr>
      <w:r>
        <w:rPr>
          <w:b/>
        </w:rPr>
        <w:t xml:space="preserve">1. Multiple Linear Regression (Baseline): </w:t>
      </w:r>
      <w:r>
        <w:t>Establishes standard baseline interpretability to estimate linear coefficients per unit increase in each predictor.</w:t>
      </w:r>
    </w:p>
    <w:p>
      <w:pPr>
        <w:pStyle w:val="ListBullet"/>
      </w:pPr>
      <w:r>
        <w:rPr>
          <w:b/>
        </w:rPr>
        <w:t xml:space="preserve">2. Ridge Regression (L2 Regularization): </w:t>
      </w:r>
      <w:r>
        <w:t>Introduces an L2 penalty on regression weights (alpha=1.0) to stabilize estimates against multicollinearity between GDP and Life Expectancy.</w:t>
      </w:r>
    </w:p>
    <w:p>
      <w:pPr>
        <w:pStyle w:val="ListBullet"/>
      </w:pPr>
      <w:r>
        <w:rPr>
          <w:b/>
        </w:rPr>
        <w:t xml:space="preserve">3. Decision Tree Regressor: </w:t>
      </w:r>
      <w:r>
        <w:t>Non-parametric tree-based partitioner capable of capturing step-wise interactions, constrained with a max_depth=5 to mitigate overfitting.</w:t>
      </w:r>
    </w:p>
    <w:p>
      <w:pPr>
        <w:pStyle w:val="ListBullet"/>
      </w:pPr>
      <w:r>
        <w:rPr>
          <w:b/>
        </w:rPr>
        <w:t xml:space="preserve">4. Random Forest Regressor: </w:t>
      </w:r>
      <w:r>
        <w:t>Ensemble bagging model with 100 de-correlated estimators to reduce individual tree variance and provide robust non-linear approximations.</w:t>
      </w:r>
    </w:p>
    <w:p>
      <w:pPr>
        <w:pStyle w:val="ListBullet"/>
      </w:pPr>
      <w:r>
        <w:rPr>
          <w:b/>
        </w:rPr>
        <w:t xml:space="preserve">5. Gradient Boosting Regressor: </w:t>
      </w:r>
      <w:r>
        <w:t>Sequential ensemble boosting technique optimizing pseudo-residuals with learning_rate=0.08 and 100 estimators.</w:t>
      </w:r>
    </w:p>
    <w:p>
      <w:pPr>
        <w:pStyle w:val="Heading1"/>
        <w:spacing w:before="280" w:after="120"/>
      </w:pPr>
      <w:r>
        <w:rPr>
          <w:b/>
          <w:color w:val="1A5276"/>
          <w:sz w:val="32"/>
        </w:rPr>
        <w:t>4. Model Evaluation &amp; Performance Benchmark</w:t>
      </w:r>
    </w:p>
    <w:p>
      <w:r>
        <w:t>Models were assessed on three standard regression metrics: Mean Absolute Error (MAE), Root Mean Squared Error (RMSE), and Out-of-Sample R² Score, complemented by 5-Fold Cross-Validation R² to gauge generalization stability.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5276"/>
          </w:tcPr>
          <w:p>
            <w:pPr>
              <w:jc w:val="center"/>
            </w:pPr>
            <w:r>
              <w:rPr>
                <w:b/>
                <w:color w:val="FFFFFF"/>
              </w:rPr>
              <w:t>Model Architecture</w:t>
            </w:r>
          </w:p>
        </w:tc>
        <w:tc>
          <w:tcPr>
            <w:tcW w:type="dxa" w:w="1872"/>
            <w:shd w:fill="1A5276"/>
          </w:tcPr>
          <w:p>
            <w:pPr>
              <w:jc w:val="center"/>
            </w:pPr>
            <w:r>
              <w:rPr>
                <w:b/>
                <w:color w:val="FFFFFF"/>
              </w:rPr>
              <w:t>MAE</w:t>
            </w:r>
          </w:p>
        </w:tc>
        <w:tc>
          <w:tcPr>
            <w:tcW w:type="dxa" w:w="1872"/>
            <w:shd w:fill="1A5276"/>
          </w:tcPr>
          <w:p>
            <w:pPr>
              <w:jc w:val="center"/>
            </w:pPr>
            <w:r>
              <w:rPr>
                <w:b/>
                <w:color w:val="FFFFFF"/>
              </w:rPr>
              <w:t>RMSE</w:t>
            </w:r>
          </w:p>
        </w:tc>
        <w:tc>
          <w:tcPr>
            <w:tcW w:type="dxa" w:w="1872"/>
            <w:shd w:fill="1A5276"/>
          </w:tcPr>
          <w:p>
            <w:pPr>
              <w:jc w:val="center"/>
            </w:pPr>
            <w:r>
              <w:rPr>
                <w:b/>
                <w:color w:val="FFFFFF"/>
              </w:rPr>
              <w:t>Test R²</w:t>
            </w:r>
          </w:p>
        </w:tc>
        <w:tc>
          <w:tcPr>
            <w:tcW w:type="dxa" w:w="1872"/>
            <w:shd w:fill="1A5276"/>
          </w:tcPr>
          <w:p>
            <w:pPr>
              <w:jc w:val="center"/>
            </w:pPr>
            <w:r>
              <w:rPr>
                <w:b/>
                <w:color w:val="FFFFFF"/>
              </w:rPr>
              <w:t>5-Fold CV R² (Mean ± Std)</w:t>
            </w:r>
          </w:p>
        </w:tc>
      </w:tr>
      <w:tr>
        <w:tc>
          <w:tcPr>
            <w:tcW w:type="dxa" w:w="1872"/>
            <w:shd w:fill="F2F4F4"/>
          </w:tcPr>
          <w:p>
            <w:pPr>
              <w:jc w:val="center"/>
            </w:pPr>
            <w:r>
              <w:t>Linear Regression</w:t>
            </w:r>
          </w:p>
        </w:tc>
        <w:tc>
          <w:tcPr>
            <w:tcW w:type="dxa" w:w="1872"/>
            <w:shd w:fill="F2F4F4"/>
          </w:tcPr>
          <w:p>
            <w:pPr>
              <w:jc w:val="center"/>
            </w:pPr>
            <w:r>
              <w:t>0.353</w:t>
            </w:r>
          </w:p>
        </w:tc>
        <w:tc>
          <w:tcPr>
            <w:tcW w:type="dxa" w:w="1872"/>
            <w:shd w:fill="F2F4F4"/>
          </w:tcPr>
          <w:p>
            <w:pPr>
              <w:jc w:val="center"/>
            </w:pPr>
            <w:r>
              <w:t>0.444</w:t>
            </w:r>
          </w:p>
        </w:tc>
        <w:tc>
          <w:tcPr>
            <w:tcW w:type="dxa" w:w="1872"/>
            <w:shd w:fill="F2F4F4"/>
          </w:tcPr>
          <w:p>
            <w:pPr>
              <w:jc w:val="center"/>
            </w:pPr>
            <w:r>
              <w:t>0.866</w:t>
            </w:r>
          </w:p>
        </w:tc>
        <w:tc>
          <w:tcPr>
            <w:tcW w:type="dxa" w:w="1872"/>
            <w:shd w:fill="F2F4F4"/>
          </w:tcPr>
          <w:p>
            <w:pPr>
              <w:jc w:val="center"/>
            </w:pPr>
            <w:r>
              <w:t>0.721 ± 0.067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t>Ridge Regression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0.353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0.444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0.866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0.721 ± 0.067</w:t>
            </w:r>
          </w:p>
        </w:tc>
      </w:tr>
      <w:tr>
        <w:tc>
          <w:tcPr>
            <w:tcW w:type="dxa" w:w="1872"/>
            <w:shd w:fill="F2F4F4"/>
          </w:tcPr>
          <w:p>
            <w:pPr>
              <w:jc w:val="center"/>
            </w:pPr>
            <w:r>
              <w:t>Decision Tree Regressor</w:t>
            </w:r>
          </w:p>
        </w:tc>
        <w:tc>
          <w:tcPr>
            <w:tcW w:type="dxa" w:w="1872"/>
            <w:shd w:fill="F2F4F4"/>
          </w:tcPr>
          <w:p>
            <w:pPr>
              <w:jc w:val="center"/>
            </w:pPr>
            <w:r>
              <w:t>0.479</w:t>
            </w:r>
          </w:p>
        </w:tc>
        <w:tc>
          <w:tcPr>
            <w:tcW w:type="dxa" w:w="1872"/>
            <w:shd w:fill="F2F4F4"/>
          </w:tcPr>
          <w:p>
            <w:pPr>
              <w:jc w:val="center"/>
            </w:pPr>
            <w:r>
              <w:t>0.642</w:t>
            </w:r>
          </w:p>
        </w:tc>
        <w:tc>
          <w:tcPr>
            <w:tcW w:type="dxa" w:w="1872"/>
            <w:shd w:fill="F2F4F4"/>
          </w:tcPr>
          <w:p>
            <w:pPr>
              <w:jc w:val="center"/>
            </w:pPr>
            <w:r>
              <w:t>0.721</w:t>
            </w:r>
          </w:p>
        </w:tc>
        <w:tc>
          <w:tcPr>
            <w:tcW w:type="dxa" w:w="1872"/>
            <w:shd w:fill="F2F4F4"/>
          </w:tcPr>
          <w:p>
            <w:pPr>
              <w:jc w:val="center"/>
            </w:pPr>
            <w:r>
              <w:t>0.565 ± 0.123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t>Random Forest Regressor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0.392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0.481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0.844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0.751 ± 0.056</w:t>
            </w:r>
          </w:p>
        </w:tc>
      </w:tr>
      <w:tr>
        <w:tc>
          <w:tcPr>
            <w:tcW w:type="dxa" w:w="1872"/>
            <w:shd w:fill="F2F4F4"/>
          </w:tcPr>
          <w:p>
            <w:pPr>
              <w:jc w:val="center"/>
            </w:pPr>
            <w:r>
              <w:t>Gradient Boosting Regressor</w:t>
            </w:r>
          </w:p>
        </w:tc>
        <w:tc>
          <w:tcPr>
            <w:tcW w:type="dxa" w:w="1872"/>
            <w:shd w:fill="F2F4F4"/>
          </w:tcPr>
          <w:p>
            <w:pPr>
              <w:jc w:val="center"/>
            </w:pPr>
            <w:r>
              <w:t>0.404</w:t>
            </w:r>
          </w:p>
        </w:tc>
        <w:tc>
          <w:tcPr>
            <w:tcW w:type="dxa" w:w="1872"/>
            <w:shd w:fill="F2F4F4"/>
          </w:tcPr>
          <w:p>
            <w:pPr>
              <w:jc w:val="center"/>
            </w:pPr>
            <w:r>
              <w:t>0.489</w:t>
            </w:r>
          </w:p>
        </w:tc>
        <w:tc>
          <w:tcPr>
            <w:tcW w:type="dxa" w:w="1872"/>
            <w:shd w:fill="F2F4F4"/>
          </w:tcPr>
          <w:p>
            <w:pPr>
              <w:jc w:val="center"/>
            </w:pPr>
            <w:r>
              <w:t>0.838</w:t>
            </w:r>
          </w:p>
        </w:tc>
        <w:tc>
          <w:tcPr>
            <w:tcW w:type="dxa" w:w="1872"/>
            <w:shd w:fill="F2F4F4"/>
          </w:tcPr>
          <w:p>
            <w:pPr>
              <w:jc w:val="center"/>
            </w:pPr>
            <w:r>
              <w:t>0.732 ± 0.051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1A5276"/>
          <w:sz w:val="32"/>
        </w:rPr>
        <w:t>5. Visual Performance Diagnostics</w:t>
      </w:r>
    </w:p>
    <w:p>
      <w:pPr>
        <w:spacing w:before="80"/>
      </w:pP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Benchmark Comparison of Out-of-Sample R² and RMSE across ML Architectures.</w:t>
      </w:r>
    </w:p>
    <w:p>
      <w:pPr>
        <w:spacing w:before="120"/>
      </w:pP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actual_vs_predi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2: Actual vs. Predicted Happiness Score with Ideal Parity Line (y = x).</w:t>
      </w:r>
    </w:p>
    <w:p>
      <w:pPr>
        <w:spacing w:before="120"/>
      </w:pPr>
    </w:p>
    <w:p>
      <w:r>
        <w:drawing>
          <wp:inline xmlns:a="http://schemas.openxmlformats.org/drawingml/2006/main" xmlns:pic="http://schemas.openxmlformats.org/drawingml/2006/picture">
            <wp:extent cx="5486400" cy="21101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residuals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3: Residual Error Distribution and Residuals vs. Fitted Values Diagnostics.</w:t>
      </w:r>
    </w:p>
    <w:p>
      <w:pPr>
        <w:spacing w:before="120"/>
      </w:pP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4: Relative Feature Importance via Random Forest Gini Impurity Reduction.</w:t>
      </w:r>
    </w:p>
    <w:p>
      <w:pPr>
        <w:pStyle w:val="Heading1"/>
        <w:spacing w:before="280" w:after="120"/>
      </w:pPr>
      <w:r>
        <w:rPr>
          <w:b/>
          <w:color w:val="1A5276"/>
          <w:sz w:val="32"/>
        </w:rPr>
        <w:t>6. Critical Discussion: Error Analysis &amp; Model Limitations</w:t>
      </w:r>
    </w:p>
    <w:p>
      <w:r>
        <w:t>A rigorous critical review reveals several vital statistical insights and practical constraints:</w:t>
      </w:r>
    </w:p>
    <w:p>
      <w:pPr>
        <w:pStyle w:val="ListBullet"/>
      </w:pPr>
      <w:r>
        <w:rPr>
          <w:b/>
        </w:rPr>
        <w:t xml:space="preserve">Overfitting vs. Underfitting Dynamics: </w:t>
      </w:r>
      <w:r>
        <w:t>The single Decision Tree suffered from noticeable high variance (Test R² = 0.721, CV R² = 0.565 ± 0.123), exhibiting overfitting on localized training leaves. In contrast, Random Forest and Gradient Boosting demonstrated lower generalization variance across folds (CV Std ~ 0.051).</w:t>
      </w:r>
    </w:p>
    <w:p>
      <w:pPr>
        <w:pStyle w:val="ListBullet"/>
      </w:pPr>
      <w:r>
        <w:rPr>
          <w:b/>
        </w:rPr>
        <w:t xml:space="preserve">Multicollinearity &amp; Feature Redundancy: </w:t>
      </w:r>
      <w:r>
        <w:t>GDP per capita and Health (Life Expectancy) share strong positive correlation (r &gt; 0.81). While Linear Regression achieves high R² on the test set, coefficient estimates can be volatile without regularization; Ridge Regression proved crucial for coefficient stabilization.</w:t>
      </w:r>
    </w:p>
    <w:p>
      <w:pPr>
        <w:pStyle w:val="ListBullet"/>
      </w:pPr>
      <w:r>
        <w:rPr>
          <w:b/>
        </w:rPr>
        <w:t xml:space="preserve">Omitted Variable Bias &amp; Cultural Subjectivity: </w:t>
      </w:r>
      <w:r>
        <w:t>The residual standard deviation (~0.44 points) underscores that socio-economic indicators alone cannot capture all variance in subjective happiness. Unmeasured factors such as cultural baseline optimism, governance transparency, and inequality indices contribute to unexplained variance (Dystopia Residual).</w:t>
      </w:r>
    </w:p>
    <w:p>
      <w:pPr>
        <w:pStyle w:val="ListBullet"/>
      </w:pPr>
      <w:r>
        <w:rPr>
          <w:b/>
        </w:rPr>
        <w:t xml:space="preserve">Recommendations for Iterative Enhancement: </w:t>
      </w:r>
      <w:r>
        <w:t>1) Integrate macro-economic time-series features (e.g., inflation rates, Gini inequality index); 2) Implement Bayesian Hyperparameter Optimization; 3) Apply SHAP (SHapley Additive exPlanations) values for granular country-level explainability.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