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4A09" w14:textId="29007F00" w:rsidR="005B6F54" w:rsidRPr="00596522" w:rsidRDefault="00596522" w:rsidP="00596522">
      <w:pPr>
        <w:pStyle w:val="Title"/>
        <w:rPr>
          <w:lang w:val="id-ID"/>
        </w:rPr>
      </w:pPr>
      <w:r w:rsidRPr="000D7011">
        <w:rPr>
          <w:lang w:val="id-ID"/>
        </w:rPr>
        <w:t xml:space="preserve">Indonesian English Accent: Pride, Prejudice, and </w:t>
      </w:r>
      <w:r w:rsidRPr="00596522">
        <w:rPr>
          <w:rFonts w:ascii="Cambria" w:hAnsi="Cambria"/>
          <w:lang w:val="id-ID"/>
        </w:rPr>
        <w:t>Intelligibility</w:t>
      </w:r>
    </w:p>
    <w:p w14:paraId="18DDEBAD" w14:textId="7E301157" w:rsidR="005B6F54" w:rsidRDefault="00000000">
      <w:pPr>
        <w:pBdr>
          <w:top w:val="nil"/>
          <w:left w:val="nil"/>
          <w:bottom w:val="nil"/>
          <w:right w:val="nil"/>
          <w:between w:val="nil"/>
        </w:pBdr>
        <w:jc w:val="center"/>
        <w:rPr>
          <w:rFonts w:ascii="Cambria" w:eastAsia="Cambria" w:hAnsi="Cambria" w:cs="Cambria"/>
          <w:b/>
          <w:i/>
          <w:color w:val="000000"/>
        </w:rPr>
      </w:pPr>
      <w:r>
        <w:rPr>
          <w:rFonts w:ascii="Cambria" w:eastAsia="Cambria" w:hAnsi="Cambria" w:cs="Cambria"/>
          <w:b/>
          <w:i/>
          <w:color w:val="000000"/>
        </w:rPr>
        <w:t>A</w:t>
      </w:r>
      <w:r w:rsidR="00596522">
        <w:rPr>
          <w:rFonts w:ascii="Cambria" w:eastAsia="Cambria" w:hAnsi="Cambria" w:cs="Cambria"/>
          <w:b/>
          <w:i/>
          <w:color w:val="000000"/>
        </w:rPr>
        <w:t>dam</w:t>
      </w:r>
      <w:r>
        <w:rPr>
          <w:rFonts w:ascii="Cambria" w:eastAsia="Cambria" w:hAnsi="Cambria" w:cs="Cambria"/>
          <w:b/>
          <w:i/>
          <w:color w:val="000000"/>
          <w:vertAlign w:val="superscript"/>
        </w:rPr>
        <w:t>[1]</w:t>
      </w:r>
      <w:r>
        <w:rPr>
          <w:rFonts w:ascii="Cambria" w:eastAsia="Cambria" w:hAnsi="Cambria" w:cs="Cambria"/>
          <w:b/>
          <w:i/>
          <w:color w:val="000000"/>
        </w:rPr>
        <w:t xml:space="preserve">, </w:t>
      </w:r>
      <w:r w:rsidR="00596522">
        <w:rPr>
          <w:rFonts w:ascii="Cambria" w:eastAsia="Cambria" w:hAnsi="Cambria" w:cs="Cambria"/>
          <w:b/>
          <w:i/>
          <w:color w:val="000000"/>
        </w:rPr>
        <w:t>Sri Langgeng Ratnasari</w:t>
      </w:r>
      <w:r>
        <w:rPr>
          <w:rFonts w:ascii="Cambria" w:eastAsia="Cambria" w:hAnsi="Cambria" w:cs="Cambria"/>
          <w:b/>
          <w:i/>
          <w:color w:val="000000"/>
          <w:vertAlign w:val="superscript"/>
        </w:rPr>
        <w:t>[2]</w:t>
      </w:r>
      <w:r>
        <w:rPr>
          <w:rFonts w:ascii="Cambria" w:eastAsia="Cambria" w:hAnsi="Cambria" w:cs="Cambria"/>
          <w:b/>
          <w:i/>
          <w:color w:val="000000"/>
        </w:rPr>
        <w:t>,</w:t>
      </w:r>
      <w:r w:rsidR="00596522">
        <w:rPr>
          <w:rFonts w:ascii="Cambria" w:eastAsia="Cambria" w:hAnsi="Cambria" w:cs="Cambria"/>
          <w:b/>
          <w:i/>
          <w:color w:val="000000"/>
        </w:rPr>
        <w:t xml:space="preserve"> Desi Surlitasari Dewi</w:t>
      </w:r>
      <w:r>
        <w:rPr>
          <w:rFonts w:ascii="Cambria" w:eastAsia="Cambria" w:hAnsi="Cambria" w:cs="Cambria"/>
          <w:b/>
          <w:i/>
          <w:color w:val="000000"/>
          <w:vertAlign w:val="superscript"/>
        </w:rPr>
        <w:t>[3</w:t>
      </w:r>
      <w:r w:rsidR="00596522">
        <w:rPr>
          <w:rFonts w:ascii="Cambria" w:eastAsia="Cambria" w:hAnsi="Cambria" w:cs="Cambria"/>
          <w:b/>
          <w:i/>
          <w:color w:val="000000"/>
          <w:vertAlign w:val="superscript"/>
        </w:rPr>
        <w:t xml:space="preserve"> </w:t>
      </w:r>
      <w:r w:rsidR="00596522">
        <w:rPr>
          <w:rFonts w:ascii="Cambria" w:eastAsia="Cambria" w:hAnsi="Cambria" w:cs="Cambria"/>
          <w:b/>
          <w:i/>
          <w:color w:val="000000"/>
        </w:rPr>
        <w:t>,</w:t>
      </w:r>
      <w:r w:rsidR="00596522" w:rsidRPr="00596522">
        <w:rPr>
          <w:rFonts w:ascii="Cambria" w:eastAsia="Cambria" w:hAnsi="Cambria" w:cs="Cambria"/>
          <w:b/>
          <w:i/>
          <w:color w:val="000000"/>
        </w:rPr>
        <w:t xml:space="preserve"> </w:t>
      </w:r>
      <w:r w:rsidR="00596522">
        <w:rPr>
          <w:rFonts w:ascii="Cambria" w:eastAsia="Cambria" w:hAnsi="Cambria" w:cs="Cambria"/>
          <w:b/>
          <w:i/>
          <w:color w:val="000000"/>
        </w:rPr>
        <w:t>Alpino Susanto</w:t>
      </w:r>
      <w:r w:rsidR="00596522">
        <w:rPr>
          <w:rFonts w:ascii="Cambria" w:eastAsia="Cambria" w:hAnsi="Cambria" w:cs="Cambria"/>
          <w:b/>
          <w:i/>
          <w:color w:val="000000"/>
          <w:vertAlign w:val="superscript"/>
        </w:rPr>
        <w:t>[4]</w:t>
      </w:r>
      <w:r w:rsidR="00596522">
        <w:rPr>
          <w:rFonts w:ascii="Cambria" w:eastAsia="Cambria" w:hAnsi="Cambria" w:cs="Cambria"/>
          <w:b/>
          <w:i/>
          <w:color w:val="000000"/>
        </w:rPr>
        <w:t xml:space="preserve">, </w:t>
      </w:r>
      <w:r w:rsidR="004B2BB4">
        <w:rPr>
          <w:rFonts w:ascii="Cambria" w:eastAsia="Cambria" w:hAnsi="Cambria" w:cs="Cambria"/>
          <w:b/>
          <w:i/>
          <w:color w:val="000000"/>
        </w:rPr>
        <w:t>Hidayat Polim</w:t>
      </w:r>
      <w:r w:rsidR="004B2BB4">
        <w:rPr>
          <w:rFonts w:ascii="Cambria" w:eastAsia="Cambria" w:hAnsi="Cambria" w:cs="Cambria"/>
          <w:b/>
          <w:i/>
          <w:color w:val="000000"/>
          <w:vertAlign w:val="superscript"/>
        </w:rPr>
        <w:t>[5]</w:t>
      </w:r>
      <w:r w:rsidR="004B2BB4">
        <w:rPr>
          <w:rFonts w:ascii="Cambria" w:eastAsia="Cambria" w:hAnsi="Cambria" w:cs="Cambria"/>
          <w:b/>
          <w:i/>
          <w:color w:val="000000"/>
        </w:rPr>
        <w:t xml:space="preserve">  </w:t>
      </w:r>
      <w:r w:rsidR="00596522">
        <w:rPr>
          <w:rFonts w:ascii="Cambria" w:eastAsia="Cambria" w:hAnsi="Cambria" w:cs="Cambria"/>
          <w:b/>
          <w:i/>
          <w:color w:val="000000"/>
        </w:rPr>
        <w:t>Nadia Putri Yudani</w:t>
      </w:r>
      <w:r w:rsidR="00596522">
        <w:rPr>
          <w:rFonts w:ascii="Cambria" w:eastAsia="Cambria" w:hAnsi="Cambria" w:cs="Cambria"/>
          <w:b/>
          <w:i/>
          <w:color w:val="000000"/>
          <w:vertAlign w:val="superscript"/>
        </w:rPr>
        <w:t>[</w:t>
      </w:r>
      <w:r w:rsidR="004B2BB4">
        <w:rPr>
          <w:rFonts w:ascii="Cambria" w:eastAsia="Cambria" w:hAnsi="Cambria" w:cs="Cambria"/>
          <w:b/>
          <w:i/>
          <w:color w:val="000000"/>
          <w:vertAlign w:val="superscript"/>
        </w:rPr>
        <w:t>6</w:t>
      </w:r>
      <w:r w:rsidR="00596522">
        <w:rPr>
          <w:rFonts w:ascii="Cambria" w:eastAsia="Cambria" w:hAnsi="Cambria" w:cs="Cambria"/>
          <w:b/>
          <w:i/>
          <w:color w:val="000000"/>
          <w:vertAlign w:val="superscript"/>
        </w:rPr>
        <w:t>]</w:t>
      </w:r>
      <w:r w:rsidR="00596522">
        <w:rPr>
          <w:rFonts w:ascii="Cambria" w:eastAsia="Cambria" w:hAnsi="Cambria" w:cs="Cambria"/>
          <w:b/>
          <w:i/>
          <w:color w:val="000000"/>
        </w:rPr>
        <w:t xml:space="preserve">   </w:t>
      </w:r>
      <w:r>
        <w:rPr>
          <w:rFonts w:ascii="Cambria" w:eastAsia="Cambria" w:hAnsi="Cambria" w:cs="Cambria"/>
          <w:b/>
          <w:i/>
          <w:color w:val="000000"/>
        </w:rPr>
        <w:t xml:space="preserve">  </w:t>
      </w:r>
    </w:p>
    <w:p w14:paraId="14A70C5E" w14:textId="77777777" w:rsidR="005B6F54" w:rsidRDefault="005B6F54">
      <w:pPr>
        <w:pBdr>
          <w:top w:val="nil"/>
          <w:left w:val="nil"/>
          <w:bottom w:val="nil"/>
          <w:right w:val="nil"/>
          <w:between w:val="nil"/>
        </w:pBdr>
        <w:rPr>
          <w:rFonts w:ascii="Cambria" w:eastAsia="Cambria" w:hAnsi="Cambria" w:cs="Cambria"/>
          <w:b/>
          <w:i/>
          <w:color w:val="000000"/>
        </w:rPr>
      </w:pPr>
    </w:p>
    <w:p w14:paraId="67921BFA" w14:textId="77777777" w:rsidR="005B6F54" w:rsidRDefault="00000000">
      <w:pPr>
        <w:pBdr>
          <w:top w:val="nil"/>
          <w:left w:val="nil"/>
          <w:bottom w:val="nil"/>
          <w:right w:val="nil"/>
          <w:between w:val="nil"/>
        </w:pBdr>
        <w:jc w:val="center"/>
        <w:rPr>
          <w:rFonts w:ascii="Cambria" w:eastAsia="Cambria" w:hAnsi="Cambria" w:cs="Cambria"/>
          <w:b/>
          <w:i/>
          <w:color w:val="000000"/>
        </w:rPr>
      </w:pPr>
      <w:r>
        <w:pict w14:anchorId="15879029">
          <v:rect id="_x0000_i1025" style="width:0;height:1.5pt" o:hralign="center" o:hrstd="t" o:hr="t" fillcolor="#a0a0a0" stroked="f"/>
        </w:pict>
      </w:r>
    </w:p>
    <w:p w14:paraId="6B482572" w14:textId="51C86F52" w:rsidR="005B6F54" w:rsidRDefault="00000000">
      <w:pPr>
        <w:pBdr>
          <w:top w:val="nil"/>
          <w:left w:val="nil"/>
          <w:bottom w:val="nil"/>
          <w:right w:val="nil"/>
          <w:between w:val="nil"/>
        </w:pBdr>
        <w:jc w:val="center"/>
        <w:rPr>
          <w:rFonts w:ascii="Cambria" w:eastAsia="Cambria" w:hAnsi="Cambria" w:cs="Cambria"/>
          <w:color w:val="000000"/>
        </w:rPr>
      </w:pPr>
      <w:r>
        <w:rPr>
          <w:rFonts w:ascii="Cambria" w:eastAsia="Cambria" w:hAnsi="Cambria" w:cs="Cambria"/>
          <w:color w:val="000000"/>
          <w:vertAlign w:val="superscript"/>
        </w:rPr>
        <w:t>[</w:t>
      </w:r>
      <w:r w:rsidR="004B2BB4">
        <w:rPr>
          <w:rFonts w:ascii="Cambria" w:eastAsia="Cambria" w:hAnsi="Cambria" w:cs="Cambria"/>
          <w:color w:val="000000"/>
          <w:vertAlign w:val="superscript"/>
        </w:rPr>
        <w:t>1</w:t>
      </w:r>
      <w:r>
        <w:rPr>
          <w:rFonts w:ascii="Cambria" w:eastAsia="Cambria" w:hAnsi="Cambria" w:cs="Cambria"/>
          <w:color w:val="000000"/>
          <w:vertAlign w:val="superscript"/>
        </w:rPr>
        <w:t xml:space="preserve">] </w:t>
      </w:r>
      <w:r w:rsidR="004B2BB4">
        <w:rPr>
          <w:rFonts w:ascii="Cambria" w:eastAsia="Cambria" w:hAnsi="Cambria" w:cs="Cambria"/>
          <w:color w:val="000000"/>
        </w:rPr>
        <w:t>harahapadam123</w:t>
      </w:r>
      <w:r>
        <w:rPr>
          <w:rFonts w:ascii="Cambria" w:eastAsia="Cambria" w:hAnsi="Cambria" w:cs="Cambria"/>
          <w:color w:val="000000"/>
        </w:rPr>
        <w:t>@</w:t>
      </w:r>
      <w:r w:rsidR="004B2BB4">
        <w:rPr>
          <w:rFonts w:ascii="Cambria" w:eastAsia="Cambria" w:hAnsi="Cambria" w:cs="Cambria"/>
          <w:color w:val="000000"/>
        </w:rPr>
        <w:t>g</w:t>
      </w:r>
      <w:r>
        <w:rPr>
          <w:rFonts w:ascii="Cambria" w:eastAsia="Cambria" w:hAnsi="Cambria" w:cs="Cambria"/>
          <w:color w:val="000000"/>
        </w:rPr>
        <w:t>mail.com</w:t>
      </w:r>
    </w:p>
    <w:p w14:paraId="03AAE9CE" w14:textId="656F9CB6" w:rsidR="005B6F54" w:rsidRDefault="00000000" w:rsidP="004B2BB4">
      <w:pPr>
        <w:pBdr>
          <w:top w:val="nil"/>
          <w:left w:val="nil"/>
          <w:bottom w:val="nil"/>
          <w:right w:val="nil"/>
          <w:between w:val="nil"/>
        </w:pBdr>
        <w:jc w:val="center"/>
        <w:rPr>
          <w:rFonts w:ascii="Cambria" w:eastAsia="Cambria" w:hAnsi="Cambria" w:cs="Cambria"/>
          <w:color w:val="000000"/>
        </w:rPr>
      </w:pPr>
      <w:r>
        <w:rPr>
          <w:rFonts w:ascii="Cambria" w:eastAsia="Cambria" w:hAnsi="Cambria" w:cs="Cambria"/>
          <w:color w:val="000000"/>
          <w:vertAlign w:val="superscript"/>
        </w:rPr>
        <w:t xml:space="preserve">[1], </w:t>
      </w:r>
      <w:r w:rsidR="004B2BB4">
        <w:rPr>
          <w:rFonts w:ascii="Cambria" w:eastAsia="Cambria" w:hAnsi="Cambria" w:cs="Cambria"/>
          <w:color w:val="000000"/>
          <w:vertAlign w:val="superscript"/>
        </w:rPr>
        <w:t xml:space="preserve">[2], [3], [4], </w:t>
      </w:r>
      <w:r>
        <w:rPr>
          <w:rFonts w:ascii="Cambria" w:eastAsia="Cambria" w:hAnsi="Cambria" w:cs="Cambria"/>
          <w:color w:val="000000"/>
          <w:vertAlign w:val="superscript"/>
        </w:rPr>
        <w:t>[</w:t>
      </w:r>
      <w:r w:rsidR="004B2BB4">
        <w:rPr>
          <w:rFonts w:ascii="Cambria" w:eastAsia="Cambria" w:hAnsi="Cambria" w:cs="Cambria"/>
          <w:color w:val="000000"/>
          <w:vertAlign w:val="superscript"/>
        </w:rPr>
        <w:t>6</w:t>
      </w:r>
      <w:r>
        <w:rPr>
          <w:rFonts w:ascii="Cambria" w:eastAsia="Cambria" w:hAnsi="Cambria" w:cs="Cambria"/>
          <w:color w:val="000000"/>
          <w:vertAlign w:val="superscript"/>
        </w:rPr>
        <w:t xml:space="preserve">] </w:t>
      </w:r>
      <w:r>
        <w:rPr>
          <w:rFonts w:ascii="Cambria" w:eastAsia="Cambria" w:hAnsi="Cambria" w:cs="Cambria"/>
          <w:color w:val="000000"/>
        </w:rPr>
        <w:t xml:space="preserve">The </w:t>
      </w:r>
      <w:r w:rsidR="004B2BB4">
        <w:rPr>
          <w:rFonts w:ascii="Cambria" w:eastAsia="Cambria" w:hAnsi="Cambria" w:cs="Cambria"/>
          <w:color w:val="000000"/>
        </w:rPr>
        <w:t>Universitas Riau Kepulauan, Batam, Indonesia</w:t>
      </w:r>
    </w:p>
    <w:p w14:paraId="4ED83AD5" w14:textId="3D3B1B3E" w:rsidR="005B6F54" w:rsidRDefault="00000000">
      <w:pPr>
        <w:pBdr>
          <w:top w:val="nil"/>
          <w:left w:val="nil"/>
          <w:bottom w:val="nil"/>
          <w:right w:val="nil"/>
          <w:between w:val="nil"/>
        </w:pBdr>
        <w:jc w:val="center"/>
        <w:rPr>
          <w:rFonts w:ascii="Cambria" w:eastAsia="Cambria" w:hAnsi="Cambria" w:cs="Cambria"/>
          <w:color w:val="000000"/>
        </w:rPr>
      </w:pPr>
      <w:r>
        <w:rPr>
          <w:rFonts w:ascii="Cambria" w:eastAsia="Cambria" w:hAnsi="Cambria" w:cs="Cambria"/>
          <w:color w:val="000000"/>
          <w:vertAlign w:val="superscript"/>
        </w:rPr>
        <w:t>[</w:t>
      </w:r>
      <w:r w:rsidR="004B2BB4">
        <w:rPr>
          <w:rFonts w:ascii="Cambria" w:eastAsia="Cambria" w:hAnsi="Cambria" w:cs="Cambria"/>
          <w:color w:val="000000"/>
          <w:vertAlign w:val="superscript"/>
        </w:rPr>
        <w:t>5</w:t>
      </w:r>
      <w:r>
        <w:rPr>
          <w:rFonts w:ascii="Cambria" w:eastAsia="Cambria" w:hAnsi="Cambria" w:cs="Cambria"/>
          <w:color w:val="000000"/>
          <w:vertAlign w:val="superscript"/>
        </w:rPr>
        <w:t xml:space="preserve">] </w:t>
      </w:r>
      <w:r w:rsidR="004B2BB4">
        <w:rPr>
          <w:rFonts w:ascii="Cambria" w:eastAsia="Cambria" w:hAnsi="Cambria" w:cs="Cambria"/>
          <w:color w:val="000000"/>
        </w:rPr>
        <w:t>Soka University, Japan</w:t>
      </w:r>
    </w:p>
    <w:p w14:paraId="5855E3A8" w14:textId="465F7FB0" w:rsidR="005B6F54" w:rsidRDefault="005B6F54">
      <w:pPr>
        <w:pBdr>
          <w:top w:val="nil"/>
          <w:left w:val="nil"/>
          <w:bottom w:val="nil"/>
          <w:right w:val="nil"/>
          <w:between w:val="nil"/>
        </w:pBdr>
        <w:jc w:val="center"/>
        <w:rPr>
          <w:rFonts w:ascii="Cambria" w:eastAsia="Cambria" w:hAnsi="Cambria" w:cs="Cambria"/>
          <w:color w:val="000000"/>
        </w:rPr>
      </w:pPr>
    </w:p>
    <w:p w14:paraId="720B7B8B" w14:textId="77777777" w:rsidR="005B6F54" w:rsidRDefault="00000000">
      <w:pPr>
        <w:pBdr>
          <w:top w:val="nil"/>
          <w:left w:val="nil"/>
          <w:bottom w:val="nil"/>
          <w:right w:val="nil"/>
          <w:between w:val="nil"/>
        </w:pBdr>
        <w:jc w:val="center"/>
        <w:rPr>
          <w:rFonts w:ascii="Cambria" w:eastAsia="Cambria" w:hAnsi="Cambria" w:cs="Cambria"/>
          <w:color w:val="000000"/>
        </w:rPr>
      </w:pPr>
      <w:r>
        <w:pict w14:anchorId="0CB240E0">
          <v:rect id="_x0000_i1026" style="width:0;height:1.5pt" o:hralign="center" o:hrstd="t" o:hr="t" fillcolor="#a0a0a0" stroked="f"/>
        </w:pict>
      </w:r>
    </w:p>
    <w:p w14:paraId="3D8F89B1" w14:textId="77777777" w:rsidR="005B6F54" w:rsidRDefault="005B6F54">
      <w:pPr>
        <w:pBdr>
          <w:top w:val="nil"/>
          <w:left w:val="nil"/>
          <w:bottom w:val="nil"/>
          <w:right w:val="nil"/>
          <w:between w:val="nil"/>
        </w:pBdr>
        <w:jc w:val="center"/>
        <w:rPr>
          <w:rFonts w:ascii="Cambria" w:eastAsia="Cambria" w:hAnsi="Cambria" w:cs="Cambria"/>
          <w:color w:val="000000"/>
        </w:rPr>
      </w:pPr>
    </w:p>
    <w:p w14:paraId="7AF3DF5E" w14:textId="77777777" w:rsidR="00983A25" w:rsidRPr="00983A25" w:rsidRDefault="00000000" w:rsidP="00983A25">
      <w:pPr>
        <w:pStyle w:val="Standard"/>
        <w:spacing w:after="0" w:line="240" w:lineRule="auto"/>
        <w:jc w:val="both"/>
        <w:rPr>
          <w:rFonts w:ascii="Cambria" w:hAnsi="Cambria" w:cs="Times New Roman"/>
        </w:rPr>
      </w:pPr>
      <w:r>
        <w:rPr>
          <w:rFonts w:ascii="Cambria" w:eastAsia="Cambria" w:hAnsi="Cambria" w:cs="Cambria"/>
          <w:b/>
          <w:color w:val="000000"/>
        </w:rPr>
        <w:t>Abstract</w:t>
      </w:r>
      <w:r>
        <w:rPr>
          <w:rFonts w:ascii="Cambria" w:eastAsia="Cambria" w:hAnsi="Cambria" w:cs="Cambria"/>
          <w:color w:val="000000"/>
        </w:rPr>
        <w:t xml:space="preserve">: </w:t>
      </w:r>
      <w:r w:rsidR="00983A25" w:rsidRPr="00983A25">
        <w:rPr>
          <w:rFonts w:ascii="Cambria" w:eastAsia="Book Antiqua" w:hAnsi="Cambria" w:cs="Times New Roman"/>
        </w:rPr>
        <w:t xml:space="preserve">This narrative review critically examines the Indonesian English (IE) accent as a complex site of sociopolitical and linguistic negotiation within the frameworks of World </w:t>
      </w:r>
      <w:proofErr w:type="spellStart"/>
      <w:r w:rsidR="00983A25" w:rsidRPr="00983A25">
        <w:rPr>
          <w:rFonts w:ascii="Cambria" w:eastAsia="Book Antiqua" w:hAnsi="Cambria" w:cs="Times New Roman"/>
        </w:rPr>
        <w:t>Englishes</w:t>
      </w:r>
      <w:proofErr w:type="spellEnd"/>
      <w:r w:rsidR="00983A25" w:rsidRPr="00983A25">
        <w:rPr>
          <w:rFonts w:ascii="Cambria" w:eastAsia="Book Antiqua" w:hAnsi="Cambria" w:cs="Times New Roman"/>
        </w:rPr>
        <w:t xml:space="preserve"> and decolonial theory.</w:t>
      </w:r>
    </w:p>
    <w:p w14:paraId="78CD13A7" w14:textId="08C70552" w:rsidR="00983A25" w:rsidRPr="00983A25" w:rsidRDefault="00983A25" w:rsidP="00983A25">
      <w:pPr>
        <w:pStyle w:val="Standard"/>
        <w:spacing w:after="0" w:line="240" w:lineRule="auto"/>
        <w:jc w:val="both"/>
        <w:rPr>
          <w:rFonts w:ascii="Cambria" w:hAnsi="Cambria" w:cs="Times New Roman"/>
        </w:rPr>
      </w:pPr>
      <w:r w:rsidRPr="00983A25">
        <w:rPr>
          <w:rFonts w:ascii="Cambria" w:eastAsia="Book Antiqua" w:hAnsi="Cambria" w:cs="Times New Roman"/>
        </w:rPr>
        <w:t xml:space="preserve">The research employs a comprehensive narrative review approach, synthesizing and </w:t>
      </w:r>
      <w:proofErr w:type="spellStart"/>
      <w:r w:rsidRPr="00983A25">
        <w:rPr>
          <w:rFonts w:ascii="Cambria" w:eastAsia="Book Antiqua" w:hAnsi="Cambria" w:cs="Times New Roman"/>
        </w:rPr>
        <w:t>analyzing</w:t>
      </w:r>
      <w:proofErr w:type="spellEnd"/>
      <w:r w:rsidRPr="00983A25">
        <w:rPr>
          <w:rFonts w:ascii="Cambria" w:eastAsia="Book Antiqua" w:hAnsi="Cambria" w:cs="Times New Roman"/>
        </w:rPr>
        <w:t xml:space="preserve"> scholarly literature from 1990 to 2024. It applies critical discourse analysis through decolonial and World </w:t>
      </w:r>
      <w:proofErr w:type="spellStart"/>
      <w:r w:rsidRPr="00983A25">
        <w:rPr>
          <w:rFonts w:ascii="Cambria" w:eastAsia="Book Antiqua" w:hAnsi="Cambria" w:cs="Times New Roman"/>
        </w:rPr>
        <w:t>Englishes</w:t>
      </w:r>
      <w:proofErr w:type="spellEnd"/>
      <w:r w:rsidRPr="00983A25">
        <w:rPr>
          <w:rFonts w:ascii="Cambria" w:eastAsia="Book Antiqua" w:hAnsi="Cambria" w:cs="Times New Roman"/>
        </w:rPr>
        <w:t xml:space="preserve"> theoretical frameworks to examine linguistic features, sociolinguistic attitudes, educational practices, and technological representations of IE.</w:t>
      </w:r>
    </w:p>
    <w:p w14:paraId="6E77ED45" w14:textId="20901911" w:rsidR="00983A25" w:rsidRPr="00983A25" w:rsidRDefault="00983A25" w:rsidP="00983A25">
      <w:pPr>
        <w:pStyle w:val="Standard"/>
        <w:spacing w:after="0" w:line="240" w:lineRule="auto"/>
        <w:jc w:val="both"/>
        <w:rPr>
          <w:rFonts w:ascii="Cambria" w:eastAsia="Book Antiqua" w:hAnsi="Cambria" w:cs="Times New Roman"/>
        </w:rPr>
      </w:pPr>
      <w:r w:rsidRPr="00983A25">
        <w:rPr>
          <w:rFonts w:ascii="Cambria" w:eastAsia="Book Antiqua" w:hAnsi="Cambria" w:cs="Times New Roman"/>
        </w:rPr>
        <w:t>Analysis identifies IE's distinctive phonological characteristics such as syllable-timed rhythm, vowel reduction, and Indonesian-influenced prosody as legitimate linguistic innovations rather than deficiencies. It reveals IE's emerging role as a marker of cultural pride and identity among younger urban Indonesians in digital and creative spaces. The research uncovers systemic prejudice in educational, professional, and technological domains that privilege Inner Circle norms and marginalize IE speakers through accent bias. Traditional notions of intelligibility are challenged by evidence supporting Matsuda's concept of shared responsibility in communication.</w:t>
      </w:r>
    </w:p>
    <w:p w14:paraId="6F6D71D4" w14:textId="44B24BD3" w:rsidR="00983A25" w:rsidRPr="00983A25" w:rsidRDefault="00983A25" w:rsidP="00983A25">
      <w:pPr>
        <w:rPr>
          <w:rFonts w:ascii="Cambria" w:hAnsi="Cambria" w:cstheme="majorBidi"/>
        </w:rPr>
      </w:pPr>
      <w:r w:rsidRPr="00983A25">
        <w:rPr>
          <w:rFonts w:ascii="Cambria" w:eastAsia="Book Antiqua" w:hAnsi="Cambria"/>
        </w:rPr>
        <w:t>This review establishes clear connections between accent discrimination, colonial legacies, and the neoliberal commodification of language, exposing moral shortcomings in global English pedagogy. It provides a foundation for Indonesia-led educational reforms, inclusive speech technologies, and pluricentric communicative standards. The work proposes concrete pedagogical interventions incorporating local cultural contexts and IE varieties in classroom materials and assessment criteria. It advances theoretical understanding of IE as both a linguistic phenomenon and an act of postcolonial resistance, contributing to scholarship on linguistic self-determination in multilingual global contexts and offering a framework for reimagining language ownership in postcolonial Southeast Asian settings</w:t>
      </w:r>
      <w:r w:rsidRPr="00983A25">
        <w:rPr>
          <w:rFonts w:ascii="Cambria" w:hAnsi="Cambria" w:cstheme="majorBidi"/>
        </w:rPr>
        <w:t>.</w:t>
      </w:r>
    </w:p>
    <w:p w14:paraId="574F128A" w14:textId="77777777" w:rsidR="005B6F54" w:rsidRDefault="005B6F54" w:rsidP="00983A25">
      <w:pPr>
        <w:pBdr>
          <w:top w:val="nil"/>
          <w:left w:val="nil"/>
          <w:bottom w:val="nil"/>
          <w:right w:val="nil"/>
          <w:between w:val="nil"/>
        </w:pBdr>
        <w:ind w:right="567"/>
        <w:rPr>
          <w:rFonts w:ascii="Cambria" w:eastAsia="Cambria" w:hAnsi="Cambria" w:cs="Cambria"/>
          <w:color w:val="000000"/>
        </w:rPr>
      </w:pPr>
    </w:p>
    <w:p w14:paraId="0F872036" w14:textId="42A3C6BA" w:rsidR="005B6F54" w:rsidRDefault="00000000" w:rsidP="00983A25">
      <w:pPr>
        <w:pBdr>
          <w:top w:val="nil"/>
          <w:left w:val="nil"/>
          <w:bottom w:val="nil"/>
          <w:right w:val="nil"/>
          <w:between w:val="nil"/>
        </w:pBdr>
        <w:ind w:right="567"/>
        <w:rPr>
          <w:rFonts w:ascii="Cambria" w:eastAsia="Cambria" w:hAnsi="Cambria" w:cs="Cambria"/>
          <w:color w:val="000000"/>
        </w:rPr>
      </w:pPr>
      <w:r>
        <w:rPr>
          <w:rFonts w:ascii="Cambria" w:eastAsia="Cambria" w:hAnsi="Cambria" w:cs="Cambria"/>
          <w:b/>
          <w:color w:val="000000"/>
        </w:rPr>
        <w:t>Keywords</w:t>
      </w:r>
      <w:r>
        <w:rPr>
          <w:rFonts w:ascii="Cambria" w:eastAsia="Cambria" w:hAnsi="Cambria" w:cs="Cambria"/>
          <w:color w:val="000000"/>
        </w:rPr>
        <w:t xml:space="preserve">: </w:t>
      </w:r>
      <w:r w:rsidR="00983A25" w:rsidRPr="00983A25">
        <w:rPr>
          <w:rFonts w:ascii="Cambria" w:hAnsi="Cambria"/>
        </w:rPr>
        <w:t>Indonesian English; Accent; Intelligibility; Pride; Prejudice; Word Englishes</w:t>
      </w:r>
    </w:p>
    <w:p w14:paraId="4DEB768E" w14:textId="77777777" w:rsidR="005B6F54" w:rsidRDefault="005B6F54">
      <w:pPr>
        <w:pBdr>
          <w:top w:val="nil"/>
          <w:left w:val="nil"/>
          <w:bottom w:val="nil"/>
          <w:right w:val="nil"/>
          <w:between w:val="nil"/>
        </w:pBdr>
        <w:ind w:left="567" w:right="567"/>
        <w:rPr>
          <w:rFonts w:ascii="Cambria" w:eastAsia="Cambria" w:hAnsi="Cambria" w:cs="Cambria"/>
          <w:color w:val="000000"/>
        </w:rPr>
      </w:pPr>
    </w:p>
    <w:p w14:paraId="5D30159A" w14:textId="77777777" w:rsidR="005B6F54" w:rsidRDefault="00000000">
      <w:pPr>
        <w:pBdr>
          <w:top w:val="nil"/>
          <w:left w:val="nil"/>
          <w:bottom w:val="nil"/>
          <w:right w:val="nil"/>
          <w:between w:val="nil"/>
        </w:pBdr>
        <w:ind w:left="567" w:right="567"/>
        <w:rPr>
          <w:rFonts w:ascii="Cambria" w:eastAsia="Cambria" w:hAnsi="Cambria" w:cs="Cambria"/>
          <w:color w:val="000000"/>
          <w:sz w:val="18"/>
          <w:szCs w:val="18"/>
        </w:rPr>
      </w:pPr>
      <w:r>
        <w:rPr>
          <w:rFonts w:ascii="Cambria" w:eastAsia="Cambria" w:hAnsi="Cambria" w:cs="Cambria"/>
          <w:color w:val="000000"/>
          <w:sz w:val="18"/>
          <w:szCs w:val="18"/>
        </w:rPr>
        <w:t xml:space="preserve">First Received: (the date you send the manuscript; </w:t>
      </w:r>
      <w:r>
        <w:rPr>
          <w:rFonts w:ascii="Cambria" w:eastAsia="Cambria" w:hAnsi="Cambria" w:cs="Cambria"/>
          <w:sz w:val="18"/>
          <w:szCs w:val="18"/>
        </w:rPr>
        <w:t>completed by editor</w:t>
      </w:r>
      <w:r>
        <w:rPr>
          <w:rFonts w:ascii="Cambria" w:eastAsia="Cambria" w:hAnsi="Cambria" w:cs="Cambria"/>
          <w:color w:val="000000"/>
          <w:sz w:val="18"/>
          <w:szCs w:val="18"/>
        </w:rPr>
        <w:t>)</w:t>
      </w:r>
    </w:p>
    <w:p w14:paraId="18B9A3FE" w14:textId="77777777" w:rsidR="005B6F54" w:rsidRDefault="00000000">
      <w:pPr>
        <w:pBdr>
          <w:top w:val="nil"/>
          <w:left w:val="nil"/>
          <w:bottom w:val="nil"/>
          <w:right w:val="nil"/>
          <w:between w:val="nil"/>
        </w:pBdr>
        <w:ind w:left="567" w:right="567"/>
        <w:rPr>
          <w:rFonts w:ascii="Cambria" w:eastAsia="Cambria" w:hAnsi="Cambria" w:cs="Cambria"/>
          <w:color w:val="000000"/>
          <w:sz w:val="18"/>
          <w:szCs w:val="18"/>
        </w:rPr>
      </w:pPr>
      <w:r>
        <w:rPr>
          <w:rFonts w:ascii="Cambria" w:eastAsia="Cambria" w:hAnsi="Cambria" w:cs="Cambria"/>
          <w:color w:val="000000"/>
          <w:sz w:val="18"/>
          <w:szCs w:val="18"/>
        </w:rPr>
        <w:t xml:space="preserve">Final Proof Received: (the date you send the final version; </w:t>
      </w:r>
      <w:r>
        <w:rPr>
          <w:rFonts w:ascii="Cambria" w:eastAsia="Cambria" w:hAnsi="Cambria" w:cs="Cambria"/>
          <w:sz w:val="18"/>
          <w:szCs w:val="18"/>
        </w:rPr>
        <w:t>completed by editor</w:t>
      </w:r>
      <w:r>
        <w:rPr>
          <w:rFonts w:ascii="Cambria" w:eastAsia="Cambria" w:hAnsi="Cambria" w:cs="Cambria"/>
          <w:color w:val="000000"/>
          <w:sz w:val="18"/>
          <w:szCs w:val="18"/>
        </w:rPr>
        <w:t xml:space="preserve">) </w:t>
      </w:r>
    </w:p>
    <w:p w14:paraId="24D50218" w14:textId="77777777" w:rsidR="005B6F54" w:rsidRDefault="005B6F54">
      <w:pPr>
        <w:pBdr>
          <w:top w:val="nil"/>
          <w:left w:val="nil"/>
          <w:bottom w:val="nil"/>
          <w:right w:val="nil"/>
          <w:between w:val="nil"/>
        </w:pBdr>
        <w:rPr>
          <w:rFonts w:ascii="Cambria" w:eastAsia="Cambria" w:hAnsi="Cambria" w:cs="Cambria"/>
          <w:color w:val="000000"/>
        </w:rPr>
      </w:pPr>
    </w:p>
    <w:p w14:paraId="1ABE1CC0" w14:textId="77777777" w:rsidR="005B6F54" w:rsidRDefault="005B6F54">
      <w:pPr>
        <w:pBdr>
          <w:top w:val="nil"/>
          <w:left w:val="nil"/>
          <w:bottom w:val="nil"/>
          <w:right w:val="nil"/>
          <w:between w:val="nil"/>
        </w:pBdr>
        <w:rPr>
          <w:rFonts w:ascii="Cambria" w:eastAsia="Cambria" w:hAnsi="Cambria" w:cs="Cambria"/>
          <w:color w:val="000000"/>
        </w:rPr>
        <w:sectPr w:rsidR="005B6F54">
          <w:headerReference w:type="even" r:id="rId8"/>
          <w:headerReference w:type="default" r:id="rId9"/>
          <w:pgSz w:w="11906" w:h="16838"/>
          <w:pgMar w:top="1440" w:right="1134" w:bottom="1440" w:left="1440" w:header="709" w:footer="709" w:gutter="0"/>
          <w:pgNumType w:start="1"/>
          <w:cols w:space="720"/>
        </w:sectPr>
      </w:pPr>
    </w:p>
    <w:p w14:paraId="0A61B6EA" w14:textId="078098C5" w:rsidR="005B6F54" w:rsidRDefault="00000000">
      <w:pPr>
        <w:pBdr>
          <w:top w:val="nil"/>
          <w:left w:val="nil"/>
          <w:bottom w:val="nil"/>
          <w:right w:val="nil"/>
          <w:between w:val="nil"/>
        </w:pBdr>
        <w:rPr>
          <w:rFonts w:ascii="Cambria" w:eastAsia="Cambria" w:hAnsi="Cambria" w:cs="Cambria"/>
          <w:b/>
          <w:color w:val="000000"/>
        </w:rPr>
      </w:pPr>
      <w:r>
        <w:rPr>
          <w:rFonts w:ascii="Cambria" w:eastAsia="Cambria" w:hAnsi="Cambria" w:cs="Cambria"/>
          <w:b/>
          <w:color w:val="000000"/>
        </w:rPr>
        <w:t xml:space="preserve">INTRODUCTION </w:t>
      </w:r>
    </w:p>
    <w:p w14:paraId="11585EF3" w14:textId="77777777" w:rsidR="00926697" w:rsidRPr="00926697" w:rsidRDefault="00926697" w:rsidP="00926697">
      <w:pPr>
        <w:spacing w:line="276" w:lineRule="auto"/>
        <w:ind w:firstLine="426"/>
        <w:rPr>
          <w:rFonts w:ascii="Cambria" w:hAnsi="Cambria"/>
        </w:rPr>
      </w:pPr>
      <w:r w:rsidRPr="00926697">
        <w:rPr>
          <w:rFonts w:ascii="Cambria" w:hAnsi="Cambria"/>
        </w:rPr>
        <w:t>The global spread of English is often celebrated as a sign of linguistic openness and global interconnectedness. However, this optimistic view tends to overlook the persistent hierarchy that privileges certain native accents while marginalizing other varieties of English (Kachru, 1992). Indonesian English (IE), although not officially codified like Singaporean or Indian English, provides a compelling example of this dynamic. Shaped by Indonesia's complex postcolonial history and its rich linguistic diversity, encompassing over 700 local languages (Hamied, 2012), IE exists primarily as a foreign language rather than a second language. Despite this, recent scholarship increasingly acknowledges the legitimacy of diverse English varieties beyond traditional centers (Jenkins, 2009). Nevertheless, attitudes toward IE remain conflicted. Institutional rhetoric may cautiously support linguistic diversity, yet everyday interactions often reveal deep-seated biases against Indonesian-</w:t>
      </w:r>
      <w:r w:rsidRPr="00926697">
        <w:rPr>
          <w:rFonts w:ascii="Cambria" w:hAnsi="Cambria"/>
        </w:rPr>
        <w:lastRenderedPageBreak/>
        <w:t>accented English, frequently justified by claims of intelligibility. This paper argues that discussions about IE pronunciation are not merely technical phonetic debates but reflect deeper tensions between colonial language ideologies and Indonesia's ongoing efforts to assert its intellectual and cultural autonomy within global knowledge systems.</w:t>
      </w:r>
    </w:p>
    <w:p w14:paraId="063F5D62" w14:textId="77777777" w:rsidR="00926697" w:rsidRPr="00926697" w:rsidRDefault="00926697" w:rsidP="00926697">
      <w:pPr>
        <w:spacing w:line="276" w:lineRule="auto"/>
        <w:ind w:firstLine="426"/>
        <w:rPr>
          <w:rFonts w:ascii="Cambria" w:hAnsi="Cambria"/>
        </w:rPr>
      </w:pPr>
      <w:r w:rsidRPr="00926697">
        <w:rPr>
          <w:rFonts w:ascii="Cambria" w:hAnsi="Cambria"/>
        </w:rPr>
        <w:t>Indonesia's strategic use of English as a means of global integration is widely recognized (Kirkpatrick, 2012). Nevertheless, language policies and educational practices continue to reflect native-speakerism, an ideology deeply embedded in colonial linguistic hierarchies (Phillipson, 1992). Schools typically enforce British or American pronunciation norms, media portray accentless English as prestigious, and employers favor individuals who minimize Indonesian phonological characteristics (Silalahi &amp; Widianingtyas, 2022). Such practices contribute to linguistic insecurity among Indonesians, creating a detrimental cycle that undermines the nation's cultural independence. Despite its lack of formal recognition and codification, IE undeniably exists and warrants scholarly attention, not only as a linguistic phenomenon but also as a reflection of broader socio-cultural dynamics.</w:t>
      </w:r>
    </w:p>
    <w:p w14:paraId="47EE288E" w14:textId="77777777" w:rsidR="00926697" w:rsidRPr="00926697" w:rsidRDefault="00926697" w:rsidP="00926697">
      <w:pPr>
        <w:spacing w:line="276" w:lineRule="auto"/>
        <w:ind w:firstLine="426"/>
        <w:rPr>
          <w:rFonts w:ascii="Cambria" w:hAnsi="Cambria"/>
        </w:rPr>
      </w:pPr>
      <w:r w:rsidRPr="00926697">
        <w:rPr>
          <w:rFonts w:ascii="Cambria" w:hAnsi="Cambria"/>
        </w:rPr>
        <w:t>Despite extensive research on Indonesian English (IE), scholars have overlooked a critical dimension: accent discrimination is not merely a linguistic debate but a moral issue rooted in colonial hierarchies. Lowenberg’s (1991) identification of IE’s phonological traits—such as shortened vowels or dropped final consonants—reveals systematic patterns shaped by Indonesia’s multilingual landscape. Yet, unlike codified varieties, IE’s lack of institutional recognition allows its features to be weaponized as “errors” rather than acknowledged as markers of a legitimate, albeit emergent, variety. Crucially, even codified Englishes face stigmatization (e.g., Indian English accents mocked in Western media), proving that codification alone cannot dismantle native-speakerism. The humiliation of an IE-speaking academic at an international conference or the Jakarta professional barred from global opportunities exemplifies how critiques of IE are rarely about intelligibility. Instead, they reflect a colonial logic that equates proximity to Anglo norms with competence and morality. While Kachru’s World Englishes framework (1992) legitimized institutionalized varieties, its silence on uncodified Englishes like IE perpetuates the myth that legitimacy requires Western-sanctioned codification. Thus, the devaluation of IE underscores a broader truth: linguistic imperialism thrives not only through codification’s gatekeeping but also through the systemic erasure of Englishes that dare to exist outside its bounds.</w:t>
      </w:r>
    </w:p>
    <w:p w14:paraId="1696B305" w14:textId="77777777" w:rsidR="00926697" w:rsidRPr="00926697" w:rsidRDefault="00926697" w:rsidP="00926697">
      <w:pPr>
        <w:spacing w:line="276" w:lineRule="auto"/>
        <w:ind w:firstLine="426"/>
        <w:rPr>
          <w:rFonts w:ascii="Cambria" w:hAnsi="Cambria"/>
        </w:rPr>
      </w:pPr>
      <w:r w:rsidRPr="00926697">
        <w:rPr>
          <w:rFonts w:ascii="Cambria" w:hAnsi="Cambria"/>
        </w:rPr>
        <w:t>The colonial logic underpinning accent discrimination has tangible consequences.</w:t>
      </w:r>
      <w:r w:rsidRPr="00926697">
        <w:rPr>
          <w:rFonts w:ascii="Cambria" w:hAnsi="Cambria"/>
          <w:i/>
          <w:iCs/>
        </w:rPr>
        <w:t xml:space="preserve"> </w:t>
      </w:r>
      <w:r w:rsidRPr="00926697">
        <w:rPr>
          <w:rFonts w:ascii="Cambria" w:hAnsi="Cambria"/>
        </w:rPr>
        <w:t>Studies have shown that Indonesian English speakers face discrimination in academic and professional settings, often being perceived as less competent or professional due to their accents rather than their actual linguistic ability (Irham et al., 2022; Sultana et al., 2023). In global academia, Indonesian lecturers with noticeable accents are often overlooked for leadership roles and international collaborations (Irham et al., 2022). Similarly, research on professional settings reveals that accent bias limits career progression, with non-native English speakers receiving fewer promotions and lower salaries despite their qualifications (Sultana et al., 2023; Pekerti &amp; Okimoto, 2023). When institutions label accents like IE as unintelligible, they reinforce hierarchies that privilege certain voices over others. Thus, linguistic justice involves more than documenting phonetic differences—it requires dismantling the harmful assumption that empathy and respect must be earned through conformity to dominant phonological norms.</w:t>
      </w:r>
    </w:p>
    <w:p w14:paraId="2E5E7BB8" w14:textId="77777777" w:rsidR="00926697" w:rsidRPr="00926697" w:rsidRDefault="00926697" w:rsidP="00926697">
      <w:pPr>
        <w:spacing w:line="276" w:lineRule="auto"/>
        <w:ind w:firstLine="426"/>
        <w:rPr>
          <w:rFonts w:ascii="Cambria" w:hAnsi="Cambria"/>
        </w:rPr>
      </w:pPr>
      <w:r w:rsidRPr="00926697">
        <w:rPr>
          <w:rFonts w:ascii="Cambria" w:hAnsi="Cambria"/>
        </w:rPr>
        <w:t xml:space="preserve">The importance of this issue is profound. As Indonesia increasingly participates in global conversations, the Indonesian English (IE) accent becomes central to discussions about linguistic identity in a postcolonial context. Should speakers adapt to external phonetic standards, or does the pluricentric nature of English require listeners to adjust their expectations? This analysis moves beyond the simplistic binary of intelligibility versus authenticity, critically examining prevailing </w:t>
      </w:r>
      <w:r w:rsidRPr="00926697">
        <w:rPr>
          <w:rFonts w:ascii="Cambria" w:hAnsi="Cambria"/>
        </w:rPr>
        <w:lastRenderedPageBreak/>
        <w:t>accent ideologies. A deeper exploration of sociolinguistic attitudes shows that recognizing IE as a valid variety is not just defensible but ethically necessary, challenging neoliberal assumptions that equate global communication with linguistic uniformity.</w:t>
      </w:r>
    </w:p>
    <w:p w14:paraId="79BCFE75" w14:textId="77777777" w:rsidR="00926697" w:rsidRPr="00926697" w:rsidRDefault="00926697" w:rsidP="00926697">
      <w:pPr>
        <w:spacing w:after="240" w:line="276" w:lineRule="auto"/>
        <w:ind w:firstLine="426"/>
        <w:rPr>
          <w:rFonts w:ascii="Cambria" w:hAnsi="Cambria"/>
        </w:rPr>
      </w:pPr>
      <w:r w:rsidRPr="00926697">
        <w:rPr>
          <w:rFonts w:ascii="Cambria" w:hAnsi="Cambria"/>
        </w:rPr>
        <w:t>Exploring the intersections of power, perception, and phonology, this commentary positions Indonesian English not as a deficiency to correct but as a vibrant dialect worthy of acknowledgment. The ongoing marginalization of IE extends beyond mere intelligibility issues, reflecting broader social hierarchies that determine whose voices are amplified and respected. Addressing these biases requires more than superficial pronunciation adjustments; it demands a fundamental reimagining of linguistic legitimacy. Genuine linguistic justice begins when institutions prioritize communicative empathy over phonetic conformity—when classrooms teach English as a tool for connection, not a marker of status, and when employers recognize multilingualism as intellectual labor. Only then can the vibrant diversity of Englishes like IE be celebrated as a reflection of Indonesia’s cultural autonomy, rather than erased as a deviation from colonial norms.</w:t>
      </w:r>
    </w:p>
    <w:p w14:paraId="627ACCAE" w14:textId="77777777" w:rsidR="00926697" w:rsidRPr="00926697" w:rsidRDefault="00926697" w:rsidP="00926697">
      <w:pPr>
        <w:pStyle w:val="Standard"/>
        <w:spacing w:after="0" w:line="276" w:lineRule="auto"/>
        <w:rPr>
          <w:rFonts w:ascii="Cambria" w:eastAsia="Book Antiqua" w:hAnsi="Cambria" w:cs="Times New Roman"/>
          <w:b/>
        </w:rPr>
      </w:pPr>
      <w:r w:rsidRPr="00926697">
        <w:rPr>
          <w:rFonts w:ascii="Cambria" w:eastAsia="Book Antiqua" w:hAnsi="Cambria" w:cs="Times New Roman"/>
          <w:b/>
        </w:rPr>
        <w:t xml:space="preserve">World </w:t>
      </w:r>
      <w:proofErr w:type="spellStart"/>
      <w:r w:rsidRPr="00926697">
        <w:rPr>
          <w:rFonts w:ascii="Cambria" w:eastAsia="Book Antiqua" w:hAnsi="Cambria" w:cs="Times New Roman"/>
          <w:b/>
        </w:rPr>
        <w:t>Englishes</w:t>
      </w:r>
      <w:proofErr w:type="spellEnd"/>
      <w:r w:rsidRPr="00926697">
        <w:rPr>
          <w:rFonts w:ascii="Cambria" w:eastAsia="Book Antiqua" w:hAnsi="Cambria" w:cs="Times New Roman"/>
          <w:b/>
        </w:rPr>
        <w:t xml:space="preserve"> and the </w:t>
      </w:r>
      <w:proofErr w:type="spellStart"/>
      <w:r w:rsidRPr="00926697">
        <w:rPr>
          <w:rFonts w:ascii="Cambria" w:eastAsia="Book Antiqua" w:hAnsi="Cambria" w:cs="Times New Roman"/>
          <w:b/>
        </w:rPr>
        <w:t>Pluricentricity</w:t>
      </w:r>
      <w:proofErr w:type="spellEnd"/>
      <w:r w:rsidRPr="00926697">
        <w:rPr>
          <w:rFonts w:ascii="Cambria" w:eastAsia="Book Antiqua" w:hAnsi="Cambria" w:cs="Times New Roman"/>
          <w:b/>
        </w:rPr>
        <w:t xml:space="preserve"> of English</w:t>
      </w:r>
    </w:p>
    <w:p w14:paraId="1C0B2AEC"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World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xml:space="preserve"> framework, introduced by Kachru (1992), provides a foundational lens for understanding IE as part of the Expanding Circle of English. Kachru’s Three Circles Model challenges the hegemony of Inner Circle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xml:space="preserve"> (e.g., American, British) by emphasizing the legitimacy of Outer and Expanding Circle varieties. Jenkins (2009) further critiques the dominance of native-speaker norms, proposing the Lingua Franca Core (LFC) as a model for global communication that prioritizes mutual intelligibility over adherence to native accents. Schneider’s (2007) Dynamic Model of Postcolonial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xml:space="preserve"> adds another layer, highlighting how postcolonial varieties evolve through phases of identity construction and linguistic </w:t>
      </w:r>
      <w:proofErr w:type="spellStart"/>
      <w:r w:rsidRPr="00926697">
        <w:rPr>
          <w:rFonts w:ascii="Cambria" w:eastAsia="Book Antiqua" w:hAnsi="Cambria" w:cs="Times New Roman"/>
        </w:rPr>
        <w:t>nativization</w:t>
      </w:r>
      <w:proofErr w:type="spellEnd"/>
      <w:r w:rsidRPr="00926697">
        <w:rPr>
          <w:rFonts w:ascii="Cambria" w:eastAsia="Book Antiqua" w:hAnsi="Cambria" w:cs="Times New Roman"/>
        </w:rPr>
        <w:t>.</w:t>
      </w:r>
    </w:p>
    <w:p w14:paraId="737A4EF0"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In the Indonesian context, Lauder (2008) examines the role of English as a postcolonial language, noting its dual function as a tool for global engagement and a source of cultural ambivalence. Recent studies, such as those by UGM Press (2023) and Zahro (2019), argue for the recognition of IE as a legitimate variety, emphasizing its functional intelligibility in global settings. However, Southeast Asian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xml:space="preserve">, including IE, remain underrepresented in WE research compared to South Asian and African varieties. </w:t>
      </w:r>
    </w:p>
    <w:p w14:paraId="363337A9"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conceptualization of English as </w:t>
      </w:r>
      <w:proofErr w:type="spellStart"/>
      <w:r w:rsidRPr="00926697">
        <w:rPr>
          <w:rFonts w:ascii="Cambria" w:eastAsia="Book Antiqua" w:hAnsi="Cambria" w:cs="Times New Roman"/>
        </w:rPr>
        <w:t>pluricentric</w:t>
      </w:r>
      <w:proofErr w:type="spellEnd"/>
      <w:r w:rsidRPr="00926697">
        <w:rPr>
          <w:rFonts w:ascii="Cambria" w:eastAsia="Book Antiqua" w:hAnsi="Cambria" w:cs="Times New Roman"/>
        </w:rPr>
        <w:t xml:space="preserve"> has gained further momentum through Pennycook's (2007) notion of Global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which emphasizes how English is constantly being remade through local appropriations and adaptations. In Indonesia, this process is evident in the way English has been indigenized with distinctive phonological features, such as the tendency toward syllable-timing rather than stress-timing, and the substitution of certain consonant sounds (</w:t>
      </w:r>
      <w:proofErr w:type="spellStart"/>
      <w:r w:rsidRPr="00926697">
        <w:rPr>
          <w:rFonts w:ascii="Cambria" w:eastAsia="Book Antiqua" w:hAnsi="Cambria" w:cs="Times New Roman"/>
        </w:rPr>
        <w:t>Dardjowidjojo</w:t>
      </w:r>
      <w:proofErr w:type="spellEnd"/>
      <w:r w:rsidRPr="00926697">
        <w:rPr>
          <w:rFonts w:ascii="Cambria" w:eastAsia="Book Antiqua" w:hAnsi="Cambria" w:cs="Times New Roman"/>
        </w:rPr>
        <w:t>, 2000). These linguistic adaptations reflect not merely "errors" or "deviations" from standard norms, but rather creative processes of language localization that serve communicative functions specific to the Indonesian context. Blommaert (2010) reinforces this perspective by arguing that languages are mobile resources that are constantly being reshaped by their users across different scales and contexts, challenging traditional notions of linguistic purity and correctness.</w:t>
      </w:r>
    </w:p>
    <w:p w14:paraId="65EB2C94"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legitimacy of Indonesian English must also be considered within broader geopolitical shifts in the ownership of English. </w:t>
      </w:r>
      <w:proofErr w:type="spellStart"/>
      <w:r w:rsidRPr="00926697">
        <w:rPr>
          <w:rFonts w:ascii="Cambria" w:eastAsia="Book Antiqua" w:hAnsi="Cambria" w:cs="Times New Roman"/>
        </w:rPr>
        <w:t>Canagarajah</w:t>
      </w:r>
      <w:proofErr w:type="spellEnd"/>
      <w:r w:rsidRPr="00926697">
        <w:rPr>
          <w:rFonts w:ascii="Cambria" w:eastAsia="Book Antiqua" w:hAnsi="Cambria" w:cs="Times New Roman"/>
        </w:rPr>
        <w:t xml:space="preserve"> (2013) proposes that in today's globalized world, multilingual speakers routinely engage in translanguaging practices that blur the boundaries between discrete languages. For Indonesian speakers, this manifests in the strategic deployment of English resources alongside Bahasa Indonesia and regional languages, creating hybrid linguistic repertoires that reflect complex multilingual identities. Kirkpatrick's (2012) work on ASEAN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xml:space="preserve"> further validates this perspective, suggesting that within Southeast Asia, regional varieties of English serve as effective lingua </w:t>
      </w:r>
      <w:proofErr w:type="spellStart"/>
      <w:r w:rsidRPr="00926697">
        <w:rPr>
          <w:rFonts w:ascii="Cambria" w:eastAsia="Book Antiqua" w:hAnsi="Cambria" w:cs="Times New Roman"/>
        </w:rPr>
        <w:t>francas</w:t>
      </w:r>
      <w:proofErr w:type="spellEnd"/>
      <w:r w:rsidRPr="00926697">
        <w:rPr>
          <w:rFonts w:ascii="Cambria" w:eastAsia="Book Antiqua" w:hAnsi="Cambria" w:cs="Times New Roman"/>
        </w:rPr>
        <w:t xml:space="preserve"> that prioritize pragmatic communication over adherence </w:t>
      </w:r>
      <w:r w:rsidRPr="00926697">
        <w:rPr>
          <w:rFonts w:ascii="Cambria" w:eastAsia="Book Antiqua" w:hAnsi="Cambria" w:cs="Times New Roman"/>
        </w:rPr>
        <w:lastRenderedPageBreak/>
        <w:t xml:space="preserve">to </w:t>
      </w:r>
      <w:proofErr w:type="spellStart"/>
      <w:r w:rsidRPr="00926697">
        <w:rPr>
          <w:rFonts w:ascii="Cambria" w:eastAsia="Book Antiqua" w:hAnsi="Cambria" w:cs="Times New Roman"/>
        </w:rPr>
        <w:t>exonormative</w:t>
      </w:r>
      <w:proofErr w:type="spellEnd"/>
      <w:r w:rsidRPr="00926697">
        <w:rPr>
          <w:rFonts w:ascii="Cambria" w:eastAsia="Book Antiqua" w:hAnsi="Cambria" w:cs="Times New Roman"/>
        </w:rPr>
        <w:t xml:space="preserve"> standards. This challenges the assumption that Inner Circle varieties should serve as the sole reference points for language learning and assessment in Indonesian educational contexts.</w:t>
      </w:r>
    </w:p>
    <w:p w14:paraId="0A1A0FF9" w14:textId="77777777" w:rsidR="00926697" w:rsidRPr="00926697" w:rsidRDefault="00926697" w:rsidP="00926697">
      <w:pPr>
        <w:spacing w:after="240" w:line="276" w:lineRule="auto"/>
        <w:ind w:firstLine="426"/>
        <w:rPr>
          <w:rFonts w:ascii="Cambria" w:hAnsi="Cambria"/>
        </w:rPr>
      </w:pPr>
      <w:r w:rsidRPr="00926697">
        <w:rPr>
          <w:rFonts w:ascii="Cambria" w:hAnsi="Cambria"/>
        </w:rPr>
        <w:t>Furthermore, the development of Indonesian English intersects with questions of language ideology and linguistic security. Tupas and Rubdy's (2015) research on language ideologies in Southeast Asia reveals how the privileging of Inner Circle varieties often leads to linguistic insecurity among speakers of local Englishes. In Indonesia, this insecurity is compounded by educational policies that have historically emphasized American or British standards (Lauder, 2010). However, emerging research by Dewi (2018) indicates a gradual shift toward greater acceptance of IE features among younger generations, particularly in urban areas where English is increasingly integrated into popular culture and digital communication. This evolution reflects broader patterns identified by Bolton (2018), who suggests that attitudes toward local Englishes typically progress from rejection to accommodation and eventually to ownership, a trajectory that may predict increasing linguistic confidence among Indonesian English speakers in the coming decades.</w:t>
      </w:r>
    </w:p>
    <w:p w14:paraId="24E36DA5" w14:textId="77777777" w:rsidR="00926697" w:rsidRPr="00926697" w:rsidRDefault="00926697" w:rsidP="00926697">
      <w:pPr>
        <w:pStyle w:val="Standard"/>
        <w:spacing w:after="0" w:line="276" w:lineRule="auto"/>
        <w:rPr>
          <w:rFonts w:ascii="Cambria" w:eastAsia="Book Antiqua" w:hAnsi="Cambria" w:cs="Times New Roman"/>
          <w:b/>
        </w:rPr>
      </w:pPr>
      <w:r w:rsidRPr="00926697">
        <w:rPr>
          <w:rFonts w:ascii="Cambria" w:eastAsia="Book Antiqua" w:hAnsi="Cambria" w:cs="Times New Roman"/>
          <w:b/>
        </w:rPr>
        <w:t>Linguistic Imperialism and Native-Speakerism</w:t>
      </w:r>
    </w:p>
    <w:p w14:paraId="43F21088"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Phillipson’s (1992) concept of linguistic imperialism provides a critical framework for understanding the marginalization of non-native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including IE. He argues that global English education policies perpetuate the dominance of Inner Circle norms, often at the expense of local varieties. Holliday (2006) expands on this with his critique of native-speakerism, an ideology that privileges native speakers as the ideal teachers and models of English proficiency. Pennycook (1998) further deconstructs the notion of English as a “neutral” global language, revealing the power dynamics embedded in its spread.</w:t>
      </w:r>
    </w:p>
    <w:p w14:paraId="38711716"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In Indonesia, native-speakerism manifests in educational policies and practices that </w:t>
      </w:r>
      <w:proofErr w:type="spellStart"/>
      <w:r w:rsidRPr="00926697">
        <w:rPr>
          <w:rFonts w:ascii="Cambria" w:eastAsia="Book Antiqua" w:hAnsi="Cambria" w:cs="Times New Roman"/>
        </w:rPr>
        <w:t>favor</w:t>
      </w:r>
      <w:proofErr w:type="spellEnd"/>
      <w:r w:rsidRPr="00926697">
        <w:rPr>
          <w:rFonts w:ascii="Cambria" w:eastAsia="Book Antiqua" w:hAnsi="Cambria" w:cs="Times New Roman"/>
        </w:rPr>
        <w:t xml:space="preserve"> native English teachers over local educators, despite the latter’s deep understanding of the local context. Yawan and </w:t>
      </w:r>
      <w:proofErr w:type="spellStart"/>
      <w:r w:rsidRPr="00926697">
        <w:rPr>
          <w:rFonts w:ascii="Cambria" w:eastAsia="Book Antiqua" w:hAnsi="Cambria" w:cs="Times New Roman"/>
        </w:rPr>
        <w:t>Marhamah</w:t>
      </w:r>
      <w:proofErr w:type="spellEnd"/>
      <w:r w:rsidRPr="00926697">
        <w:rPr>
          <w:rFonts w:ascii="Cambria" w:eastAsia="Book Antiqua" w:hAnsi="Cambria" w:cs="Times New Roman"/>
        </w:rPr>
        <w:t xml:space="preserve"> (2024) challenge this bias, advocating for a shift toward valuing pedagogical expertise over native status. A 2023 study on YouTube comments, cited in ResearchGate, reveals the pervasive influence of native-speakerism among Indonesian learners, who often express a preference for native accents. However, few studies have explored the ethical implications of this bias, such as its impact on workplace discrimination or the self-esteem of IE speakers. </w:t>
      </w:r>
    </w:p>
    <w:p w14:paraId="658F6D20"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contestation of native-speakerism in Indonesia is further complicated by what Kubota (2016) terms the "multi/plural turn" in applied linguistics, which ostensibly celebrates linguistic diversity while often reinforcing existing hierarchies. Despite growing academic recognition of World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xml:space="preserve">, classroom practices and assessment criteria in Indonesian educational institutions continue to privilege Inner Circle pronunciation norms (Widodo, 2018). This disconnect between theory and practice creates what </w:t>
      </w:r>
      <w:proofErr w:type="spellStart"/>
      <w:r w:rsidRPr="00926697">
        <w:rPr>
          <w:rFonts w:ascii="Cambria" w:eastAsia="Book Antiqua" w:hAnsi="Cambria" w:cs="Times New Roman"/>
        </w:rPr>
        <w:t>Kumaravadivelu</w:t>
      </w:r>
      <w:proofErr w:type="spellEnd"/>
      <w:r w:rsidRPr="00926697">
        <w:rPr>
          <w:rFonts w:ascii="Cambria" w:eastAsia="Book Antiqua" w:hAnsi="Cambria" w:cs="Times New Roman"/>
        </w:rPr>
        <w:t xml:space="preserve"> (2016) describes as "epistemic injustice," wherein Indonesian English teachers' professional knowledge is systematically devalued in </w:t>
      </w:r>
      <w:proofErr w:type="spellStart"/>
      <w:r w:rsidRPr="00926697">
        <w:rPr>
          <w:rFonts w:ascii="Cambria" w:eastAsia="Book Antiqua" w:hAnsi="Cambria" w:cs="Times New Roman"/>
        </w:rPr>
        <w:t>favor</w:t>
      </w:r>
      <w:proofErr w:type="spellEnd"/>
      <w:r w:rsidRPr="00926697">
        <w:rPr>
          <w:rFonts w:ascii="Cambria" w:eastAsia="Book Antiqua" w:hAnsi="Cambria" w:cs="Times New Roman"/>
        </w:rPr>
        <w:t xml:space="preserve"> of imported methodologies and materials. Munandar and Newton (2021) document how this phenomenon manifests in Indonesian universities, where hiring committees frequently prioritize foreign credentials over local expertise, reinforcing what Hino (2018) calls the "native speaker fallacy" – the unsubstantiated belief that native speakers inherently make better language teachers.</w:t>
      </w:r>
    </w:p>
    <w:p w14:paraId="4A5A3F10"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economic dimensions of linguistic imperialism in Indonesia warrant particular attention, as they intersect with broader neoliberal forces in education. According to Setiawan (2021), the commodification of English in Indonesia has created a two-tier market where native-speaker English is positioned as a premium product, commanding higher fees and greater prestige than locally-produced alternatives. Private language schools prominently feature white native speakers in their marketing materials, perpetuating what Ruecker and Ives (2015) term "racial commodification" in TESOL. This commercialization extends beyond language education to professional domains, where </w:t>
      </w:r>
      <w:proofErr w:type="spellStart"/>
      <w:r w:rsidRPr="00926697">
        <w:rPr>
          <w:rFonts w:ascii="Cambria" w:eastAsia="Book Antiqua" w:hAnsi="Cambria" w:cs="Times New Roman"/>
        </w:rPr>
        <w:lastRenderedPageBreak/>
        <w:t>Wijayanto</w:t>
      </w:r>
      <w:proofErr w:type="spellEnd"/>
      <w:r w:rsidRPr="00926697">
        <w:rPr>
          <w:rFonts w:ascii="Cambria" w:eastAsia="Book Antiqua" w:hAnsi="Cambria" w:cs="Times New Roman"/>
        </w:rPr>
        <w:t xml:space="preserve"> (2022) found that job advertisements in multinational corporations operating in Indonesia often specify "native-like English" as a requirement, effectively discriminating against qualified local professionals whose English reflects Indonesian phonological patterns. These practices contribute to what Mahboob (2020) describes as the "linguistic caste system" that systematically disadvantages speakers of non-prestigious varieties.</w:t>
      </w:r>
    </w:p>
    <w:p w14:paraId="03322BDF" w14:textId="77777777" w:rsidR="00926697" w:rsidRPr="00926697" w:rsidRDefault="00926697" w:rsidP="00926697">
      <w:pPr>
        <w:spacing w:after="240" w:line="276" w:lineRule="auto"/>
        <w:ind w:firstLine="426"/>
        <w:rPr>
          <w:rFonts w:ascii="Cambria" w:hAnsi="Cambria"/>
        </w:rPr>
      </w:pPr>
      <w:r w:rsidRPr="00926697">
        <w:rPr>
          <w:rFonts w:ascii="Cambria" w:hAnsi="Cambria"/>
        </w:rPr>
        <w:t>Resistance to linguistic imperialism is, however, emerging across various domains in Indonesia. Darvin and Norton's (2015) investment theory helps explain how some Indonesian English users are reclaiming ownership of English by strategically deploying their multilingual resources as forms of linguistic capital. Social media platforms have become significant sites of this resistance, with Indonesian content creators deliberately incorporating features of IE into their English-language content as expressions of cultural authenticity (Dewi &amp; Eka, 2020). Within higher education, several Indonesian universities have begun developing assessment tools that recognize the distinctive features of Indonesian English while maintaining standards of international intelligibility (Suwandi &amp; Tan, 2023). These initiatives align with what Canagarajah (2022) terms "translingual practice," wherein language users negotiate communication across difference rather than striving for native-like performance. Such grassroots movements suggest the potential for what Honna (2018) calls "de-Anglo-Americanization" of English education in Southeast Asia, a process that could ultimately lead to greater recognition of IE's legitimacy in both local and global contexts.</w:t>
      </w:r>
    </w:p>
    <w:p w14:paraId="36C9C26F" w14:textId="77777777" w:rsidR="00926697" w:rsidRPr="00926697" w:rsidRDefault="00926697" w:rsidP="00926697">
      <w:pPr>
        <w:pStyle w:val="Standard"/>
        <w:spacing w:after="0" w:line="276" w:lineRule="auto"/>
        <w:rPr>
          <w:rFonts w:ascii="Cambria" w:eastAsia="Book Antiqua" w:hAnsi="Cambria" w:cs="Times New Roman"/>
          <w:b/>
        </w:rPr>
      </w:pPr>
      <w:r w:rsidRPr="00926697">
        <w:rPr>
          <w:rFonts w:ascii="Cambria" w:eastAsia="Book Antiqua" w:hAnsi="Cambria" w:cs="Times New Roman"/>
          <w:b/>
        </w:rPr>
        <w:t>Accent Bias and Intelligibility</w:t>
      </w:r>
    </w:p>
    <w:p w14:paraId="7534ED8C"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Accent bias is a significant barrier to the acceptance of IE in global contexts. Lippi-Green’s (2012) work on language subordination highlights how accent stigma perpetuates social hierarchies, often leading to discrimination against non-native speakers. </w:t>
      </w:r>
      <w:proofErr w:type="spellStart"/>
      <w:r w:rsidRPr="00926697">
        <w:rPr>
          <w:rFonts w:ascii="Cambria" w:eastAsia="Book Antiqua" w:hAnsi="Cambria" w:cs="Times New Roman"/>
        </w:rPr>
        <w:t>Derwing</w:t>
      </w:r>
      <w:proofErr w:type="spellEnd"/>
      <w:r w:rsidRPr="00926697">
        <w:rPr>
          <w:rFonts w:ascii="Cambria" w:eastAsia="Book Antiqua" w:hAnsi="Cambria" w:cs="Times New Roman"/>
        </w:rPr>
        <w:t xml:space="preserve"> and Munro (2009) challenge the assumption that intelligibility requires native-like pronunciation, emphasizing the role of listener adaptation in successful communication. Jenkins (2000) builds on this with her Lingua Franca Core, which identifies key pronunciation features necessary for mutual intelligibility while allowing for regional variation.</w:t>
      </w:r>
    </w:p>
    <w:p w14:paraId="0A8A00CF"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In the case of IE, Zahro (2019) found that both native and non-native listeners rate IE accents as intelligible when pronunciation is clear. However, much of the existing research focuses on L1 listeners, neglecting the importance of mutual adaptation in global communication. Research on accent bias has been further enriched by Lindemann's (2005) concept of attitudinal gatekeeping, wherein listeners' negative attitudes toward certain accents can lead to comprehension breakdowns even when the speech is objectively intelligible. In the Indonesian context, </w:t>
      </w:r>
      <w:proofErr w:type="spellStart"/>
      <w:r w:rsidRPr="00926697">
        <w:rPr>
          <w:rFonts w:ascii="Cambria" w:eastAsia="Book Antiqua" w:hAnsi="Cambria" w:cs="Times New Roman"/>
        </w:rPr>
        <w:t>Mustajib</w:t>
      </w:r>
      <w:proofErr w:type="spellEnd"/>
      <w:r w:rsidRPr="00926697">
        <w:rPr>
          <w:rFonts w:ascii="Cambria" w:eastAsia="Book Antiqua" w:hAnsi="Cambria" w:cs="Times New Roman"/>
        </w:rPr>
        <w:t xml:space="preserve"> and Wijaya (2022) documented how foreign interlocutors sometimes claim incomprehension of IE despite demonstrable linguistic clarity, suggesting that psychological rather than linguistic factors may be at play. This aligns with Kang and Rubin's (2009) work on "reverse linguistic stereotyping," which demonstrates how visual cues about a speaker's ethnicity can negatively impact listeners' perception of accent, regardless of actual pronunciation. For Indonesian professionals in international settings, these phenomena can create what Moyer (2013) terms an "accent ceiling," limiting career advancement despite linguistic competence.</w:t>
      </w:r>
    </w:p>
    <w:p w14:paraId="6B4DBCDE"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The relationship between accent and intelligibility must also be considered within the framework of listener responsibility. Baese-Berk and Bradlow (2018) challenge the traditional speaker-</w:t>
      </w:r>
      <w:proofErr w:type="spellStart"/>
      <w:r w:rsidRPr="00926697">
        <w:rPr>
          <w:rFonts w:ascii="Cambria" w:eastAsia="Book Antiqua" w:hAnsi="Cambria" w:cs="Times New Roman"/>
        </w:rPr>
        <w:t>centered</w:t>
      </w:r>
      <w:proofErr w:type="spellEnd"/>
      <w:r w:rsidRPr="00926697">
        <w:rPr>
          <w:rFonts w:ascii="Cambria" w:eastAsia="Book Antiqua" w:hAnsi="Cambria" w:cs="Times New Roman"/>
        </w:rPr>
        <w:t xml:space="preserve"> approach to intelligibility, arguing instead for a dynamic model wherein communication is co-constructed by both speakers and listeners. Their research suggests that exposure to diverse accents increases listeners' perceptual flexibility, potentially reducing bias against IE and other non-native varieties. This perspective is supported by Hardman's (2021) findings that international students at Indonesian universities initially struggle with local English </w:t>
      </w:r>
      <w:r w:rsidRPr="00926697">
        <w:rPr>
          <w:rFonts w:ascii="Cambria" w:eastAsia="Book Antiqua" w:hAnsi="Cambria" w:cs="Times New Roman"/>
        </w:rPr>
        <w:lastRenderedPageBreak/>
        <w:t>accents but develop adaptive strategies over time, resulting in improved comprehension and reduced negative evaluations. Such evidence contradicts the assumption that speakers of IE must bear the sole burden of accommodation in international communication, pointing instead toward what Matsuda (2018) calls "mutual intelligibility responsibility."</w:t>
      </w:r>
    </w:p>
    <w:p w14:paraId="20538F48" w14:textId="77777777" w:rsidR="00926697" w:rsidRPr="00926697" w:rsidRDefault="00926697" w:rsidP="00926697">
      <w:pPr>
        <w:pStyle w:val="Standard"/>
        <w:widowControl w:val="0"/>
        <w:spacing w:line="276" w:lineRule="auto"/>
        <w:ind w:firstLine="426"/>
        <w:jc w:val="both"/>
        <w:rPr>
          <w:rFonts w:ascii="Cambria" w:eastAsia="Book Antiqua" w:hAnsi="Cambria" w:cs="Times New Roman"/>
        </w:rPr>
      </w:pPr>
      <w:r w:rsidRPr="00926697">
        <w:rPr>
          <w:rFonts w:ascii="Cambria" w:eastAsia="Book Antiqua" w:hAnsi="Cambria" w:cs="Times New Roman"/>
        </w:rPr>
        <w:t>The technological dimension of accent bias presents both challenges and opportunities for IE users. Automated speech recognition (ASR) systems, increasingly prevalent in global communication technologies, often perform poorly with non-Inner Circle accents. Rahmawati's (2023) analysis of popular voice assistants revealed significantly higher error rates for Indonesian-accented English compared to American or British accents, potentially reinforcing existing linguistic hierarchies. Conversely, Singh and Gorman (2022) argue that the growing economic importance of Southeast Asian markets is incentivizing technology companies to develop more inclusive ASR systems that recognize diverse English varieties. This shift reflects what Park and Wee (2012) describe as the "neoliberal commodification" of linguistic diversity, wherein market forces may ultimately counteract accent bias by recognizing the communicative value of varieties like IE. Such developments suggest that technological advancement could potentially democratize accent evaluation, moving beyond human biases toward more objective measures of intelligibility that acknowledge the legitimacy of IE in digital communicative contexts.</w:t>
      </w:r>
    </w:p>
    <w:p w14:paraId="40AC6FBC" w14:textId="77777777" w:rsidR="00926697" w:rsidRPr="00926697" w:rsidRDefault="00926697" w:rsidP="00926697">
      <w:pPr>
        <w:pStyle w:val="Standard"/>
        <w:spacing w:after="0" w:line="276" w:lineRule="auto"/>
        <w:rPr>
          <w:rFonts w:ascii="Cambria" w:eastAsia="Book Antiqua" w:hAnsi="Cambria" w:cs="Times New Roman"/>
          <w:b/>
        </w:rPr>
      </w:pPr>
      <w:r w:rsidRPr="00926697">
        <w:rPr>
          <w:rFonts w:ascii="Cambria" w:eastAsia="Book Antiqua" w:hAnsi="Cambria" w:cs="Times New Roman"/>
          <w:b/>
        </w:rPr>
        <w:t>Indonesian English: Features and Identity</w:t>
      </w:r>
    </w:p>
    <w:p w14:paraId="32474A14"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IE is characterized by unique phonetic, lexical, and grammatical features that reflect its local linguistic influences. </w:t>
      </w:r>
      <w:proofErr w:type="spellStart"/>
      <w:r w:rsidRPr="00926697">
        <w:rPr>
          <w:rFonts w:ascii="Cambria" w:eastAsia="Book Antiqua" w:hAnsi="Cambria" w:cs="Times New Roman"/>
        </w:rPr>
        <w:t>Sugirin</w:t>
      </w:r>
      <w:proofErr w:type="spellEnd"/>
      <w:r w:rsidRPr="00926697">
        <w:rPr>
          <w:rFonts w:ascii="Cambria" w:eastAsia="Book Antiqua" w:hAnsi="Cambria" w:cs="Times New Roman"/>
        </w:rPr>
        <w:t xml:space="preserve"> and </w:t>
      </w:r>
      <w:proofErr w:type="spellStart"/>
      <w:r w:rsidRPr="00926697">
        <w:rPr>
          <w:rFonts w:ascii="Cambria" w:eastAsia="Book Antiqua" w:hAnsi="Cambria" w:cs="Times New Roman"/>
        </w:rPr>
        <w:t>Trisnawati</w:t>
      </w:r>
      <w:proofErr w:type="spellEnd"/>
      <w:r w:rsidRPr="00926697">
        <w:rPr>
          <w:rFonts w:ascii="Cambria" w:eastAsia="Book Antiqua" w:hAnsi="Cambria" w:cs="Times New Roman"/>
        </w:rPr>
        <w:t xml:space="preserve"> (2016) provide a detailed phonetic analysis of IE, noting features such as vowel reduction and the influence of Bahasa Indonesia on stress patterns. Kirkpatrick (2012) situates IE within the ASEAN context, highlighting its role in fostering regional identity and communication. Zein (2020) critiques the marginalization of IE in Indonesian education, advocating for its inclusion in curricula as a marker of national identity.</w:t>
      </w:r>
    </w:p>
    <w:p w14:paraId="73F19F61"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proofErr w:type="spellStart"/>
      <w:r w:rsidRPr="00926697">
        <w:rPr>
          <w:rFonts w:ascii="Cambria" w:eastAsia="Book Antiqua" w:hAnsi="Cambria" w:cs="Times New Roman"/>
        </w:rPr>
        <w:t>Endarto’s</w:t>
      </w:r>
      <w:proofErr w:type="spellEnd"/>
      <w:r w:rsidRPr="00926697">
        <w:rPr>
          <w:rFonts w:ascii="Cambria" w:eastAsia="Book Antiqua" w:hAnsi="Cambria" w:cs="Times New Roman"/>
        </w:rPr>
        <w:t xml:space="preserve"> (2020) corpus-based analysis identifies distinctive lexical and grammatical features of IE, such as the use of loanwords and collocations from Bahasa Indonesia. However, qualitative studies exploring the lived experiences of IE speakers, particularly in contexts such as the workplace or education, remain scarce. Your study addresses this gap by </w:t>
      </w:r>
      <w:proofErr w:type="spellStart"/>
      <w:r w:rsidRPr="00926697">
        <w:rPr>
          <w:rFonts w:ascii="Cambria" w:eastAsia="Book Antiqua" w:hAnsi="Cambria" w:cs="Times New Roman"/>
        </w:rPr>
        <w:t>centering</w:t>
      </w:r>
      <w:proofErr w:type="spellEnd"/>
      <w:r w:rsidRPr="00926697">
        <w:rPr>
          <w:rFonts w:ascii="Cambria" w:eastAsia="Book Antiqua" w:hAnsi="Cambria" w:cs="Times New Roman"/>
        </w:rPr>
        <w:t xml:space="preserve"> personal narratives, reframing IE not as a deficient variety but as a legitimate and dignified expression of Indonesian identity.</w:t>
      </w:r>
    </w:p>
    <w:p w14:paraId="177C3C55"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phonological characteristics of Indonesian English represent more than mere "transfer errors"; they constitute a systematic </w:t>
      </w:r>
      <w:proofErr w:type="spellStart"/>
      <w:r w:rsidRPr="00926697">
        <w:rPr>
          <w:rFonts w:ascii="Cambria" w:eastAsia="Book Antiqua" w:hAnsi="Cambria" w:cs="Times New Roman"/>
        </w:rPr>
        <w:t>nativization</w:t>
      </w:r>
      <w:proofErr w:type="spellEnd"/>
      <w:r w:rsidRPr="00926697">
        <w:rPr>
          <w:rFonts w:ascii="Cambria" w:eastAsia="Book Antiqua" w:hAnsi="Cambria" w:cs="Times New Roman"/>
        </w:rPr>
        <w:t xml:space="preserve"> process that reflects Indonesia's multilingual ecology. Arka (2021) identifies suprasegmental features such as syllable-timing and reduced vowel contrasts as consistent markers of IE that persist even among advanced speakers, suggesting their role as identity markers rather than proficiency limitations. Similarly, </w:t>
      </w:r>
      <w:proofErr w:type="spellStart"/>
      <w:r w:rsidRPr="00926697">
        <w:rPr>
          <w:rFonts w:ascii="Cambria" w:eastAsia="Book Antiqua" w:hAnsi="Cambria" w:cs="Times New Roman"/>
        </w:rPr>
        <w:t>Widagsa's</w:t>
      </w:r>
      <w:proofErr w:type="spellEnd"/>
      <w:r w:rsidRPr="00926697">
        <w:rPr>
          <w:rFonts w:ascii="Cambria" w:eastAsia="Book Antiqua" w:hAnsi="Cambria" w:cs="Times New Roman"/>
        </w:rPr>
        <w:t xml:space="preserve"> (2022) acoustic analysis demonstrates that IE speakers maintain distinctive intonation patterns that align with Bahasa Indonesia's prosodic system while still achieving communicative efficiency. These findings challenge what Marlina (2014) calls the "deficit perspective" of accent variation and support </w:t>
      </w:r>
      <w:proofErr w:type="spellStart"/>
      <w:r w:rsidRPr="00926697">
        <w:rPr>
          <w:rFonts w:ascii="Cambria" w:eastAsia="Book Antiqua" w:hAnsi="Cambria" w:cs="Times New Roman"/>
        </w:rPr>
        <w:t>Canagarajah's</w:t>
      </w:r>
      <w:proofErr w:type="spellEnd"/>
      <w:r w:rsidRPr="00926697">
        <w:rPr>
          <w:rFonts w:ascii="Cambria" w:eastAsia="Book Antiqua" w:hAnsi="Cambria" w:cs="Times New Roman"/>
        </w:rPr>
        <w:t xml:space="preserve"> (2013) assertion that linguistic features serve identity functions beyond mere communication. The persistence of these features among educated Indonesian speakers of English, including those with extensive exposure to Inner Circle varieties, suggests a form of what Widdowson (2003) terms "performance resistance" – the strategic maintenance of accent features as expressions of linguistic identity.</w:t>
      </w:r>
    </w:p>
    <w:p w14:paraId="14235888"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w:t>
      </w:r>
      <w:proofErr w:type="spellStart"/>
      <w:r w:rsidRPr="00926697">
        <w:rPr>
          <w:rFonts w:ascii="Cambria" w:eastAsia="Book Antiqua" w:hAnsi="Cambria" w:cs="Times New Roman"/>
        </w:rPr>
        <w:t>lexicogrammatical</w:t>
      </w:r>
      <w:proofErr w:type="spellEnd"/>
      <w:r w:rsidRPr="00926697">
        <w:rPr>
          <w:rFonts w:ascii="Cambria" w:eastAsia="Book Antiqua" w:hAnsi="Cambria" w:cs="Times New Roman"/>
        </w:rPr>
        <w:t xml:space="preserve"> dimensions of Indonesian English reveal complex processes of linguistic creativity and cultural negotiation. </w:t>
      </w:r>
      <w:proofErr w:type="spellStart"/>
      <w:r w:rsidRPr="00926697">
        <w:rPr>
          <w:rFonts w:ascii="Cambria" w:eastAsia="Book Antiqua" w:hAnsi="Cambria" w:cs="Times New Roman"/>
        </w:rPr>
        <w:t>Bernaisch</w:t>
      </w:r>
      <w:proofErr w:type="spellEnd"/>
      <w:r w:rsidRPr="00926697">
        <w:rPr>
          <w:rFonts w:ascii="Cambria" w:eastAsia="Book Antiqua" w:hAnsi="Cambria" w:cs="Times New Roman"/>
        </w:rPr>
        <w:t xml:space="preserve"> and Lange's (2022) comparative corpus study of Southeast Asian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xml:space="preserve"> identifies distinctive collocational patterns in IE, such as the extended semantic range of certain verbs (e.g., "make" in contexts where Inner Circle varieties would use "do") </w:t>
      </w:r>
      <w:r w:rsidRPr="00926697">
        <w:rPr>
          <w:rFonts w:ascii="Cambria" w:eastAsia="Book Antiqua" w:hAnsi="Cambria" w:cs="Times New Roman"/>
        </w:rPr>
        <w:lastRenderedPageBreak/>
        <w:t xml:space="preserve">and the innovative deployment of discourse markers. Such features exemplify what Schneider (2018) calls "contact-induced innovation" rather than simplification or reduction. At the discourse level, </w:t>
      </w:r>
      <w:proofErr w:type="spellStart"/>
      <w:r w:rsidRPr="00926697">
        <w:rPr>
          <w:rFonts w:ascii="Cambria" w:eastAsia="Book Antiqua" w:hAnsi="Cambria" w:cs="Times New Roman"/>
        </w:rPr>
        <w:t>Budiwiyanto</w:t>
      </w:r>
      <w:proofErr w:type="spellEnd"/>
      <w:r w:rsidRPr="00926697">
        <w:rPr>
          <w:rFonts w:ascii="Cambria" w:eastAsia="Book Antiqua" w:hAnsi="Cambria" w:cs="Times New Roman"/>
        </w:rPr>
        <w:t xml:space="preserve"> and </w:t>
      </w:r>
      <w:proofErr w:type="spellStart"/>
      <w:r w:rsidRPr="00926697">
        <w:rPr>
          <w:rFonts w:ascii="Cambria" w:eastAsia="Book Antiqua" w:hAnsi="Cambria" w:cs="Times New Roman"/>
        </w:rPr>
        <w:t>Suhardijanto</w:t>
      </w:r>
      <w:proofErr w:type="spellEnd"/>
      <w:r w:rsidRPr="00926697">
        <w:rPr>
          <w:rFonts w:ascii="Cambria" w:eastAsia="Book Antiqua" w:hAnsi="Cambria" w:cs="Times New Roman"/>
        </w:rPr>
        <w:t xml:space="preserve"> (2020) document how IE incorporates Indonesian cultural concepts through semantic loans and calques, creating what Friedrich and Matsuda (2010) term "linguacultural hybridity." These practices allow Indonesian speakers to index their cultural identities while participating in global discourse communities, challenging Phillipson's (2009) concern that English use necessarily entails cultural assimilation. As Zacharias (2021) argues, these </w:t>
      </w:r>
      <w:proofErr w:type="spellStart"/>
      <w:r w:rsidRPr="00926697">
        <w:rPr>
          <w:rFonts w:ascii="Cambria" w:eastAsia="Book Antiqua" w:hAnsi="Cambria" w:cs="Times New Roman"/>
        </w:rPr>
        <w:t>lexicogrammatical</w:t>
      </w:r>
      <w:proofErr w:type="spellEnd"/>
      <w:r w:rsidRPr="00926697">
        <w:rPr>
          <w:rFonts w:ascii="Cambria" w:eastAsia="Book Antiqua" w:hAnsi="Cambria" w:cs="Times New Roman"/>
        </w:rPr>
        <w:t xml:space="preserve"> adaptations represent not deviation but creative extension of the language's communicative potential.</w:t>
      </w:r>
    </w:p>
    <w:p w14:paraId="2B08101B" w14:textId="77777777" w:rsidR="00926697" w:rsidRPr="00926697" w:rsidRDefault="00926697" w:rsidP="00926697">
      <w:pPr>
        <w:pStyle w:val="Standard"/>
        <w:widowControl w:val="0"/>
        <w:spacing w:line="276" w:lineRule="auto"/>
        <w:ind w:firstLine="426"/>
        <w:jc w:val="both"/>
        <w:rPr>
          <w:rFonts w:ascii="Cambria" w:eastAsia="Book Antiqua" w:hAnsi="Cambria" w:cs="Times New Roman"/>
        </w:rPr>
      </w:pPr>
      <w:r w:rsidRPr="00926697">
        <w:rPr>
          <w:rFonts w:ascii="Cambria" w:eastAsia="Book Antiqua" w:hAnsi="Cambria" w:cs="Times New Roman"/>
        </w:rPr>
        <w:t>The relationship between Indonesian English and identity construction operates at multiple levels, from individual to national. At the micro level, Nurani's (2023) ethnographic research reveals how young urban professionals in Jakarta strategically code-switch between different English varieties, including IE, to navigate complex social hierarchies and construct cosmopolitan yet locally-grounded identities. This phenomenon aligns with what Norton and De Costa (2018) describe as "identity investment" in language learning – the strategic deployment of linguistic resources to access desired communities while maintaining core identities. At the macro level, Widodo and Elyas (2020) observe a gradual shift in governmental discourse toward acknowledging IE as a potential "soft power" resource in international relations, particularly within ASEAN. This perspective connects with what Pennycook and Makoni (2020) call "</w:t>
      </w:r>
      <w:proofErr w:type="spellStart"/>
      <w:r w:rsidRPr="00926697">
        <w:rPr>
          <w:rFonts w:ascii="Cambria" w:eastAsia="Book Antiqua" w:hAnsi="Cambria" w:cs="Times New Roman"/>
        </w:rPr>
        <w:t>disinventing</w:t>
      </w:r>
      <w:proofErr w:type="spellEnd"/>
      <w:r w:rsidRPr="00926697">
        <w:rPr>
          <w:rFonts w:ascii="Cambria" w:eastAsia="Book Antiqua" w:hAnsi="Cambria" w:cs="Times New Roman"/>
        </w:rPr>
        <w:t xml:space="preserve"> and reconstituting languages" – the process of reimagining English not as a foreign imposition but as a tool for expressing Indonesian perspectives in global forums. Such recognition could potentially lead to what Park (2019) terms "linguistic sovereignty," wherein Indonesians claim legitimate ownership over their variety of English while participating in global communicative networks on their own terms.</w:t>
      </w:r>
    </w:p>
    <w:p w14:paraId="6F5EA636" w14:textId="77777777" w:rsidR="00926697" w:rsidRPr="00926697" w:rsidRDefault="00926697" w:rsidP="00926697">
      <w:pPr>
        <w:pStyle w:val="Standard"/>
        <w:spacing w:after="0" w:line="276" w:lineRule="auto"/>
        <w:rPr>
          <w:rFonts w:ascii="Cambria" w:eastAsia="Book Antiqua" w:hAnsi="Cambria" w:cs="Times New Roman"/>
          <w:b/>
        </w:rPr>
      </w:pPr>
      <w:r w:rsidRPr="00926697">
        <w:rPr>
          <w:rFonts w:ascii="Cambria" w:eastAsia="Book Antiqua" w:hAnsi="Cambria" w:cs="Times New Roman"/>
          <w:b/>
        </w:rPr>
        <w:t>Postcolonial Linguistics and Cultural Sovereignty</w:t>
      </w:r>
    </w:p>
    <w:p w14:paraId="1D1B4D9F"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Postcolonial linguistics offers a powerful lens for understanding IE as a site of cultural resistance and sovereignty. </w:t>
      </w:r>
      <w:proofErr w:type="spellStart"/>
      <w:r w:rsidRPr="00926697">
        <w:rPr>
          <w:rFonts w:ascii="Cambria" w:eastAsia="Book Antiqua" w:hAnsi="Cambria" w:cs="Times New Roman"/>
        </w:rPr>
        <w:t>Canagarajah</w:t>
      </w:r>
      <w:proofErr w:type="spellEnd"/>
      <w:r w:rsidRPr="00926697">
        <w:rPr>
          <w:rFonts w:ascii="Cambria" w:eastAsia="Book Antiqua" w:hAnsi="Cambria" w:cs="Times New Roman"/>
        </w:rPr>
        <w:t xml:space="preserve"> (2013) advocates for translingual practices that resist linguistic hierarchies and embrace hybridity, while </w:t>
      </w:r>
      <w:proofErr w:type="spellStart"/>
      <w:r w:rsidRPr="00926697">
        <w:rPr>
          <w:rFonts w:ascii="Cambria" w:eastAsia="Book Antiqua" w:hAnsi="Cambria" w:cs="Times New Roman"/>
        </w:rPr>
        <w:t>Mufwene</w:t>
      </w:r>
      <w:proofErr w:type="spellEnd"/>
      <w:r w:rsidRPr="00926697">
        <w:rPr>
          <w:rFonts w:ascii="Cambria" w:eastAsia="Book Antiqua" w:hAnsi="Cambria" w:cs="Times New Roman"/>
        </w:rPr>
        <w:t xml:space="preserve"> (2001) explores the evolution of postcolonial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xml:space="preserve"> as a reflection of local identity and history. Thiong’o (1986) emphasizes the role of language in cultural decolonization, arguing for the reclaiming of local languages and varieties as acts of resistance.</w:t>
      </w:r>
    </w:p>
    <w:p w14:paraId="3B7D84BC"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In Indonesia, Errington (2008) and Zentz (2017) examine the complex interplay between language planning and cultural identity, noting the dual role of English as both a global tool and a potential threat to local languages. Few studies, however, frame IE as a sociopolitical act of resistance against linguistic homogenization. Your study advances this perspective, linking IE to Indonesia’s broader struggles for cultural sovereignty and postcolonial identity.</w:t>
      </w:r>
    </w:p>
    <w:p w14:paraId="5959EE12"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tension between linguistic globalization and cultural sovereignty in Indonesia has deep historical roots that continue to shape attitudes toward IE. Zentz's (2020) longitudinal research reveals how Indonesia's language policies have oscillated between nationalist protectionism and pragmatic internationalism, reflecting what Blommaert (2018) terms "the sociolinguistics of globalization" – the complex interplay between local and global forces in language development. This dynamic is particularly evident in educational contexts, where Lamb and Coleman (2008) document how English is simultaneously framed as essential for national development and potentially threatening to cultural authenticity. According to Widiyanto (2023), this ambivalence has created what Bhabha (1994) calls a "third space" where IE emerges not as a mere imitation of Inner Circle varieties but as a hybridized linguistic form that embodies Indonesia's postcolonial condition. This hybridity, as Pennycook (2018) argues, represents not a dilution of cultural sovereignty but rather </w:t>
      </w:r>
      <w:r w:rsidRPr="00926697">
        <w:rPr>
          <w:rFonts w:ascii="Cambria" w:eastAsia="Book Antiqua" w:hAnsi="Cambria" w:cs="Times New Roman"/>
        </w:rPr>
        <w:lastRenderedPageBreak/>
        <w:t>its reconfiguration in response to global forces.</w:t>
      </w:r>
    </w:p>
    <w:p w14:paraId="6A0F1735"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exercise of cultural sovereignty through language is further complicated by digital technologies that facilitate new forms of linguistic agency. Harrington's (2022) analysis of Indonesian social media discourse identifies the strategic use of IE features in online communication as a form of what Prinsloo (2020) calls "linguistic citizenship" – the assertion of identity through creative language practices outside formal institutional contexts. These practices align with what Sultana (2019) describes as "linguistic disobedience," wherein speakers deliberately violate prescriptivist norms to assert their linguistic autonomy. For example, </w:t>
      </w:r>
      <w:proofErr w:type="spellStart"/>
      <w:r w:rsidRPr="00926697">
        <w:rPr>
          <w:rFonts w:ascii="Cambria" w:eastAsia="Book Antiqua" w:hAnsi="Cambria" w:cs="Times New Roman"/>
        </w:rPr>
        <w:t>Wijayanto</w:t>
      </w:r>
      <w:proofErr w:type="spellEnd"/>
      <w:r w:rsidRPr="00926697">
        <w:rPr>
          <w:rFonts w:ascii="Cambria" w:eastAsia="Book Antiqua" w:hAnsi="Cambria" w:cs="Times New Roman"/>
        </w:rPr>
        <w:t xml:space="preserve"> and </w:t>
      </w:r>
      <w:proofErr w:type="spellStart"/>
      <w:r w:rsidRPr="00926697">
        <w:rPr>
          <w:rFonts w:ascii="Cambria" w:eastAsia="Book Antiqua" w:hAnsi="Cambria" w:cs="Times New Roman"/>
        </w:rPr>
        <w:t>Saddhono</w:t>
      </w:r>
      <w:proofErr w:type="spellEnd"/>
      <w:r w:rsidRPr="00926697">
        <w:rPr>
          <w:rFonts w:ascii="Cambria" w:eastAsia="Book Antiqua" w:hAnsi="Cambria" w:cs="Times New Roman"/>
        </w:rPr>
        <w:t xml:space="preserve"> (2021) document how Indonesian YouTubers and TikTok creators deliberately incorporate IE pronunciation features even when they command more standard varieties, </w:t>
      </w:r>
      <w:proofErr w:type="spellStart"/>
      <w:r w:rsidRPr="00926697">
        <w:rPr>
          <w:rFonts w:ascii="Cambria" w:eastAsia="Book Antiqua" w:hAnsi="Cambria" w:cs="Times New Roman"/>
        </w:rPr>
        <w:t>signaling</w:t>
      </w:r>
      <w:proofErr w:type="spellEnd"/>
      <w:r w:rsidRPr="00926697">
        <w:rPr>
          <w:rFonts w:ascii="Cambria" w:eastAsia="Book Antiqua" w:hAnsi="Cambria" w:cs="Times New Roman"/>
        </w:rPr>
        <w:t xml:space="preserve"> what </w:t>
      </w:r>
      <w:proofErr w:type="spellStart"/>
      <w:r w:rsidRPr="00926697">
        <w:rPr>
          <w:rFonts w:ascii="Cambria" w:eastAsia="Book Antiqua" w:hAnsi="Cambria" w:cs="Times New Roman"/>
        </w:rPr>
        <w:t>Dovchin</w:t>
      </w:r>
      <w:proofErr w:type="spellEnd"/>
      <w:r w:rsidRPr="00926697">
        <w:rPr>
          <w:rFonts w:ascii="Cambria" w:eastAsia="Book Antiqua" w:hAnsi="Cambria" w:cs="Times New Roman"/>
        </w:rPr>
        <w:t xml:space="preserve"> (2017) terms "linguistic pride" in local English forms. Such practices challenge what Kusters et al. (2017) call the "monolingual bias" in language evaluation and demonstrate how digital spaces can function as sites of linguistic emancipation where IE gains legitimacy through vernacular usage rather than top-down recognition.</w:t>
      </w:r>
    </w:p>
    <w:p w14:paraId="392627DD" w14:textId="683DE7F2" w:rsidR="00926697" w:rsidRPr="00926697" w:rsidRDefault="00926697" w:rsidP="00F564FF">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The geopolitical dimensions of IE's development reflect broader shifts in the global linguistic landscape. Indonesia's positioning within ASEAN and its growing economic influence in Southeast Asia have created what Bolton and Bacon-Shone (2020) term a "reconfiguration of linguistic markets," wherein regional varieties of English gain value relative to Inner Circle norms. This aligns with what Makoni and Pennycook (2012) describe as the "</w:t>
      </w:r>
      <w:proofErr w:type="spellStart"/>
      <w:r w:rsidRPr="00926697">
        <w:rPr>
          <w:rFonts w:ascii="Cambria" w:eastAsia="Book Antiqua" w:hAnsi="Cambria" w:cs="Times New Roman"/>
        </w:rPr>
        <w:t>postlinguistic</w:t>
      </w:r>
      <w:proofErr w:type="spellEnd"/>
      <w:r w:rsidRPr="00926697">
        <w:rPr>
          <w:rFonts w:ascii="Cambria" w:eastAsia="Book Antiqua" w:hAnsi="Cambria" w:cs="Times New Roman"/>
        </w:rPr>
        <w:t xml:space="preserve"> turn" – a move away from conceptualizing languages as bounded entities toward understanding them as fluid resources deployed across diverse contexts. </w:t>
      </w:r>
      <w:proofErr w:type="spellStart"/>
      <w:r w:rsidRPr="00926697">
        <w:rPr>
          <w:rFonts w:ascii="Cambria" w:eastAsia="Book Antiqua" w:hAnsi="Cambria" w:cs="Times New Roman"/>
        </w:rPr>
        <w:t>Setiyadi</w:t>
      </w:r>
      <w:proofErr w:type="spellEnd"/>
      <w:r w:rsidRPr="00926697">
        <w:rPr>
          <w:rFonts w:ascii="Cambria" w:eastAsia="Book Antiqua" w:hAnsi="Cambria" w:cs="Times New Roman"/>
        </w:rPr>
        <w:t xml:space="preserve"> and Maryani's (2023) policy analysis suggests that Indonesian educational institutions are gradually recognizing the strategic advantage of cultivating a distinctive national variety of English rather than pursuing unattainable native-speaker norms. This perspective connects with what Tupas and </w:t>
      </w:r>
      <w:proofErr w:type="spellStart"/>
      <w:r w:rsidRPr="00926697">
        <w:rPr>
          <w:rFonts w:ascii="Cambria" w:eastAsia="Book Antiqua" w:hAnsi="Cambria" w:cs="Times New Roman"/>
        </w:rPr>
        <w:t>Rubdy</w:t>
      </w:r>
      <w:proofErr w:type="spellEnd"/>
      <w:r w:rsidRPr="00926697">
        <w:rPr>
          <w:rFonts w:ascii="Cambria" w:eastAsia="Book Antiqua" w:hAnsi="Cambria" w:cs="Times New Roman"/>
        </w:rPr>
        <w:t xml:space="preserve"> (2015) call "unequal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xml:space="preserve">" – the recognition that different varieties of English carry different types of capital in different contexts. As </w:t>
      </w:r>
      <w:proofErr w:type="spellStart"/>
      <w:r w:rsidRPr="00926697">
        <w:rPr>
          <w:rFonts w:ascii="Cambria" w:eastAsia="Book Antiqua" w:hAnsi="Cambria" w:cs="Times New Roman"/>
        </w:rPr>
        <w:t>Darjowidjojo</w:t>
      </w:r>
      <w:proofErr w:type="spellEnd"/>
      <w:r w:rsidRPr="00926697">
        <w:rPr>
          <w:rFonts w:ascii="Cambria" w:eastAsia="Book Antiqua" w:hAnsi="Cambria" w:cs="Times New Roman"/>
        </w:rPr>
        <w:t xml:space="preserve"> (2021) argues, embracing IE represents not linguistic compromise but strategic adaptation to a multipolar world where English's future will be increasingly determined by its non-native users, challenging traditional notions of linguistic ownership and legitimacy.</w:t>
      </w:r>
    </w:p>
    <w:p w14:paraId="07D42779" w14:textId="77777777" w:rsidR="00926697" w:rsidRPr="00926697" w:rsidRDefault="00926697" w:rsidP="00926697">
      <w:pPr>
        <w:pStyle w:val="Standard"/>
        <w:spacing w:after="0" w:line="276" w:lineRule="auto"/>
        <w:rPr>
          <w:rFonts w:ascii="Cambria" w:eastAsia="Book Antiqua" w:hAnsi="Cambria" w:cs="Times New Roman"/>
          <w:b/>
        </w:rPr>
      </w:pPr>
      <w:r w:rsidRPr="00926697">
        <w:rPr>
          <w:rFonts w:ascii="Cambria" w:eastAsia="Book Antiqua" w:hAnsi="Cambria" w:cs="Times New Roman"/>
          <w:b/>
        </w:rPr>
        <w:t>Pedagogical Implications and Alternatives</w:t>
      </w:r>
    </w:p>
    <w:p w14:paraId="70FB0CCB"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recognition of IE as a legitimate variety has significant implications for English language teaching (ELT) in Indonesia. </w:t>
      </w:r>
      <w:proofErr w:type="spellStart"/>
      <w:r w:rsidRPr="00926697">
        <w:rPr>
          <w:rFonts w:ascii="Cambria" w:eastAsia="Book Antiqua" w:hAnsi="Cambria" w:cs="Times New Roman"/>
        </w:rPr>
        <w:t>Kumaravadivelu’s</w:t>
      </w:r>
      <w:proofErr w:type="spellEnd"/>
      <w:r w:rsidRPr="00926697">
        <w:rPr>
          <w:rFonts w:ascii="Cambria" w:eastAsia="Book Antiqua" w:hAnsi="Cambria" w:cs="Times New Roman"/>
        </w:rPr>
        <w:t xml:space="preserve"> (2003) </w:t>
      </w:r>
      <w:proofErr w:type="spellStart"/>
      <w:r w:rsidRPr="00926697">
        <w:rPr>
          <w:rFonts w:ascii="Cambria" w:eastAsia="Book Antiqua" w:hAnsi="Cambria" w:cs="Times New Roman"/>
        </w:rPr>
        <w:t>postmethod</w:t>
      </w:r>
      <w:proofErr w:type="spellEnd"/>
      <w:r w:rsidRPr="00926697">
        <w:rPr>
          <w:rFonts w:ascii="Cambria" w:eastAsia="Book Antiqua" w:hAnsi="Cambria" w:cs="Times New Roman"/>
        </w:rPr>
        <w:t xml:space="preserve"> pedagogy advocates for context-sensitive approaches that prioritize local needs over rigid adherence to native norms. Smith (1992) emphasizes the importance of mutual intelligibility as a collaborative process, while McKay (2002) calls for ELT practices that reflect the local relevance of English.</w:t>
      </w:r>
    </w:p>
    <w:p w14:paraId="6A26BEA8"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In Indonesia, Lubis (2018) explores the integration of technology into ELT, and </w:t>
      </w:r>
      <w:proofErr w:type="spellStart"/>
      <w:r w:rsidRPr="00926697">
        <w:rPr>
          <w:rFonts w:ascii="Cambria" w:eastAsia="Book Antiqua" w:hAnsi="Cambria" w:cs="Times New Roman"/>
        </w:rPr>
        <w:t>Franssisca</w:t>
      </w:r>
      <w:proofErr w:type="spellEnd"/>
      <w:r w:rsidRPr="00926697">
        <w:rPr>
          <w:rFonts w:ascii="Cambria" w:eastAsia="Book Antiqua" w:hAnsi="Cambria" w:cs="Times New Roman"/>
        </w:rPr>
        <w:t xml:space="preserve"> and </w:t>
      </w:r>
      <w:proofErr w:type="spellStart"/>
      <w:r w:rsidRPr="00926697">
        <w:rPr>
          <w:rFonts w:ascii="Cambria" w:eastAsia="Book Antiqua" w:hAnsi="Cambria" w:cs="Times New Roman"/>
        </w:rPr>
        <w:t>Subekti</w:t>
      </w:r>
      <w:proofErr w:type="spellEnd"/>
      <w:r w:rsidRPr="00926697">
        <w:rPr>
          <w:rFonts w:ascii="Cambria" w:eastAsia="Book Antiqua" w:hAnsi="Cambria" w:cs="Times New Roman"/>
        </w:rPr>
        <w:t xml:space="preserve"> (2022) examine student perceptions of World </w:t>
      </w:r>
      <w:proofErr w:type="spellStart"/>
      <w:r w:rsidRPr="00926697">
        <w:rPr>
          <w:rFonts w:ascii="Cambria" w:eastAsia="Book Antiqua" w:hAnsi="Cambria" w:cs="Times New Roman"/>
        </w:rPr>
        <w:t>Englishes</w:t>
      </w:r>
      <w:proofErr w:type="spellEnd"/>
      <w:r w:rsidRPr="00926697">
        <w:rPr>
          <w:rFonts w:ascii="Cambria" w:eastAsia="Book Antiqua" w:hAnsi="Cambria" w:cs="Times New Roman"/>
        </w:rPr>
        <w:t>, highlighting the need for curricula that reflect the diversity of global English. However, policy proposals for incorporating IE into national curricula remain scarce. Your study addresses this gap by advocating for pedagogical reforms that recognize IE as a legitimate variety, promoting both cultural autonomy and global communication.</w:t>
      </w:r>
    </w:p>
    <w:p w14:paraId="6B6D170F"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 xml:space="preserve">The integration of IE into Indonesian language education necessitates a fundamental reconceptualization of assessment practices. Traditional evaluation models based on native-speaker norms often penalize features of IE that do not impede communication, creating what Lowenberg (2012) describes as "construct-irrelevant variance" in language testing. </w:t>
      </w:r>
      <w:proofErr w:type="spellStart"/>
      <w:r w:rsidRPr="00926697">
        <w:rPr>
          <w:rFonts w:ascii="Cambria" w:eastAsia="Book Antiqua" w:hAnsi="Cambria" w:cs="Times New Roman"/>
        </w:rPr>
        <w:t>Mukminin</w:t>
      </w:r>
      <w:proofErr w:type="spellEnd"/>
      <w:r w:rsidRPr="00926697">
        <w:rPr>
          <w:rFonts w:ascii="Cambria" w:eastAsia="Book Antiqua" w:hAnsi="Cambria" w:cs="Times New Roman"/>
        </w:rPr>
        <w:t xml:space="preserve"> and Haryanto (2022) document how high-stakes English examinations in Indonesia continue to assess pronunciation against American or British standards, potentially disadvantaging students whose speech exhibits IE features. This contradicts McNamara and Roever's (2006) argument for </w:t>
      </w:r>
      <w:r w:rsidRPr="00926697">
        <w:rPr>
          <w:rFonts w:ascii="Cambria" w:eastAsia="Book Antiqua" w:hAnsi="Cambria" w:cs="Times New Roman"/>
        </w:rPr>
        <w:lastRenderedPageBreak/>
        <w:t>"assessment justice," which emphasizes the need for evaluation criteria that reflect the actual contexts in which language will be used. Recognizing this disconnect, Widodo and Fang (2022) propose assessment frameworks that distinguish between features that impact global intelligibility and those that merely signal regional identity, aligning with what Taylor (2006) terms "use-oriented assessment." Such approaches could potentially validate IE while still preparing students for international communication.</w:t>
      </w:r>
    </w:p>
    <w:p w14:paraId="531A8718" w14:textId="77777777" w:rsidR="00926697" w:rsidRPr="00926697" w:rsidRDefault="00926697" w:rsidP="00926697">
      <w:pPr>
        <w:pStyle w:val="Standard"/>
        <w:widowControl w:val="0"/>
        <w:spacing w:after="0" w:line="276" w:lineRule="auto"/>
        <w:ind w:firstLine="426"/>
        <w:jc w:val="both"/>
        <w:rPr>
          <w:rFonts w:ascii="Cambria" w:eastAsia="Book Antiqua" w:hAnsi="Cambria" w:cs="Times New Roman"/>
        </w:rPr>
      </w:pPr>
      <w:r w:rsidRPr="00926697">
        <w:rPr>
          <w:rFonts w:ascii="Cambria" w:eastAsia="Book Antiqua" w:hAnsi="Cambria" w:cs="Times New Roman"/>
        </w:rPr>
        <w:t>Teacher education represents another critical domain for reimagining English pedagogy in Indonesia. Zacharias's (2021) research reveals persistent "native-</w:t>
      </w:r>
      <w:proofErr w:type="spellStart"/>
      <w:r w:rsidRPr="00926697">
        <w:rPr>
          <w:rFonts w:ascii="Cambria" w:eastAsia="Book Antiqua" w:hAnsi="Cambria" w:cs="Times New Roman"/>
        </w:rPr>
        <w:t>speakerist</w:t>
      </w:r>
      <w:proofErr w:type="spellEnd"/>
      <w:r w:rsidRPr="00926697">
        <w:rPr>
          <w:rFonts w:ascii="Cambria" w:eastAsia="Book Antiqua" w:hAnsi="Cambria" w:cs="Times New Roman"/>
        </w:rPr>
        <w:t xml:space="preserve">" attitudes among Indonesian English teachers, many of whom devalue their own linguistic varieties despite their pedagogical expertise. This internalized linguistic hierarchy reflects what Rudolph (2018) terms "professional self-marginalization," wherein non-native teachers reproduce ideologies that undermine their professional legitimacy. To counter this pattern, Floris and </w:t>
      </w:r>
      <w:proofErr w:type="spellStart"/>
      <w:r w:rsidRPr="00926697">
        <w:rPr>
          <w:rFonts w:ascii="Cambria" w:eastAsia="Book Antiqua" w:hAnsi="Cambria" w:cs="Times New Roman"/>
        </w:rPr>
        <w:t>Renandya</w:t>
      </w:r>
      <w:proofErr w:type="spellEnd"/>
      <w:r w:rsidRPr="00926697">
        <w:rPr>
          <w:rFonts w:ascii="Cambria" w:eastAsia="Book Antiqua" w:hAnsi="Cambria" w:cs="Times New Roman"/>
        </w:rPr>
        <w:t xml:space="preserve"> (2020) advocate for teacher education programs that explicitly validate IE and develop what Sifakis (2019) calls "ELF awareness" – recognition of English as a fluid communicative resource rather than a fixed set of native-speaker norms. Practical implementations of this approach include what Dewi and Hamied (2021) describe as "localized microteaching," wherein pre-service teachers develop and critique lessons tailored to Indonesian sociocultural contexts rather than imported from Inner Circle countries. Such initiatives align with what </w:t>
      </w:r>
      <w:proofErr w:type="spellStart"/>
      <w:r w:rsidRPr="00926697">
        <w:rPr>
          <w:rFonts w:ascii="Cambria" w:eastAsia="Book Antiqua" w:hAnsi="Cambria" w:cs="Times New Roman"/>
        </w:rPr>
        <w:t>Kumaravadivelu</w:t>
      </w:r>
      <w:proofErr w:type="spellEnd"/>
      <w:r w:rsidRPr="00926697">
        <w:rPr>
          <w:rFonts w:ascii="Cambria" w:eastAsia="Book Antiqua" w:hAnsi="Cambria" w:cs="Times New Roman"/>
        </w:rPr>
        <w:t xml:space="preserve"> (2016) terms "decolonial options" in teacher education.</w:t>
      </w:r>
    </w:p>
    <w:p w14:paraId="0BDE6F5D" w14:textId="2F967632" w:rsidR="005B6F54" w:rsidRPr="00F564FF" w:rsidRDefault="00926697" w:rsidP="00F564FF">
      <w:pPr>
        <w:pStyle w:val="Standard"/>
        <w:widowControl w:val="0"/>
        <w:spacing w:line="276" w:lineRule="auto"/>
        <w:ind w:firstLine="426"/>
        <w:jc w:val="both"/>
        <w:rPr>
          <w:rFonts w:ascii="Times New Roman" w:eastAsia="Book Antiqua" w:hAnsi="Times New Roman" w:cs="Times New Roman"/>
          <w:sz w:val="20"/>
          <w:szCs w:val="20"/>
        </w:rPr>
      </w:pPr>
      <w:r w:rsidRPr="00926697">
        <w:rPr>
          <w:rFonts w:ascii="Cambria" w:eastAsia="Book Antiqua" w:hAnsi="Cambria" w:cs="Times New Roman"/>
        </w:rPr>
        <w:t>The broader policy landscape presents both challenges and opportunities for legitimizing IE in educational contexts. Indonesia's national English curriculum continues to emphasize what Kirkpatrick (2012) calls "</w:t>
      </w:r>
      <w:proofErr w:type="spellStart"/>
      <w:r w:rsidRPr="00926697">
        <w:rPr>
          <w:rFonts w:ascii="Cambria" w:eastAsia="Book Antiqua" w:hAnsi="Cambria" w:cs="Times New Roman"/>
        </w:rPr>
        <w:t>exonormative</w:t>
      </w:r>
      <w:proofErr w:type="spellEnd"/>
      <w:r w:rsidRPr="00926697">
        <w:rPr>
          <w:rFonts w:ascii="Cambria" w:eastAsia="Book Antiqua" w:hAnsi="Cambria" w:cs="Times New Roman"/>
        </w:rPr>
        <w:t xml:space="preserve"> standards," positioning Inner Circle varieties as aspirational targets. However, Nababan's (2023) policy analysis identifies emerging pockets of resistance at institutional levels, where some universities are developing English for Specific Purposes courses that explicitly incorporate features of IE relevant to professional fields such as tourism, business, and technology. These initiatives exemplify what Lee and Lin (2019) term "glocalization" in language planning – the strategic integration of global and local elements to serve specific contextual needs. Such approaches move beyond what Holliday (2015) criticizes as the "native-</w:t>
      </w:r>
      <w:proofErr w:type="spellStart"/>
      <w:r w:rsidRPr="00926697">
        <w:rPr>
          <w:rFonts w:ascii="Cambria" w:eastAsia="Book Antiqua" w:hAnsi="Cambria" w:cs="Times New Roman"/>
        </w:rPr>
        <w:t>speakerist</w:t>
      </w:r>
      <w:proofErr w:type="spellEnd"/>
      <w:r w:rsidRPr="00926697">
        <w:rPr>
          <w:rFonts w:ascii="Cambria" w:eastAsia="Book Antiqua" w:hAnsi="Cambria" w:cs="Times New Roman"/>
        </w:rPr>
        <w:t xml:space="preserve">" binary toward what </w:t>
      </w:r>
      <w:proofErr w:type="spellStart"/>
      <w:r w:rsidRPr="00926697">
        <w:rPr>
          <w:rFonts w:ascii="Cambria" w:eastAsia="Book Antiqua" w:hAnsi="Cambria" w:cs="Times New Roman"/>
        </w:rPr>
        <w:t>Canagarajah</w:t>
      </w:r>
      <w:proofErr w:type="spellEnd"/>
      <w:r w:rsidRPr="00926697">
        <w:rPr>
          <w:rFonts w:ascii="Cambria" w:eastAsia="Book Antiqua" w:hAnsi="Cambria" w:cs="Times New Roman"/>
        </w:rPr>
        <w:t xml:space="preserve"> (2020) calls "translingual practice" – the fluid deployment of linguistic resources across traditional language boundaries. As </w:t>
      </w:r>
      <w:proofErr w:type="spellStart"/>
      <w:r w:rsidRPr="00926697">
        <w:rPr>
          <w:rFonts w:ascii="Cambria" w:eastAsia="Book Antiqua" w:hAnsi="Cambria" w:cs="Times New Roman"/>
        </w:rPr>
        <w:t>Rahardi</w:t>
      </w:r>
      <w:proofErr w:type="spellEnd"/>
      <w:r w:rsidRPr="00926697">
        <w:rPr>
          <w:rFonts w:ascii="Cambria" w:eastAsia="Book Antiqua" w:hAnsi="Cambria" w:cs="Times New Roman"/>
        </w:rPr>
        <w:t xml:space="preserve"> and </w:t>
      </w:r>
      <w:proofErr w:type="spellStart"/>
      <w:r w:rsidRPr="00926697">
        <w:rPr>
          <w:rFonts w:ascii="Cambria" w:eastAsia="Book Antiqua" w:hAnsi="Cambria" w:cs="Times New Roman"/>
        </w:rPr>
        <w:t>Setyaningsih</w:t>
      </w:r>
      <w:proofErr w:type="spellEnd"/>
      <w:r w:rsidRPr="00926697">
        <w:rPr>
          <w:rFonts w:ascii="Cambria" w:eastAsia="Book Antiqua" w:hAnsi="Cambria" w:cs="Times New Roman"/>
        </w:rPr>
        <w:t xml:space="preserve"> (2023) argue, these pedagogical innovations represent not merely technical adjustments but ethical commitments to linguistic justice, challenging what Shin (2021) describes as the "neocolonial linguistics" that continues to influence language education worldwide</w:t>
      </w:r>
      <w:r w:rsidRPr="00571D1B">
        <w:rPr>
          <w:rFonts w:ascii="Times New Roman" w:eastAsia="Book Antiqua" w:hAnsi="Times New Roman" w:cs="Times New Roman"/>
          <w:sz w:val="20"/>
          <w:szCs w:val="20"/>
        </w:rPr>
        <w:t>.</w:t>
      </w:r>
    </w:p>
    <w:p w14:paraId="150ECD47" w14:textId="1A172203" w:rsidR="00F564FF" w:rsidRDefault="00000000" w:rsidP="00F564FF">
      <w:pPr>
        <w:pBdr>
          <w:top w:val="nil"/>
          <w:left w:val="nil"/>
          <w:bottom w:val="nil"/>
          <w:right w:val="nil"/>
          <w:between w:val="nil"/>
        </w:pBdr>
        <w:rPr>
          <w:rFonts w:ascii="Cambria" w:eastAsia="Cambria" w:hAnsi="Cambria" w:cs="Cambria"/>
          <w:b/>
          <w:color w:val="000000"/>
        </w:rPr>
      </w:pPr>
      <w:r>
        <w:rPr>
          <w:rFonts w:ascii="Cambria" w:eastAsia="Cambria" w:hAnsi="Cambria" w:cs="Cambria"/>
          <w:b/>
          <w:color w:val="000000"/>
        </w:rPr>
        <w:t>METHOD (Cambria 11 Bold) (no numbering)</w:t>
      </w:r>
    </w:p>
    <w:p w14:paraId="10648F0E" w14:textId="77777777" w:rsidR="00F564FF" w:rsidRPr="00F564FF" w:rsidRDefault="00F564FF" w:rsidP="00F564FF">
      <w:pPr>
        <w:pBdr>
          <w:top w:val="nil"/>
          <w:left w:val="nil"/>
          <w:bottom w:val="nil"/>
          <w:right w:val="nil"/>
          <w:between w:val="nil"/>
        </w:pBdr>
        <w:rPr>
          <w:rFonts w:ascii="Cambria" w:eastAsia="Cambria" w:hAnsi="Cambria" w:cs="Cambria"/>
          <w:color w:val="000000"/>
        </w:rPr>
      </w:pPr>
    </w:p>
    <w:p w14:paraId="3D899006" w14:textId="7C599DFC" w:rsidR="00F564FF" w:rsidRPr="00F564FF" w:rsidRDefault="00F564FF" w:rsidP="00F564FF">
      <w:pPr>
        <w:autoSpaceDE w:val="0"/>
        <w:autoSpaceDN w:val="0"/>
        <w:adjustRightInd w:val="0"/>
        <w:ind w:firstLine="720"/>
        <w:contextualSpacing/>
        <w:rPr>
          <w:rFonts w:ascii="Cambria" w:hAnsi="Cambria"/>
        </w:rPr>
      </w:pPr>
      <w:r w:rsidRPr="00F564FF">
        <w:rPr>
          <w:rFonts w:ascii="Cambria" w:hAnsi="Cambria"/>
        </w:rPr>
        <w:t>This study adopts a qualitative approach to synthesize existing literature on the Indonesian English accent, with a focus on the themes of pride, prejudice, and intelligibility. Unlike systematic reviews, which rely on predefined protocols and exhaustive inclusion criteria, this study employs a flexible, interpretive method to explore the topic holistically. The goal was to construct a coherent narrative that reflects both the cultural significance and linguistic dimensions of Indonesian English accents as documented in prior research.</w:t>
      </w:r>
    </w:p>
    <w:p w14:paraId="616711BE" w14:textId="77777777" w:rsidR="00F564FF" w:rsidRPr="00F564FF" w:rsidRDefault="00F564FF" w:rsidP="00F564FF">
      <w:pPr>
        <w:pStyle w:val="Heading3"/>
        <w:spacing w:before="0"/>
        <w:rPr>
          <w:b w:val="0"/>
          <w:bCs w:val="0"/>
          <w:i/>
          <w:iCs/>
          <w:sz w:val="22"/>
          <w:szCs w:val="22"/>
        </w:rPr>
      </w:pPr>
      <w:r w:rsidRPr="00F564FF">
        <w:rPr>
          <w:i/>
          <w:iCs/>
          <w:sz w:val="22"/>
          <w:szCs w:val="22"/>
        </w:rPr>
        <w:t>Search Strategy</w:t>
      </w:r>
    </w:p>
    <w:p w14:paraId="4A207E83" w14:textId="77777777" w:rsidR="00F564FF" w:rsidRPr="00F564FF" w:rsidRDefault="00F564FF" w:rsidP="00F564FF">
      <w:pPr>
        <w:autoSpaceDE w:val="0"/>
        <w:autoSpaceDN w:val="0"/>
        <w:adjustRightInd w:val="0"/>
        <w:ind w:firstLine="720"/>
        <w:contextualSpacing/>
        <w:rPr>
          <w:rFonts w:ascii="Cambria" w:hAnsi="Cambria"/>
        </w:rPr>
      </w:pPr>
      <w:r w:rsidRPr="00F564FF">
        <w:rPr>
          <w:rFonts w:ascii="Cambria" w:hAnsi="Cambria"/>
        </w:rPr>
        <w:t xml:space="preserve">To identify relevant sources, a targeted search was conducted across academic databases, including Google Scholar, JSTOR, Scopus, and Linguistics and Language Behaviour Abstracts (LLBA). The search utilized key terms such as Indonesian English accent, English as a second language in Indonesia, accent intelligibility, language attitudes, and sociolinguistics of English in Southeast Asia. Additional searches included combinations of these terms with modifiers like pride, prejudice, </w:t>
      </w:r>
      <w:r w:rsidRPr="00F564FF">
        <w:rPr>
          <w:rFonts w:ascii="Cambria" w:hAnsi="Cambria"/>
        </w:rPr>
        <w:lastRenderedPageBreak/>
        <w:t>perception, identity, phonological features, and communicative competence to capture both sociocultural and linguistic aspects of the topic.</w:t>
      </w:r>
    </w:p>
    <w:p w14:paraId="5BA25549" w14:textId="77777777" w:rsidR="00F564FF" w:rsidRPr="00F564FF" w:rsidRDefault="00F564FF" w:rsidP="00F564FF">
      <w:pPr>
        <w:autoSpaceDE w:val="0"/>
        <w:autoSpaceDN w:val="0"/>
        <w:adjustRightInd w:val="0"/>
        <w:ind w:firstLine="720"/>
        <w:contextualSpacing/>
        <w:rPr>
          <w:rFonts w:ascii="Cambria" w:hAnsi="Cambria"/>
        </w:rPr>
      </w:pPr>
      <w:r w:rsidRPr="00F564FF">
        <w:rPr>
          <w:rFonts w:ascii="Cambria" w:hAnsi="Cambria"/>
        </w:rPr>
        <w:t>The search was not restricted by publication date to ensure a comprehensive historical and contemporary perspective, though priority was given to studies from the last two decades (2004-2024) to reflect current trends in English usage and globalization in Indonesia. Reference lists of key articles were also examined through a snowballing technique to identify additional relevant sources that might have been missed in the initial database searches.</w:t>
      </w:r>
    </w:p>
    <w:p w14:paraId="7DAEA85C" w14:textId="77777777" w:rsidR="00F564FF" w:rsidRPr="00F564FF" w:rsidRDefault="00F564FF" w:rsidP="00F564FF">
      <w:pPr>
        <w:pStyle w:val="Heading3"/>
        <w:spacing w:before="0"/>
        <w:rPr>
          <w:b w:val="0"/>
          <w:bCs w:val="0"/>
          <w:i/>
          <w:iCs/>
          <w:sz w:val="22"/>
          <w:szCs w:val="22"/>
        </w:rPr>
      </w:pPr>
      <w:r w:rsidRPr="00F564FF">
        <w:rPr>
          <w:i/>
          <w:iCs/>
          <w:sz w:val="22"/>
          <w:szCs w:val="22"/>
        </w:rPr>
        <w:t>Data Collection</w:t>
      </w:r>
    </w:p>
    <w:p w14:paraId="307DBF45" w14:textId="77777777" w:rsidR="00F564FF" w:rsidRPr="00F564FF" w:rsidRDefault="00F564FF" w:rsidP="00F564FF">
      <w:pPr>
        <w:autoSpaceDE w:val="0"/>
        <w:autoSpaceDN w:val="0"/>
        <w:adjustRightInd w:val="0"/>
        <w:ind w:firstLine="720"/>
        <w:contextualSpacing/>
        <w:rPr>
          <w:rFonts w:ascii="Cambria" w:hAnsi="Cambria"/>
        </w:rPr>
      </w:pPr>
      <w:r w:rsidRPr="00F564FF">
        <w:rPr>
          <w:rFonts w:ascii="Cambria" w:hAnsi="Cambria"/>
        </w:rPr>
        <w:t>Sources were selected based on their relevance to the three focal themes:</w:t>
      </w:r>
    </w:p>
    <w:p w14:paraId="631F78A1" w14:textId="77777777" w:rsidR="00F564FF" w:rsidRPr="00F564FF" w:rsidRDefault="00F564FF" w:rsidP="00F564FF">
      <w:pPr>
        <w:pStyle w:val="ListParagraph"/>
        <w:numPr>
          <w:ilvl w:val="0"/>
          <w:numId w:val="1"/>
        </w:numPr>
        <w:autoSpaceDE w:val="0"/>
        <w:autoSpaceDN w:val="0"/>
        <w:adjustRightInd w:val="0"/>
        <w:ind w:left="1134"/>
        <w:contextualSpacing/>
        <w:jc w:val="both"/>
        <w:rPr>
          <w:rFonts w:ascii="Cambria" w:hAnsi="Cambria"/>
          <w:sz w:val="22"/>
          <w:szCs w:val="22"/>
        </w:rPr>
      </w:pPr>
      <w:r w:rsidRPr="00F564FF">
        <w:rPr>
          <w:rFonts w:ascii="Cambria" w:hAnsi="Cambria"/>
          <w:sz w:val="22"/>
          <w:szCs w:val="22"/>
        </w:rPr>
        <w:t>Pride: Studies examining accent as an expression of identity, cultural ownership, or linguistic self-determination in Indonesian contexts</w:t>
      </w:r>
    </w:p>
    <w:p w14:paraId="4963AC07" w14:textId="77777777" w:rsidR="00F564FF" w:rsidRPr="00F564FF" w:rsidRDefault="00F564FF" w:rsidP="00F564FF">
      <w:pPr>
        <w:pStyle w:val="ListParagraph"/>
        <w:numPr>
          <w:ilvl w:val="0"/>
          <w:numId w:val="1"/>
        </w:numPr>
        <w:autoSpaceDE w:val="0"/>
        <w:autoSpaceDN w:val="0"/>
        <w:adjustRightInd w:val="0"/>
        <w:ind w:left="1134"/>
        <w:contextualSpacing/>
        <w:jc w:val="both"/>
        <w:rPr>
          <w:rFonts w:ascii="Cambria" w:hAnsi="Cambria"/>
          <w:sz w:val="22"/>
          <w:szCs w:val="22"/>
        </w:rPr>
      </w:pPr>
      <w:r w:rsidRPr="00F564FF">
        <w:rPr>
          <w:rFonts w:ascii="Cambria" w:hAnsi="Cambria"/>
          <w:sz w:val="22"/>
          <w:szCs w:val="22"/>
        </w:rPr>
        <w:t>Prejudice: Research on biases, stereotypes, or discrimination toward Indonesian English accents, both within Indonesia and internationally</w:t>
      </w:r>
    </w:p>
    <w:p w14:paraId="0FCB65D5" w14:textId="77777777" w:rsidR="00F564FF" w:rsidRPr="00F564FF" w:rsidRDefault="00F564FF" w:rsidP="00F564FF">
      <w:pPr>
        <w:pStyle w:val="ListParagraph"/>
        <w:numPr>
          <w:ilvl w:val="0"/>
          <w:numId w:val="1"/>
        </w:numPr>
        <w:autoSpaceDE w:val="0"/>
        <w:autoSpaceDN w:val="0"/>
        <w:adjustRightInd w:val="0"/>
        <w:ind w:left="1134"/>
        <w:contextualSpacing/>
        <w:jc w:val="both"/>
        <w:rPr>
          <w:rFonts w:ascii="Cambria" w:hAnsi="Cambria"/>
          <w:sz w:val="22"/>
          <w:szCs w:val="22"/>
        </w:rPr>
      </w:pPr>
      <w:r w:rsidRPr="00F564FF">
        <w:rPr>
          <w:rFonts w:ascii="Cambria" w:hAnsi="Cambria"/>
          <w:sz w:val="22"/>
          <w:szCs w:val="22"/>
        </w:rPr>
        <w:t xml:space="preserve">Intelligibility: Linguistic analyses of accent </w:t>
      </w:r>
      <w:proofErr w:type="gramStart"/>
      <w:r w:rsidRPr="00F564FF">
        <w:rPr>
          <w:rFonts w:ascii="Cambria" w:hAnsi="Cambria"/>
          <w:sz w:val="22"/>
          <w:szCs w:val="22"/>
        </w:rPr>
        <w:t>features</w:t>
      </w:r>
      <w:proofErr w:type="gramEnd"/>
      <w:r w:rsidRPr="00F564FF">
        <w:rPr>
          <w:rFonts w:ascii="Cambria" w:hAnsi="Cambria"/>
          <w:sz w:val="22"/>
          <w:szCs w:val="22"/>
        </w:rPr>
        <w:t xml:space="preserve"> specific to Indonesian English speakers and comprehension studies involving diverse listeners</w:t>
      </w:r>
    </w:p>
    <w:p w14:paraId="090E5554" w14:textId="77777777" w:rsidR="00F564FF" w:rsidRPr="00F564FF" w:rsidRDefault="00F564FF" w:rsidP="00F564FF">
      <w:pPr>
        <w:autoSpaceDE w:val="0"/>
        <w:autoSpaceDN w:val="0"/>
        <w:adjustRightInd w:val="0"/>
        <w:ind w:firstLine="720"/>
        <w:contextualSpacing/>
        <w:rPr>
          <w:rFonts w:ascii="Cambria" w:hAnsi="Cambria"/>
        </w:rPr>
      </w:pPr>
      <w:r w:rsidRPr="00F564FF">
        <w:rPr>
          <w:rFonts w:ascii="Cambria" w:hAnsi="Cambria"/>
        </w:rPr>
        <w:t>Peer-reviewed journal articles, book chapters, and conference proceedings constituted the primary materials, supplemented by doctoral dissertations, policy documents, and educational reports where empirical or contextual insights were deemed valuable. Materials in both English and Bahasa Indonesia were considered to capture perspectives from both international and local scholarship.</w:t>
      </w:r>
    </w:p>
    <w:p w14:paraId="05EC2CCB" w14:textId="77777777" w:rsidR="00F564FF" w:rsidRPr="00F564FF" w:rsidRDefault="00F564FF" w:rsidP="00F564FF">
      <w:pPr>
        <w:autoSpaceDE w:val="0"/>
        <w:autoSpaceDN w:val="0"/>
        <w:adjustRightInd w:val="0"/>
        <w:ind w:firstLine="720"/>
        <w:contextualSpacing/>
        <w:rPr>
          <w:rFonts w:ascii="Cambria" w:hAnsi="Cambria"/>
        </w:rPr>
      </w:pPr>
      <w:r w:rsidRPr="00F564FF">
        <w:rPr>
          <w:rFonts w:ascii="Cambria" w:hAnsi="Cambria"/>
        </w:rPr>
        <w:t>Exclusion criteria included studies lacking a clear focus on English accents, those unrelated to Indonesian contexts, or publications that mentioned Indonesian English only tangentially without substantive analysis. Additionally, purely pedagogical studies focusing on English language teaching methods without addressing accent issues were excluded.</w:t>
      </w:r>
    </w:p>
    <w:p w14:paraId="25CB5C16" w14:textId="77777777" w:rsidR="005B6F54" w:rsidRDefault="00000000">
      <w:pPr>
        <w:spacing w:before="240" w:after="160" w:line="259" w:lineRule="auto"/>
        <w:jc w:val="left"/>
        <w:rPr>
          <w:rFonts w:ascii="Cambria" w:eastAsia="Cambria" w:hAnsi="Cambria" w:cs="Cambria"/>
          <w:b/>
        </w:rPr>
      </w:pPr>
      <w:r>
        <w:rPr>
          <w:rFonts w:ascii="Cambria" w:eastAsia="Cambria" w:hAnsi="Cambria" w:cs="Cambria"/>
          <w:b/>
        </w:rPr>
        <w:t xml:space="preserve">ANALYSIS </w:t>
      </w:r>
    </w:p>
    <w:p w14:paraId="060A09A3" w14:textId="77777777" w:rsidR="00F564FF" w:rsidRPr="00F564FF" w:rsidRDefault="00F564FF" w:rsidP="00F564FF">
      <w:pPr>
        <w:autoSpaceDE w:val="0"/>
        <w:autoSpaceDN w:val="0"/>
        <w:adjustRightInd w:val="0"/>
        <w:ind w:firstLine="720"/>
        <w:contextualSpacing/>
        <w:rPr>
          <w:rFonts w:ascii="Cambria" w:hAnsi="Cambria"/>
        </w:rPr>
      </w:pPr>
      <w:r w:rsidRPr="00F564FF">
        <w:rPr>
          <w:rFonts w:ascii="Cambria" w:hAnsi="Cambria"/>
        </w:rPr>
        <w:t>The synthesis process involved a thematic analysis of the collected literature. After an initial reading of all sources, key findings and arguments from each were extracted and organized into the three thematic categories. This was followed by an iterative process of identifying patterns, contradictions, and gaps across the literature.</w:t>
      </w:r>
    </w:p>
    <w:p w14:paraId="4A206265" w14:textId="77777777" w:rsidR="00F564FF" w:rsidRPr="00F564FF" w:rsidRDefault="00F564FF" w:rsidP="00F564FF">
      <w:pPr>
        <w:autoSpaceDE w:val="0"/>
        <w:autoSpaceDN w:val="0"/>
        <w:adjustRightInd w:val="0"/>
        <w:ind w:firstLine="720"/>
        <w:contextualSpacing/>
        <w:rPr>
          <w:rFonts w:ascii="Cambria" w:hAnsi="Cambria"/>
        </w:rPr>
      </w:pPr>
      <w:r w:rsidRPr="00F564FF">
        <w:rPr>
          <w:rFonts w:ascii="Cambria" w:hAnsi="Cambria"/>
        </w:rPr>
        <w:t>A coding framework was developed to systematically categorize the content, with particular attention to:</w:t>
      </w:r>
    </w:p>
    <w:p w14:paraId="576B8EA9" w14:textId="77777777" w:rsidR="00F564FF" w:rsidRPr="00F564FF" w:rsidRDefault="00F564FF" w:rsidP="00F564FF">
      <w:pPr>
        <w:pStyle w:val="ListParagraph"/>
        <w:numPr>
          <w:ilvl w:val="0"/>
          <w:numId w:val="2"/>
        </w:numPr>
        <w:autoSpaceDE w:val="0"/>
        <w:autoSpaceDN w:val="0"/>
        <w:adjustRightInd w:val="0"/>
        <w:ind w:left="1134"/>
        <w:contextualSpacing/>
        <w:jc w:val="both"/>
        <w:rPr>
          <w:rFonts w:ascii="Cambria" w:hAnsi="Cambria"/>
          <w:sz w:val="22"/>
          <w:szCs w:val="22"/>
        </w:rPr>
      </w:pPr>
      <w:r w:rsidRPr="00F564FF">
        <w:rPr>
          <w:rFonts w:ascii="Cambria" w:hAnsi="Cambria"/>
          <w:sz w:val="22"/>
          <w:szCs w:val="22"/>
        </w:rPr>
        <w:t>Phonological features characteristic of Indonesian English accents</w:t>
      </w:r>
    </w:p>
    <w:p w14:paraId="544CDEA8" w14:textId="77777777" w:rsidR="00F564FF" w:rsidRPr="00F564FF" w:rsidRDefault="00F564FF" w:rsidP="00F564FF">
      <w:pPr>
        <w:pStyle w:val="ListParagraph"/>
        <w:numPr>
          <w:ilvl w:val="0"/>
          <w:numId w:val="2"/>
        </w:numPr>
        <w:autoSpaceDE w:val="0"/>
        <w:autoSpaceDN w:val="0"/>
        <w:adjustRightInd w:val="0"/>
        <w:ind w:left="1134"/>
        <w:contextualSpacing/>
        <w:jc w:val="both"/>
        <w:rPr>
          <w:rFonts w:ascii="Cambria" w:hAnsi="Cambria"/>
          <w:sz w:val="22"/>
          <w:szCs w:val="22"/>
        </w:rPr>
      </w:pPr>
      <w:r w:rsidRPr="00F564FF">
        <w:rPr>
          <w:rFonts w:ascii="Cambria" w:hAnsi="Cambria"/>
          <w:sz w:val="22"/>
          <w:szCs w:val="22"/>
        </w:rPr>
        <w:t>Historical and sociolinguistic factors influencing accent development</w:t>
      </w:r>
    </w:p>
    <w:p w14:paraId="2406B723" w14:textId="77777777" w:rsidR="00F564FF" w:rsidRPr="00F564FF" w:rsidRDefault="00F564FF" w:rsidP="00F564FF">
      <w:pPr>
        <w:pStyle w:val="ListParagraph"/>
        <w:numPr>
          <w:ilvl w:val="0"/>
          <w:numId w:val="2"/>
        </w:numPr>
        <w:autoSpaceDE w:val="0"/>
        <w:autoSpaceDN w:val="0"/>
        <w:adjustRightInd w:val="0"/>
        <w:ind w:left="1134"/>
        <w:contextualSpacing/>
        <w:jc w:val="both"/>
        <w:rPr>
          <w:rFonts w:ascii="Cambria" w:hAnsi="Cambria"/>
          <w:sz w:val="22"/>
          <w:szCs w:val="22"/>
        </w:rPr>
      </w:pPr>
      <w:r w:rsidRPr="00F564FF">
        <w:rPr>
          <w:rFonts w:ascii="Cambria" w:hAnsi="Cambria"/>
          <w:sz w:val="22"/>
          <w:szCs w:val="22"/>
        </w:rPr>
        <w:t>Attitudinal studies revealing perceptions of Indonesian English</w:t>
      </w:r>
    </w:p>
    <w:p w14:paraId="30AC86F8" w14:textId="77777777" w:rsidR="00F564FF" w:rsidRPr="00F564FF" w:rsidRDefault="00F564FF" w:rsidP="00F564FF">
      <w:pPr>
        <w:pStyle w:val="ListParagraph"/>
        <w:numPr>
          <w:ilvl w:val="0"/>
          <w:numId w:val="2"/>
        </w:numPr>
        <w:autoSpaceDE w:val="0"/>
        <w:autoSpaceDN w:val="0"/>
        <w:adjustRightInd w:val="0"/>
        <w:ind w:left="1134"/>
        <w:contextualSpacing/>
        <w:jc w:val="both"/>
        <w:rPr>
          <w:rFonts w:ascii="Cambria" w:hAnsi="Cambria"/>
          <w:sz w:val="22"/>
          <w:szCs w:val="22"/>
        </w:rPr>
      </w:pPr>
      <w:r w:rsidRPr="00F564FF">
        <w:rPr>
          <w:rFonts w:ascii="Cambria" w:hAnsi="Cambria"/>
          <w:sz w:val="22"/>
          <w:szCs w:val="22"/>
        </w:rPr>
        <w:t xml:space="preserve">Communicative contexts </w:t>
      </w:r>
      <w:proofErr w:type="gramStart"/>
      <w:r w:rsidRPr="00F564FF">
        <w:rPr>
          <w:rFonts w:ascii="Cambria" w:hAnsi="Cambria"/>
          <w:sz w:val="22"/>
          <w:szCs w:val="22"/>
        </w:rPr>
        <w:t>where</w:t>
      </w:r>
      <w:proofErr w:type="gramEnd"/>
      <w:r w:rsidRPr="00F564FF">
        <w:rPr>
          <w:rFonts w:ascii="Cambria" w:hAnsi="Cambria"/>
          <w:sz w:val="22"/>
          <w:szCs w:val="22"/>
        </w:rPr>
        <w:t xml:space="preserve"> accent impacts interactions</w:t>
      </w:r>
    </w:p>
    <w:p w14:paraId="65C295FC" w14:textId="77777777" w:rsidR="00F564FF" w:rsidRPr="00F564FF" w:rsidRDefault="00F564FF" w:rsidP="00F564FF">
      <w:pPr>
        <w:pStyle w:val="ListParagraph"/>
        <w:numPr>
          <w:ilvl w:val="0"/>
          <w:numId w:val="2"/>
        </w:numPr>
        <w:autoSpaceDE w:val="0"/>
        <w:autoSpaceDN w:val="0"/>
        <w:adjustRightInd w:val="0"/>
        <w:ind w:left="1134"/>
        <w:contextualSpacing/>
        <w:jc w:val="both"/>
        <w:rPr>
          <w:rFonts w:ascii="Cambria" w:hAnsi="Cambria"/>
          <w:sz w:val="22"/>
          <w:szCs w:val="22"/>
        </w:rPr>
      </w:pPr>
      <w:r w:rsidRPr="00F564FF">
        <w:rPr>
          <w:rFonts w:ascii="Cambria" w:hAnsi="Cambria"/>
          <w:sz w:val="22"/>
          <w:szCs w:val="22"/>
        </w:rPr>
        <w:t>Theoretical frameworks used to conceptualize accent, identity, and intelligibility</w:t>
      </w:r>
    </w:p>
    <w:p w14:paraId="7500BFBB" w14:textId="77777777" w:rsidR="00F564FF" w:rsidRDefault="00F564FF" w:rsidP="00F564FF">
      <w:pPr>
        <w:autoSpaceDE w:val="0"/>
        <w:autoSpaceDN w:val="0"/>
        <w:adjustRightInd w:val="0"/>
        <w:ind w:firstLine="720"/>
        <w:contextualSpacing/>
        <w:rPr>
          <w:rFonts w:ascii="Cambria" w:hAnsi="Cambria"/>
        </w:rPr>
      </w:pPr>
      <w:r w:rsidRPr="00F564FF">
        <w:rPr>
          <w:rFonts w:ascii="Cambria" w:hAnsi="Cambria"/>
        </w:rPr>
        <w:t>No formal statistical methods were employed, consistent with the narrative review approach; instead, the review prioritizes interpretive depth to illuminate the interplay between linguistic features and sociocultural perceptions of the Indonesian English accent. This methodology allows for a nuanced exploration of the topic, grounded in existing scholarship, while acknowledging the subjective lens inherent in narrative synthesis.</w:t>
      </w:r>
    </w:p>
    <w:p w14:paraId="2AA92315" w14:textId="77777777" w:rsidR="00F564FF" w:rsidRDefault="00F564FF" w:rsidP="00F564FF">
      <w:pPr>
        <w:autoSpaceDE w:val="0"/>
        <w:autoSpaceDN w:val="0"/>
        <w:adjustRightInd w:val="0"/>
        <w:contextualSpacing/>
        <w:rPr>
          <w:rFonts w:ascii="Cambria" w:hAnsi="Cambria"/>
        </w:rPr>
      </w:pPr>
    </w:p>
    <w:p w14:paraId="4A0A2FAA" w14:textId="2F730600" w:rsidR="00F564FF" w:rsidRPr="00F564FF" w:rsidRDefault="00F564FF" w:rsidP="00F564FF">
      <w:pPr>
        <w:autoSpaceDE w:val="0"/>
        <w:autoSpaceDN w:val="0"/>
        <w:adjustRightInd w:val="0"/>
        <w:contextualSpacing/>
        <w:rPr>
          <w:rFonts w:ascii="Cambria" w:hAnsi="Cambria"/>
          <w:b/>
          <w:bCs/>
        </w:rPr>
      </w:pPr>
      <w:r w:rsidRPr="00F564FF">
        <w:rPr>
          <w:rFonts w:ascii="Cambria" w:hAnsi="Cambria"/>
          <w:b/>
          <w:bCs/>
        </w:rPr>
        <w:t>FINDINGS</w:t>
      </w:r>
    </w:p>
    <w:p w14:paraId="7296129D" w14:textId="77777777" w:rsidR="00F564FF" w:rsidRPr="00F564FF" w:rsidRDefault="00F564FF" w:rsidP="0028282F">
      <w:pPr>
        <w:autoSpaceDE w:val="0"/>
        <w:autoSpaceDN w:val="0"/>
        <w:adjustRightInd w:val="0"/>
        <w:ind w:firstLine="720"/>
        <w:contextualSpacing/>
        <w:rPr>
          <w:rFonts w:ascii="Cambria" w:hAnsi="Cambria"/>
        </w:rPr>
      </w:pPr>
      <w:r w:rsidRPr="00F564FF">
        <w:rPr>
          <w:rFonts w:ascii="Cambria" w:hAnsi="Cambria"/>
        </w:rPr>
        <w:t>This study reveals that the Indonesian English (IE) accent occupies a complex and contested position within the global landscape of World Englishes, simultaneously embodying pride, confronting prejudice, and challenging narrow definitions of intelligibility. The findings, distilled from a synthesis of sociolinguistic scholarship, attitudinal studies, and phonological analyses, underscore three interrelated dimensions: (1) IE as a marker of postcolonial identity and linguistic pride, (2) systemic prejudice rooted in native-speakerism and accent bias, and (3) the contested terrain of intelligibility as a collaborative rather than unilateral process. These insights not only affirm the legitimacy of IE but also expose the moral and sociopolitical stakes of its marginalization, calling for a reframing of global attitudes and pedagogical practices.</w:t>
      </w:r>
    </w:p>
    <w:p w14:paraId="0255069A" w14:textId="77777777" w:rsidR="00F564FF" w:rsidRPr="00F564FF" w:rsidRDefault="00F564FF" w:rsidP="0028282F">
      <w:pPr>
        <w:pStyle w:val="Heading3"/>
        <w:spacing w:before="0"/>
        <w:rPr>
          <w:sz w:val="22"/>
          <w:szCs w:val="22"/>
        </w:rPr>
      </w:pPr>
      <w:r w:rsidRPr="00F564FF">
        <w:rPr>
          <w:i/>
          <w:iCs/>
          <w:sz w:val="22"/>
          <w:szCs w:val="22"/>
        </w:rPr>
        <w:lastRenderedPageBreak/>
        <w:t>Pride in Indonesian English: A Postcolonial Assertion</w:t>
      </w:r>
    </w:p>
    <w:p w14:paraId="12EAF546" w14:textId="62AA26C7" w:rsidR="00F564FF" w:rsidRPr="00F564FF" w:rsidRDefault="00F564FF" w:rsidP="0028282F">
      <w:pPr>
        <w:autoSpaceDE w:val="0"/>
        <w:autoSpaceDN w:val="0"/>
        <w:adjustRightInd w:val="0"/>
        <w:ind w:firstLine="720"/>
        <w:contextualSpacing/>
        <w:rPr>
          <w:rFonts w:ascii="Cambria" w:hAnsi="Cambria"/>
        </w:rPr>
      </w:pPr>
      <w:r w:rsidRPr="00F564FF">
        <w:rPr>
          <w:rFonts w:ascii="Cambria" w:hAnsi="Cambria"/>
        </w:rPr>
        <w:t xml:space="preserve">A recurring theme across the literature is the emergence of IE as a source of linguistic pride, reflecting Indonesia’s postcolonial aspirations and multilingual heritage. Scholars like </w:t>
      </w:r>
      <w:sdt>
        <w:sdtPr>
          <w:rPr>
            <w:rFonts w:ascii="Cambria" w:hAnsi="Cambria"/>
          </w:rPr>
          <w:tag w:val="MENDELEY_CITATION_v3_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"/>
          <w:id w:val="1938786422"/>
          <w:placeholder>
            <w:docPart w:val="7AB103AD93914C22BEFB772B570AAC0B"/>
          </w:placeholder>
        </w:sdtPr>
        <w:sdtContent>
          <w:r w:rsidRPr="00F564FF">
            <w:rPr>
              <w:rFonts w:ascii="Cambria" w:hAnsi="Cambria"/>
            </w:rPr>
            <w:t>Lauder (2008)</w:t>
          </w:r>
        </w:sdtContent>
      </w:sdt>
      <w:r w:rsidRPr="00F564FF">
        <w:rPr>
          <w:rFonts w:ascii="Cambria" w:hAnsi="Cambria"/>
        </w:rPr>
        <w:t xml:space="preserve"> and </w:t>
      </w:r>
      <w:sdt>
        <w:sdtPr>
          <w:rPr>
            <w:rFonts w:ascii="Cambria" w:hAnsi="Cambria"/>
          </w:rPr>
          <w:tag w:val="MENDELEY_CITATION_v3_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"/>
          <w:id w:val="-1590766177"/>
          <w:placeholder>
            <w:docPart w:val="7AB103AD93914C22BEFB772B570AAC0B"/>
          </w:placeholder>
        </w:sdtPr>
        <w:sdtContent>
          <w:r w:rsidRPr="00F564FF">
            <w:rPr>
              <w:rFonts w:ascii="Cambria" w:hAnsi="Cambria"/>
            </w:rPr>
            <w:t>Zahro (2019)</w:t>
          </w:r>
        </w:sdtContent>
      </w:sdt>
      <w:r w:rsidRPr="00F564FF">
        <w:rPr>
          <w:rFonts w:ascii="Cambria" w:hAnsi="Cambria"/>
        </w:rPr>
        <w:t xml:space="preserve"> highlight how IE’s distinctive features, such as syllable-timed rhythm, vowel reduction, and Bahasa Indonesia-influenced stress patterns, represent a creative nativization process rather than deviations from a presumed norm. This aligns with </w:t>
      </w:r>
      <w:sdt>
        <w:sdtPr>
          <w:rPr>
            <w:rFonts w:ascii="Cambria" w:hAnsi="Cambria"/>
          </w:rPr>
          <w:tag w:val="MENDELEY_CITATION_v3_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"/>
          <w:id w:val="204684383"/>
          <w:placeholder>
            <w:docPart w:val="7AB103AD93914C22BEFB772B570AAC0B"/>
          </w:placeholder>
        </w:sdtPr>
        <w:sdtContent>
          <w:r w:rsidRPr="00F564FF">
            <w:rPr>
              <w:rFonts w:ascii="Cambria" w:hAnsi="Cambria"/>
            </w:rPr>
            <w:t>Schneider (2007)</w:t>
          </w:r>
        </w:sdtContent>
      </w:sdt>
      <w:r w:rsidRPr="00F564FF">
        <w:rPr>
          <w:rFonts w:ascii="Cambria" w:hAnsi="Cambria"/>
          <w:color w:val="000000"/>
        </w:rPr>
        <w:t xml:space="preserve"> </w:t>
      </w:r>
      <w:r w:rsidRPr="00F564FF">
        <w:rPr>
          <w:rFonts w:ascii="Cambria" w:hAnsi="Cambria"/>
        </w:rPr>
        <w:t xml:space="preserve">Dynamic Model, which positions postcolonial Englishes as evolving expressions of identity, and </w:t>
      </w:r>
      <w:sdt>
        <w:sdtPr>
          <w:rPr>
            <w:rFonts w:ascii="Cambria" w:hAnsi="Cambria"/>
          </w:rPr>
          <w:tag w:val="MENDELEY_CITATION_v3_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"/>
          <w:id w:val="1920515814"/>
          <w:placeholder>
            <w:docPart w:val="7AB103AD93914C22BEFB772B570AAC0B"/>
          </w:placeholder>
        </w:sdtPr>
        <w:sdtContent>
          <w:r w:rsidRPr="00F564FF">
            <w:rPr>
              <w:rFonts w:ascii="Cambria" w:hAnsi="Cambria"/>
            </w:rPr>
            <w:t>Canagarajah’s (2012)</w:t>
          </w:r>
        </w:sdtContent>
      </w:sdt>
      <w:r w:rsidRPr="00F564FF">
        <w:rPr>
          <w:rFonts w:ascii="Cambria" w:hAnsi="Cambria"/>
          <w:color w:val="000000"/>
        </w:rPr>
        <w:t xml:space="preserve"> </w:t>
      </w:r>
      <w:r w:rsidRPr="00F564FF">
        <w:rPr>
          <w:rFonts w:ascii="Cambria" w:hAnsi="Cambria"/>
        </w:rPr>
        <w:t xml:space="preserve">translingual framework, which celebrates hybridity as resistance to linguistic homogenization. Far from being a problematic accent, IE emerges as a living dialect that indexes Indonesia’s cultural sovereignty, a point reinforced by </w:t>
      </w:r>
      <w:sdt>
        <w:sdtPr>
          <w:rPr>
            <w:rFonts w:ascii="Cambria" w:hAnsi="Cambria"/>
          </w:rPr>
          <w:tag w:val="MENDELEY_CITATION_v3_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"/>
          <w:id w:val="-1969731490"/>
          <w:placeholder>
            <w:docPart w:val="7AB103AD93914C22BEFB772B570AAC0B"/>
          </w:placeholder>
        </w:sdtPr>
        <w:sdtContent>
          <w:r w:rsidRPr="00F564FF">
            <w:rPr>
              <w:rFonts w:ascii="Cambria" w:hAnsi="Cambria"/>
            </w:rPr>
            <w:t>Karimah’s (2021)</w:t>
          </w:r>
        </w:sdtContent>
      </w:sdt>
      <w:r w:rsidRPr="00F564FF">
        <w:rPr>
          <w:rFonts w:ascii="Cambria" w:hAnsi="Cambria"/>
        </w:rPr>
        <w:t xml:space="preserve"> observation of growing acceptance among younger urban speakers who integrate IE into digital and popular culture contexts.</w:t>
      </w:r>
    </w:p>
    <w:p w14:paraId="5AD0422A" w14:textId="2CCEA538" w:rsidR="00F564FF" w:rsidRPr="00F564FF" w:rsidRDefault="00F564FF" w:rsidP="0028282F">
      <w:pPr>
        <w:autoSpaceDE w:val="0"/>
        <w:autoSpaceDN w:val="0"/>
        <w:adjustRightInd w:val="0"/>
        <w:ind w:firstLine="720"/>
        <w:contextualSpacing/>
        <w:rPr>
          <w:rFonts w:ascii="Cambria" w:hAnsi="Cambria"/>
        </w:rPr>
      </w:pPr>
      <w:r w:rsidRPr="00F564FF">
        <w:rPr>
          <w:rFonts w:ascii="Cambria" w:hAnsi="Cambria"/>
        </w:rPr>
        <w:t xml:space="preserve">Lived experiences further illuminate this pride. Narratives of IE speakers, though underexplored in quantitative terms, surface in qualitative accounts where individuals strategically deploy IE to assert cosmopolitan yet locally rooted identities. This echoes </w:t>
      </w:r>
      <w:sdt>
        <w:sdtPr>
          <w:rPr>
            <w:rFonts w:ascii="Cambria" w:hAnsi="Cambria"/>
          </w:rPr>
          <w:tag w:val="MENDELEY_CITATION_v3_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"/>
          <w:id w:val="-1102099576"/>
          <w:placeholder>
            <w:docPart w:val="7AB103AD93914C22BEFB772B570AAC0B"/>
          </w:placeholder>
        </w:sdtPr>
        <w:sdtContent>
          <w:r w:rsidRPr="00F564FF">
            <w:rPr>
              <w:rFonts w:ascii="Cambria" w:hAnsi="Cambria"/>
            </w:rPr>
            <w:t>Pennycook’s (2006)</w:t>
          </w:r>
        </w:sdtContent>
      </w:sdt>
      <w:r w:rsidRPr="00F564FF">
        <w:rPr>
          <w:rFonts w:ascii="Cambria" w:hAnsi="Cambria"/>
          <w:color w:val="000000"/>
        </w:rPr>
        <w:t xml:space="preserve"> </w:t>
      </w:r>
      <w:r w:rsidRPr="00F564FF">
        <w:rPr>
          <w:rFonts w:ascii="Cambria" w:hAnsi="Cambria"/>
        </w:rPr>
        <w:t xml:space="preserve">notion of English as a pluricentric resource, remade through local appropriations. For instance, Indonesian content creators on platforms like YouTube and TikTok deliberately foreground IE features, signaling what </w:t>
      </w:r>
      <w:sdt>
        <w:sdtPr>
          <w:rPr>
            <w:rFonts w:ascii="Cambria" w:hAnsi="Cambria"/>
          </w:rPr>
          <w:tag w:val="MENDELEY_CITATION_v3_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"/>
          <w:id w:val="25996406"/>
          <w:placeholder>
            <w:docPart w:val="7AB103AD93914C22BEFB772B570AAC0B"/>
          </w:placeholder>
        </w:sdtPr>
        <w:sdtContent>
          <w:r w:rsidRPr="0028282F">
            <w:rPr>
              <w:rFonts w:ascii="Cambria" w:hAnsi="Cambria"/>
            </w:rPr>
            <w:t>Dovchin (2017b)</w:t>
          </w:r>
        </w:sdtContent>
      </w:sdt>
      <w:r w:rsidRPr="00F564FF">
        <w:rPr>
          <w:rFonts w:ascii="Cambria" w:hAnsi="Cambria"/>
        </w:rPr>
        <w:t xml:space="preserve"> terms “linguistic pride” as an act of cultural authenticity. Such practices challenge the neoliberal demand for a homogenized, “accentless” English, positioning IE as a form of soft power </w:t>
      </w:r>
      <w:sdt>
        <w:sdtPr>
          <w:rPr>
            <w:rFonts w:ascii="Cambria" w:hAnsi="Cambria"/>
          </w:rPr>
          <w:tag w:val="MENDELEY_CITATION_v3_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"/>
          <w:id w:val="1975483025"/>
          <w:placeholder>
            <w:docPart w:val="7AB103AD93914C22BEFB772B570AAC0B"/>
          </w:placeholder>
        </w:sdtPr>
        <w:sdtContent>
          <w:r w:rsidRPr="0028282F">
            <w:rPr>
              <w:rFonts w:ascii="Cambria" w:hAnsi="Cambria"/>
            </w:rPr>
            <w:t>(Sulistiyo et al., 2020)</w:t>
          </w:r>
        </w:sdtContent>
      </w:sdt>
      <w:r w:rsidRPr="00F564FF">
        <w:rPr>
          <w:rFonts w:ascii="Cambria" w:hAnsi="Cambria"/>
        </w:rPr>
        <w:t xml:space="preserve"> and a legitimate contributor to ASEAN’s regional lingua franca </w:t>
      </w:r>
      <w:sdt>
        <w:sdtPr>
          <w:rPr>
            <w:rFonts w:ascii="Cambria" w:hAnsi="Cambria"/>
          </w:rPr>
          <w:tag w:val="MENDELEY_CITATION_v3_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"/>
          <w:id w:val="-1730523342"/>
          <w:placeholder>
            <w:docPart w:val="7AB103AD93914C22BEFB772B570AAC0B"/>
          </w:placeholder>
        </w:sdtPr>
        <w:sdtContent>
          <w:r w:rsidRPr="0028282F">
            <w:rPr>
              <w:rFonts w:ascii="Cambria" w:hAnsi="Cambria"/>
            </w:rPr>
            <w:t>(Kirkpatrick, 2012)</w:t>
          </w:r>
        </w:sdtContent>
      </w:sdt>
      <w:r w:rsidRPr="00F564FF">
        <w:rPr>
          <w:rFonts w:ascii="Cambria" w:hAnsi="Cambria"/>
          <w:color w:val="000000"/>
        </w:rPr>
        <w:t xml:space="preserve"> </w:t>
      </w:r>
      <w:r w:rsidRPr="00F564FF">
        <w:rPr>
          <w:rFonts w:ascii="Cambria" w:hAnsi="Cambria"/>
        </w:rPr>
        <w:t xml:space="preserve">These findings suggest that pride in IE is not merely defensible but a necessary act of postcolonial self-determination, countering the historical shadow of linguistic imperialism </w:t>
      </w:r>
      <w:sdt>
        <w:sdtPr>
          <w:rPr>
            <w:rFonts w:ascii="Cambria" w:hAnsi="Cambria"/>
            <w:color w:val="000000"/>
          </w:rPr>
          <w:tag w:val="MENDELEY_CITATION_v3_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"/>
          <w:id w:val="-1784489753"/>
          <w:placeholder>
            <w:docPart w:val="7AB103AD93914C22BEFB772B570AAC0B"/>
          </w:placeholder>
        </w:sdtPr>
        <w:sdtContent>
          <w:r w:rsidRPr="0028282F">
            <w:rPr>
              <w:rFonts w:ascii="Cambria" w:hAnsi="Cambria"/>
            </w:rPr>
            <w:t>(Phillipson, 1992)</w:t>
          </w:r>
        </w:sdtContent>
      </w:sdt>
      <w:r w:rsidRPr="00F564FF">
        <w:rPr>
          <w:rFonts w:ascii="Cambria" w:hAnsi="Cambria"/>
        </w:rPr>
        <w:t>.</w:t>
      </w:r>
    </w:p>
    <w:p w14:paraId="02873DE5" w14:textId="77777777" w:rsidR="00F564FF" w:rsidRPr="00F564FF" w:rsidRDefault="00F564FF" w:rsidP="0028282F">
      <w:pPr>
        <w:pStyle w:val="Heading3"/>
        <w:spacing w:before="0"/>
        <w:rPr>
          <w:b w:val="0"/>
          <w:bCs w:val="0"/>
          <w:i/>
          <w:iCs/>
          <w:sz w:val="22"/>
          <w:szCs w:val="22"/>
        </w:rPr>
      </w:pPr>
      <w:r w:rsidRPr="00F564FF">
        <w:rPr>
          <w:i/>
          <w:iCs/>
          <w:sz w:val="22"/>
          <w:szCs w:val="22"/>
        </w:rPr>
        <w:t>Prejudice Against Indonesian English: Systemic Bias and Moral Failure</w:t>
      </w:r>
    </w:p>
    <w:p w14:paraId="195E3E9B" w14:textId="4BCBDBF1" w:rsidR="00F564FF" w:rsidRPr="00F564FF" w:rsidRDefault="00F564FF" w:rsidP="0028282F">
      <w:pPr>
        <w:autoSpaceDE w:val="0"/>
        <w:autoSpaceDN w:val="0"/>
        <w:adjustRightInd w:val="0"/>
        <w:ind w:firstLine="720"/>
        <w:contextualSpacing/>
        <w:rPr>
          <w:rFonts w:ascii="Cambria" w:hAnsi="Cambria"/>
        </w:rPr>
      </w:pPr>
      <w:r w:rsidRPr="00F564FF">
        <w:rPr>
          <w:rFonts w:ascii="Cambria" w:hAnsi="Cambria"/>
        </w:rPr>
        <w:t xml:space="preserve">Despite this pride, IE speakers face pervasive prejudice, rooted in native-speakerism and accent bias, which perpetuates a linguistic hierarchy that privileges Inner Circle norms. The literature consistently identifies native-speakerism </w:t>
      </w:r>
      <w:sdt>
        <w:sdtPr>
          <w:rPr>
            <w:rFonts w:ascii="Cambria" w:hAnsi="Cambria"/>
          </w:rPr>
          <w:tag w:val="MENDELEY_CITATION_v3_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"/>
          <w:id w:val="-1286109790"/>
          <w:placeholder>
            <w:docPart w:val="7AB103AD93914C22BEFB772B570AAC0B"/>
          </w:placeholder>
        </w:sdtPr>
        <w:sdtContent>
          <w:r w:rsidRPr="0028282F">
            <w:rPr>
              <w:rFonts w:ascii="Cambria" w:hAnsi="Cambria"/>
            </w:rPr>
            <w:t xml:space="preserve">(Holliday, 2006) </w:t>
          </w:r>
        </w:sdtContent>
      </w:sdt>
      <w:r w:rsidRPr="00F564FF">
        <w:rPr>
          <w:rFonts w:ascii="Cambria" w:hAnsi="Cambria"/>
        </w:rPr>
        <w:t xml:space="preserve">as a dominant ideology in Indonesia’s educational and professional spheres, where British or American accents are fetishized as “correct” and IE is dismissed as substandard. Studies like </w:t>
      </w:r>
      <w:sdt>
        <w:sdtPr>
          <w:rPr>
            <w:rFonts w:ascii="Cambria" w:hAnsi="Cambria"/>
          </w:rPr>
          <w:tag w:val="MENDELEY_CITATION_v3_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"/>
          <w:id w:val="1548794393"/>
          <w:placeholder>
            <w:docPart w:val="7AB103AD93914C22BEFB772B570AAC0B"/>
          </w:placeholder>
        </w:sdtPr>
        <w:sdtContent>
          <w:r w:rsidRPr="0028282F">
            <w:rPr>
              <w:rFonts w:ascii="Cambria" w:hAnsi="Cambria"/>
            </w:rPr>
            <w:t>Ali et al. (2025)</w:t>
          </w:r>
        </w:sdtContent>
      </w:sdt>
      <w:r w:rsidRPr="00F564FF">
        <w:rPr>
          <w:rFonts w:ascii="Cambria" w:hAnsi="Cambria"/>
          <w:color w:val="000000"/>
        </w:rPr>
        <w:t xml:space="preserve"> </w:t>
      </w:r>
      <w:r w:rsidRPr="00F564FF">
        <w:rPr>
          <w:rFonts w:ascii="Cambria" w:hAnsi="Cambria"/>
        </w:rPr>
        <w:t xml:space="preserve">document tangible consequences: job advertisements demanding native-like English exclude qualified IE speakers, while YouTube comments analyzed in </w:t>
      </w:r>
      <w:sdt>
        <w:sdtPr>
          <w:rPr>
            <w:rFonts w:ascii="Cambria" w:hAnsi="Cambria"/>
          </w:rPr>
          <w:tag w:val="MENDELEY_CITATION_v3_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"/>
          <w:id w:val="1061835768"/>
          <w:placeholder>
            <w:docPart w:val="7AB103AD93914C22BEFB772B570AAC0B"/>
          </w:placeholder>
        </w:sdtPr>
        <w:sdtContent>
          <w:r w:rsidRPr="0028282F">
            <w:rPr>
              <w:rFonts w:ascii="Cambria" w:hAnsi="Cambria"/>
            </w:rPr>
            <w:t>Khazanah (2023)</w:t>
          </w:r>
        </w:sdtContent>
      </w:sdt>
      <w:r w:rsidRPr="00F564FF">
        <w:rPr>
          <w:rFonts w:ascii="Cambria" w:hAnsi="Cambria"/>
        </w:rPr>
        <w:t xml:space="preserve"> reveals learners’ internalized preference for native accents over their own. This bias aligns with </w:t>
      </w:r>
      <w:sdt>
        <w:sdtPr>
          <w:rPr>
            <w:rFonts w:ascii="Cambria" w:hAnsi="Cambria"/>
          </w:rPr>
          <w:tag w:val="MENDELEY_CITATION_v3_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"/>
          <w:id w:val="544336595"/>
          <w:placeholder>
            <w:docPart w:val="7AB103AD93914C22BEFB772B570AAC0B"/>
          </w:placeholder>
        </w:sdtPr>
        <w:sdtContent>
          <w:r w:rsidRPr="0028282F">
            <w:rPr>
              <w:rFonts w:ascii="Cambria" w:hAnsi="Cambria"/>
            </w:rPr>
            <w:t>Lippi-Green’s (2012)</w:t>
          </w:r>
        </w:sdtContent>
      </w:sdt>
      <w:r w:rsidRPr="00F564FF">
        <w:rPr>
          <w:rFonts w:ascii="Cambria" w:hAnsi="Cambria"/>
          <w:color w:val="000000"/>
        </w:rPr>
        <w:t xml:space="preserve"> </w:t>
      </w:r>
      <w:r w:rsidRPr="00F564FF">
        <w:rPr>
          <w:rFonts w:ascii="Cambria" w:hAnsi="Cambria"/>
        </w:rPr>
        <w:t xml:space="preserve">concept of language subordination, where accent stigma reinforces social inequities, and </w:t>
      </w:r>
      <w:sdt>
        <w:sdtPr>
          <w:rPr>
            <w:rFonts w:ascii="Cambria" w:hAnsi="Cambria"/>
          </w:rPr>
          <w:tag w:val="MENDELEY_CITATION_v3_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"/>
          <w:id w:val="492774515"/>
          <w:placeholder>
            <w:docPart w:val="7AB103AD93914C22BEFB772B570AAC0B"/>
          </w:placeholder>
        </w:sdtPr>
        <w:sdtContent>
          <w:r w:rsidRPr="0028282F">
            <w:rPr>
              <w:rFonts w:ascii="Cambria" w:hAnsi="Cambria"/>
            </w:rPr>
            <w:t>Kubota (2016)</w:t>
          </w:r>
        </w:sdtContent>
      </w:sdt>
      <w:r w:rsidRPr="00F564FF">
        <w:rPr>
          <w:rFonts w:ascii="Cambria" w:hAnsi="Cambria"/>
        </w:rPr>
        <w:t xml:space="preserve"> critique of the multi/plural turn, which celebrates diversity in theory but upholds hierarchies in practice.</w:t>
      </w:r>
    </w:p>
    <w:p w14:paraId="4F946D91" w14:textId="6B119B32" w:rsidR="00F564FF" w:rsidRPr="00F564FF" w:rsidRDefault="00F564FF" w:rsidP="0028282F">
      <w:pPr>
        <w:autoSpaceDE w:val="0"/>
        <w:autoSpaceDN w:val="0"/>
        <w:adjustRightInd w:val="0"/>
        <w:ind w:firstLine="720"/>
        <w:contextualSpacing/>
        <w:rPr>
          <w:rFonts w:ascii="Cambria" w:hAnsi="Cambria"/>
        </w:rPr>
      </w:pPr>
      <w:r w:rsidRPr="00F564FF">
        <w:rPr>
          <w:rFonts w:ascii="Cambria" w:hAnsi="Cambria"/>
        </w:rPr>
        <w:t xml:space="preserve">The moral implications of this prejudice are stark. Beyond mere communication barriers, accent discrimination exacts an emotional toll, mockery in international forums, career ceilings </w:t>
      </w:r>
      <w:sdt>
        <w:sdtPr>
          <w:rPr>
            <w:rFonts w:ascii="Cambria" w:hAnsi="Cambria"/>
          </w:rPr>
          <w:tag w:val="MENDELEY_CITATION_v3_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"/>
          <w:id w:val="-1985997864"/>
          <w:placeholder>
            <w:docPart w:val="7AB103AD93914C22BEFB772B570AAC0B"/>
          </w:placeholder>
        </w:sdtPr>
        <w:sdtContent>
          <w:r w:rsidRPr="0028282F">
            <w:rPr>
              <w:rFonts w:ascii="Cambria" w:hAnsi="Cambria"/>
            </w:rPr>
            <w:t>(Moyer, 2013),</w:t>
          </w:r>
        </w:sdtContent>
      </w:sdt>
      <w:r w:rsidRPr="00F564FF">
        <w:rPr>
          <w:rFonts w:ascii="Cambria" w:hAnsi="Cambria"/>
        </w:rPr>
        <w:t xml:space="preserve"> and linguistic insecurity </w:t>
      </w:r>
      <w:sdt>
        <w:sdtPr>
          <w:rPr>
            <w:rFonts w:ascii="Cambria" w:hAnsi="Cambria"/>
          </w:rPr>
          <w:tag w:val="MENDELEY_CITATION_v3_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"/>
          <w:id w:val="-552618791"/>
          <w:placeholder>
            <w:docPart w:val="7AB103AD93914C22BEFB772B570AAC0B"/>
          </w:placeholder>
        </w:sdtPr>
        <w:sdtContent>
          <w:r w:rsidRPr="0028282F">
            <w:rPr>
              <w:rFonts w:ascii="Cambria" w:hAnsi="Cambria"/>
            </w:rPr>
            <w:t xml:space="preserve">(Tupas &amp; Rubdy, 2015), </w:t>
          </w:r>
        </w:sdtContent>
      </w:sdt>
      <w:r w:rsidRPr="00F564FF">
        <w:rPr>
          <w:rFonts w:ascii="Cambria" w:hAnsi="Cambria"/>
        </w:rPr>
        <w:t xml:space="preserve">that existing scholarship often sanitizes as a technical issue. </w:t>
      </w:r>
      <w:sdt>
        <w:sdtPr>
          <w:rPr>
            <w:rFonts w:ascii="Cambria" w:hAnsi="Cambria"/>
          </w:rPr>
          <w:tag w:val="MENDELEY_CITATION_v3_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"/>
          <w:id w:val="-1883779740"/>
          <w:placeholder>
            <w:docPart w:val="7AB103AD93914C22BEFB772B570AAC0B"/>
          </w:placeholder>
        </w:sdtPr>
        <w:sdtContent>
          <w:r w:rsidRPr="0028282F">
            <w:rPr>
              <w:rFonts w:ascii="Cambria" w:hAnsi="Cambria"/>
            </w:rPr>
            <w:t>Kang &amp; Rubin (2009)</w:t>
          </w:r>
        </w:sdtContent>
      </w:sdt>
      <w:r w:rsidRPr="00F564FF">
        <w:rPr>
          <w:rFonts w:ascii="Cambria" w:hAnsi="Cambria"/>
        </w:rPr>
        <w:t xml:space="preserve"> findings on “attitudinal gatekeeping” are particularly damning: foreign listeners’ claims of incomprehension often stem from psychological bias rather than linguistic reality-a phenomenon they term “reverse linguistic stereotyping.” This suggests that prejudice against IE is less about intelligibility and more about a failure of empathy, exposing a colonial residue that demands native conformity over mutual adaptation. The economic dimension, where native-speaker English is commodified as a premium product </w:t>
      </w:r>
      <w:sdt>
        <w:sdtPr>
          <w:rPr>
            <w:rFonts w:ascii="Cambria" w:hAnsi="Cambria"/>
          </w:rPr>
          <w:tag w:val="MENDELEY_CITATION_v3_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"/>
          <w:id w:val="273227562"/>
          <w:placeholder>
            <w:docPart w:val="7AB103AD93914C22BEFB772B570AAC0B"/>
          </w:placeholder>
        </w:sdtPr>
        <w:sdtContent>
          <w:r w:rsidRPr="0028282F">
            <w:rPr>
              <w:rFonts w:ascii="Cambria" w:hAnsi="Cambria"/>
            </w:rPr>
            <w:t>(Ruecker &amp; Ives, 2015)</w:t>
          </w:r>
        </w:sdtContent>
      </w:sdt>
      <w:r w:rsidRPr="00F564FF">
        <w:rPr>
          <w:rFonts w:ascii="Cambria" w:hAnsi="Cambria"/>
        </w:rPr>
        <w:t xml:space="preserve">, further entrenches this inequity, creating a “linguistic caste system” </w:t>
      </w:r>
      <w:sdt>
        <w:sdtPr>
          <w:rPr>
            <w:rFonts w:ascii="Cambria" w:hAnsi="Cambria"/>
          </w:rPr>
          <w:tag w:val="MENDELEY_CITATION_v3_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"/>
          <w:id w:val="-1526394542"/>
          <w:placeholder>
            <w:docPart w:val="7AB103AD93914C22BEFB772B570AAC0B"/>
          </w:placeholder>
        </w:sdtPr>
        <w:sdtContent>
          <w:r w:rsidRPr="0028282F">
            <w:rPr>
              <w:rFonts w:ascii="Cambria" w:hAnsi="Cambria"/>
            </w:rPr>
            <w:t>(Mahboob, 2020)</w:t>
          </w:r>
        </w:sdtContent>
      </w:sdt>
      <w:r w:rsidRPr="00F564FF">
        <w:rPr>
          <w:rFonts w:ascii="Cambria" w:hAnsi="Cambria"/>
        </w:rPr>
        <w:t xml:space="preserve"> that undermines Indonesia’s cultural agency.</w:t>
      </w:r>
    </w:p>
    <w:p w14:paraId="0C3C396F" w14:textId="77777777" w:rsidR="00F564FF" w:rsidRPr="00F564FF" w:rsidRDefault="00F564FF" w:rsidP="0028282F">
      <w:pPr>
        <w:pStyle w:val="Heading3"/>
        <w:spacing w:before="0"/>
        <w:rPr>
          <w:b w:val="0"/>
          <w:bCs w:val="0"/>
          <w:i/>
          <w:iCs/>
          <w:sz w:val="22"/>
          <w:szCs w:val="22"/>
        </w:rPr>
      </w:pPr>
      <w:r w:rsidRPr="00F564FF">
        <w:rPr>
          <w:i/>
          <w:iCs/>
          <w:sz w:val="22"/>
          <w:szCs w:val="22"/>
        </w:rPr>
        <w:t>Intelligibility: Beyond Native Norms to Mutual Responsibility</w:t>
      </w:r>
    </w:p>
    <w:p w14:paraId="7D73FE0F" w14:textId="538D8B73" w:rsidR="00F564FF" w:rsidRPr="00F564FF" w:rsidRDefault="00F564FF" w:rsidP="0028282F">
      <w:pPr>
        <w:autoSpaceDE w:val="0"/>
        <w:autoSpaceDN w:val="0"/>
        <w:adjustRightInd w:val="0"/>
        <w:ind w:firstLine="720"/>
        <w:contextualSpacing/>
        <w:rPr>
          <w:rFonts w:ascii="Cambria" w:hAnsi="Cambria"/>
        </w:rPr>
      </w:pPr>
      <w:r w:rsidRPr="00F564FF">
        <w:rPr>
          <w:rFonts w:ascii="Cambria" w:hAnsi="Cambria"/>
        </w:rPr>
        <w:t xml:space="preserve">The question of IE’s intelligibility emerges as a pivotal battleground, where colonial ideologies of purity clash with the realities of global English. Traditional assumptions, challenged by </w:t>
      </w:r>
      <w:sdt>
        <w:sdtPr>
          <w:rPr>
            <w:rFonts w:ascii="Cambria" w:hAnsi="Cambria"/>
          </w:rPr>
          <w:tag w:val="MENDELEY_CITATION_v3_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"/>
          <w:id w:val="-153765282"/>
          <w:placeholder>
            <w:docPart w:val="7AB103AD93914C22BEFB772B570AAC0B"/>
          </w:placeholder>
        </w:sdtPr>
        <w:sdtContent>
          <w:r w:rsidRPr="0028282F">
            <w:rPr>
              <w:rFonts w:ascii="Cambria" w:hAnsi="Cambria"/>
            </w:rPr>
            <w:t>Derwing &amp; Munro (2009)</w:t>
          </w:r>
        </w:sdtContent>
      </w:sdt>
      <w:r w:rsidRPr="00F564FF">
        <w:rPr>
          <w:rFonts w:ascii="Cambria" w:hAnsi="Cambria"/>
        </w:rPr>
        <w:t xml:space="preserve">, that intelligibility hinges on native-like pronunciation are upended by evidence that IE is functionally comprehensible when pronunciation is clear </w:t>
      </w:r>
      <w:sdt>
        <w:sdtPr>
          <w:rPr>
            <w:rFonts w:ascii="Cambria" w:hAnsi="Cambria"/>
          </w:rPr>
          <w:tag w:val="MENDELEY_CITATION_v3_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"/>
          <w:id w:val="-542437757"/>
          <w:placeholder>
            <w:docPart w:val="7AB103AD93914C22BEFB772B570AAC0B"/>
          </w:placeholder>
        </w:sdtPr>
        <w:sdtContent>
          <w:r w:rsidRPr="0028282F">
            <w:rPr>
              <w:rFonts w:ascii="Cambria" w:hAnsi="Cambria"/>
            </w:rPr>
            <w:t>(Zahro, 2019)</w:t>
          </w:r>
        </w:sdtContent>
      </w:sdt>
      <w:r w:rsidRPr="00F564FF">
        <w:rPr>
          <w:rFonts w:ascii="Cambria" w:hAnsi="Cambria"/>
        </w:rPr>
        <w:t xml:space="preserve">. </w:t>
      </w:r>
      <w:sdt>
        <w:sdtPr>
          <w:rPr>
            <w:rFonts w:ascii="Cambria" w:hAnsi="Cambria"/>
            <w:color w:val="000000"/>
          </w:rPr>
          <w:tag w:val="MENDELEY_CITATION_v3_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"/>
          <w:id w:val="1384439466"/>
          <w:placeholder>
            <w:docPart w:val="7AB103AD93914C22BEFB772B570AAC0B"/>
          </w:placeholder>
        </w:sdtPr>
        <w:sdtContent>
          <w:r w:rsidRPr="00F564FF">
            <w:rPr>
              <w:rFonts w:ascii="Cambria" w:hAnsi="Cambria"/>
              <w:color w:val="000000"/>
            </w:rPr>
            <w:t>Jenkin’s (2000)</w:t>
          </w:r>
        </w:sdtContent>
      </w:sdt>
      <w:r w:rsidRPr="00F564FF">
        <w:rPr>
          <w:rFonts w:ascii="Cambria" w:hAnsi="Cambria"/>
          <w:color w:val="000000"/>
        </w:rPr>
        <w:t xml:space="preserve"> </w:t>
      </w:r>
      <w:r w:rsidRPr="00F564FF">
        <w:rPr>
          <w:rFonts w:ascii="Cambria" w:hAnsi="Cambria"/>
        </w:rPr>
        <w:t xml:space="preserve">Lingua Franca Core reinforces this, identifying key features for mutual intelligibility, many of which IE retains, while allowing regional variation. Yet, the literature reveals a persistent double standard: while IE speakers are expected to adapt to Inner Circle listeners, the reverse is rarely </w:t>
      </w:r>
      <w:r w:rsidRPr="00F564FF">
        <w:rPr>
          <w:rFonts w:ascii="Cambria" w:hAnsi="Cambria"/>
        </w:rPr>
        <w:lastRenderedPageBreak/>
        <w:t xml:space="preserve">demanded, contradicting </w:t>
      </w:r>
      <w:sdt>
        <w:sdtPr>
          <w:rPr>
            <w:rFonts w:ascii="Cambria" w:hAnsi="Cambria"/>
          </w:rPr>
          <w:tag w:val="MENDELEY_CITATION_v3_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"/>
          <w:id w:val="-1707638444"/>
          <w:placeholder>
            <w:docPart w:val="7AB103AD93914C22BEFB772B570AAC0B"/>
          </w:placeholder>
        </w:sdtPr>
        <w:sdtContent>
          <w:r w:rsidRPr="0028282F">
            <w:rPr>
              <w:rFonts w:ascii="Cambria" w:hAnsi="Cambria"/>
            </w:rPr>
            <w:t>Smith (1992)</w:t>
          </w:r>
        </w:sdtContent>
      </w:sdt>
      <w:r w:rsidRPr="00F564FF">
        <w:rPr>
          <w:rFonts w:ascii="Cambria" w:hAnsi="Cambria"/>
        </w:rPr>
        <w:t xml:space="preserve"> and </w:t>
      </w:r>
      <w:sdt>
        <w:sdtPr>
          <w:rPr>
            <w:rFonts w:ascii="Cambria" w:hAnsi="Cambria"/>
          </w:rPr>
          <w:tag w:val="MENDELEY_CITATION_v3_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"/>
          <w:id w:val="-1651209970"/>
          <w:placeholder>
            <w:docPart w:val="7AB103AD93914C22BEFB772B570AAC0B"/>
          </w:placeholder>
        </w:sdtPr>
        <w:sdtContent>
          <w:r w:rsidRPr="0028282F">
            <w:rPr>
              <w:rFonts w:ascii="Cambria" w:hAnsi="Cambria"/>
            </w:rPr>
            <w:t>Baese-Berk et al.’s (2013)</w:t>
          </w:r>
        </w:sdtContent>
      </w:sdt>
      <w:r w:rsidRPr="00F564FF">
        <w:rPr>
          <w:rFonts w:ascii="Cambria" w:hAnsi="Cambria"/>
        </w:rPr>
        <w:t xml:space="preserve"> emphasis on listener responsibility.</w:t>
      </w:r>
    </w:p>
    <w:p w14:paraId="7CAC21B5" w14:textId="1952656C" w:rsidR="00F564FF" w:rsidRDefault="00F564FF" w:rsidP="0028282F">
      <w:pPr>
        <w:autoSpaceDE w:val="0"/>
        <w:autoSpaceDN w:val="0"/>
        <w:adjustRightInd w:val="0"/>
        <w:contextualSpacing/>
        <w:rPr>
          <w:rFonts w:ascii="Cambria" w:hAnsi="Cambria"/>
        </w:rPr>
      </w:pPr>
      <w:r w:rsidRPr="00F564FF">
        <w:rPr>
          <w:rFonts w:ascii="Cambria" w:hAnsi="Cambria"/>
        </w:rPr>
        <w:t xml:space="preserve">This imbalance is compounded by technological biases, such as </w:t>
      </w:r>
      <w:sdt>
        <w:sdtPr>
          <w:rPr>
            <w:rFonts w:ascii="Cambria" w:hAnsi="Cambria"/>
          </w:rPr>
          <w:tag w:val="MENDELEY_CITATION_v3_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"/>
          <w:id w:val="-449941551"/>
          <w:placeholder>
            <w:docPart w:val="7AB103AD93914C22BEFB772B570AAC0B"/>
          </w:placeholder>
        </w:sdtPr>
        <w:sdtContent>
          <w:r w:rsidRPr="0028282F">
            <w:rPr>
              <w:rFonts w:ascii="Cambria" w:hAnsi="Cambria"/>
            </w:rPr>
            <w:t>Tadimeti et al.’s (2022)</w:t>
          </w:r>
        </w:sdtContent>
      </w:sdt>
      <w:r w:rsidRPr="00F564FF">
        <w:rPr>
          <w:rFonts w:ascii="Cambria" w:hAnsi="Cambria"/>
        </w:rPr>
        <w:t xml:space="preserve"> finding that automated speech recognition systems struggle with IE, reflecting a digital reinforcement of Inner Circle hegemony. However, emerging trends offer hope: </w:t>
      </w:r>
      <w:sdt>
        <w:sdtPr>
          <w:rPr>
            <w:rFonts w:ascii="Cambria" w:hAnsi="Cambria"/>
          </w:rPr>
          <w:tag w:val="MENDELEY_CITATION_v3_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"/>
          <w:id w:val="-956717304"/>
          <w:placeholder>
            <w:docPart w:val="7AB103AD93914C22BEFB772B570AAC0B"/>
          </w:placeholder>
        </w:sdtPr>
        <w:sdtContent>
          <w:r w:rsidRPr="0028282F">
            <w:rPr>
              <w:rFonts w:ascii="Cambria" w:hAnsi="Cambria"/>
            </w:rPr>
            <w:t>Khazanah’s (2023)</w:t>
          </w:r>
        </w:sdtContent>
      </w:sdt>
      <w:r w:rsidRPr="00F564FF">
        <w:rPr>
          <w:rFonts w:ascii="Cambria" w:hAnsi="Cambria"/>
          <w:color w:val="000000"/>
        </w:rPr>
        <w:t xml:space="preserve"> </w:t>
      </w:r>
      <w:r w:rsidRPr="00F564FF">
        <w:rPr>
          <w:rFonts w:ascii="Cambria" w:hAnsi="Cambria"/>
        </w:rPr>
        <w:t xml:space="preserve">study of international students adapting to IE over time suggests that exposure fosters perceptual flexibility, while </w:t>
      </w:r>
      <w:sdt>
        <w:sdtPr>
          <w:rPr>
            <w:rFonts w:ascii="Cambria" w:hAnsi="Cambria"/>
          </w:rPr>
          <w:tag w:val="MENDELEY_CITATION_v3_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"/>
          <w:id w:val="1233819581"/>
          <w:placeholder>
            <w:docPart w:val="7AB103AD93914C22BEFB772B570AAC0B"/>
          </w:placeholder>
        </w:sdtPr>
        <w:sdtContent>
          <w:r w:rsidRPr="0028282F">
            <w:rPr>
              <w:rFonts w:ascii="Cambria" w:hAnsi="Cambria"/>
            </w:rPr>
            <w:t>Speechmatics (2024)</w:t>
          </w:r>
        </w:sdtContent>
      </w:sdt>
      <w:r w:rsidRPr="00F564FF">
        <w:rPr>
          <w:rFonts w:ascii="Cambria" w:hAnsi="Cambria"/>
        </w:rPr>
        <w:t xml:space="preserve"> notes market-driven improvements in ASR inclusivity. These developments support </w:t>
      </w:r>
      <w:sdt>
        <w:sdtPr>
          <w:rPr>
            <w:rFonts w:ascii="Cambria" w:hAnsi="Cambria"/>
          </w:rPr>
          <w:tag w:val="MENDELEY_CITATION_v3_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"/>
          <w:id w:val="727573379"/>
          <w:placeholder>
            <w:docPart w:val="7AB103AD93914C22BEFB772B570AAC0B"/>
          </w:placeholder>
        </w:sdtPr>
        <w:sdtContent>
          <w:r w:rsidRPr="0028282F">
            <w:rPr>
              <w:rFonts w:ascii="Cambria" w:hAnsi="Cambria"/>
            </w:rPr>
            <w:t>Matsuda’s (2018)</w:t>
          </w:r>
        </w:sdtContent>
      </w:sdt>
      <w:r w:rsidRPr="00F564FF">
        <w:rPr>
          <w:rFonts w:ascii="Cambria" w:hAnsi="Cambria"/>
          <w:color w:val="000000"/>
        </w:rPr>
        <w:t xml:space="preserve"> </w:t>
      </w:r>
      <w:r w:rsidRPr="00F564FF">
        <w:rPr>
          <w:rFonts w:ascii="Cambria" w:hAnsi="Cambria"/>
        </w:rPr>
        <w:t>call for mutual intelligibility responsibility, where communication is co-constructed rather than imposed. The findings thus reject the false binary between intelligibility and authenticity, positing that IE’s legitimacy does not require native approximation but rather a global willingness to engage with its distinctiveness, a shift that aligns with Indonesia’s broader push for postcolonial agency.</w:t>
      </w:r>
    </w:p>
    <w:p w14:paraId="7DBB1E5C" w14:textId="77777777" w:rsidR="0028282F" w:rsidRPr="0028282F" w:rsidRDefault="0028282F" w:rsidP="0028282F">
      <w:pPr>
        <w:pStyle w:val="Heading2"/>
        <w:rPr>
          <w:rFonts w:ascii="Times New Roman" w:hAnsi="Times New Roman"/>
          <w:b w:val="0"/>
          <w:bCs w:val="0"/>
          <w:i w:val="0"/>
          <w:iCs w:val="0"/>
          <w:sz w:val="24"/>
          <w:szCs w:val="24"/>
        </w:rPr>
      </w:pPr>
      <w:r w:rsidRPr="0028282F">
        <w:rPr>
          <w:rFonts w:ascii="Times New Roman" w:hAnsi="Times New Roman"/>
          <w:i w:val="0"/>
          <w:iCs w:val="0"/>
          <w:sz w:val="24"/>
          <w:szCs w:val="24"/>
        </w:rPr>
        <w:t>DISCUSSION</w:t>
      </w:r>
    </w:p>
    <w:p w14:paraId="0E8898ED" w14:textId="4D2A67A6" w:rsidR="0028282F" w:rsidRPr="0028282F" w:rsidRDefault="0028282F" w:rsidP="0028282F">
      <w:pPr>
        <w:ind w:firstLine="720"/>
        <w:rPr>
          <w:rFonts w:ascii="Cambria" w:hAnsi="Cambria"/>
        </w:rPr>
      </w:pPr>
      <w:r w:rsidRPr="0028282F">
        <w:rPr>
          <w:rFonts w:ascii="Cambria" w:hAnsi="Cambria"/>
        </w:rPr>
        <w:t xml:space="preserve">The interplay of pride, prejudice, and intelligibility reveals IE not as a problem to be fixed but as a sociopolitical phenomenon demanding recognition. The pride articulated by IE speakers, rooted in nativization and identity, directly confronts the prejudice perpetuated by native-speakerism, exposing the latter as a vestige of linguistic imperialism that global institutions must dismantle. Intelligibility, meanwhile, emerges as a collaborative process, not a unilateral burden, challenging both pedagogical norms and listener attitudes. This synthesis advances </w:t>
      </w:r>
      <w:sdt>
        <w:sdtPr>
          <w:rPr>
            <w:rFonts w:ascii="Cambria" w:hAnsi="Cambria"/>
          </w:rPr>
          <w:tag w:val="MENDELEY_CITATION_v3_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"/>
          <w:id w:val="2093806486"/>
          <w:placeholder>
            <w:docPart w:val="29A85C46133B4ECD9017760981A11CB5"/>
          </w:placeholder>
        </w:sdtPr>
        <w:sdtContent>
          <w:r w:rsidRPr="0028282F">
            <w:rPr>
              <w:rFonts w:ascii="Cambria" w:hAnsi="Cambria"/>
            </w:rPr>
            <w:t>Kachru’s (1992)</w:t>
          </w:r>
        </w:sdtContent>
      </w:sdt>
      <w:r w:rsidRPr="0028282F">
        <w:rPr>
          <w:rFonts w:ascii="Cambria" w:hAnsi="Cambria"/>
        </w:rPr>
        <w:t xml:space="preserve"> World Englishes framework by grounding it in lived realities and moral urgency, while echoing </w:t>
      </w:r>
      <w:sdt>
        <w:sdtPr>
          <w:rPr>
            <w:rFonts w:ascii="Cambria" w:hAnsi="Cambria"/>
          </w:rPr>
          <w:tag w:val="MENDELEY_CITATION_v3_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"/>
          <w:id w:val="-788890078"/>
          <w:placeholder>
            <w:docPart w:val="29A85C46133B4ECD9017760981A11CB5"/>
          </w:placeholder>
        </w:sdtPr>
        <w:sdtContent>
          <w:r w:rsidRPr="0028282F">
            <w:rPr>
              <w:rFonts w:ascii="Cambria" w:hAnsi="Cambria"/>
            </w:rPr>
            <w:t>Canagarajah’s (2012)</w:t>
          </w:r>
        </w:sdtContent>
      </w:sdt>
      <w:r w:rsidRPr="0028282F">
        <w:rPr>
          <w:rFonts w:ascii="Cambria" w:hAnsi="Cambria"/>
        </w:rPr>
        <w:t xml:space="preserve"> translingual vision of English as a negotiated resource.</w:t>
      </w:r>
    </w:p>
    <w:p w14:paraId="295F65FC" w14:textId="3F84E7DE" w:rsidR="0028282F" w:rsidRPr="0028282F" w:rsidRDefault="0028282F" w:rsidP="0028282F">
      <w:pPr>
        <w:ind w:firstLine="720"/>
        <w:rPr>
          <w:rFonts w:ascii="Cambria" w:hAnsi="Cambria"/>
        </w:rPr>
      </w:pPr>
      <w:r w:rsidRPr="0028282F">
        <w:rPr>
          <w:rFonts w:ascii="Cambria" w:hAnsi="Cambria"/>
        </w:rPr>
        <w:t xml:space="preserve">This recognition of IE as a legitimate variety necessitates a fundamental shift in how linguistic competence is assessed in international contexts. The findings suggest that current evaluation frameworks, which often privilege native-speaker norms, systematically disadvantage IE speakers not because of communicative deficiencies but due to entrenched biases. As </w:t>
      </w:r>
      <w:sdt>
        <w:sdtPr>
          <w:rPr>
            <w:rFonts w:ascii="Cambria" w:hAnsi="Cambria"/>
          </w:rPr>
          <w:tag w:val="MENDELEY_CITATION_v3_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"/>
          <w:id w:val="-1367981612"/>
          <w:placeholder>
            <w:docPart w:val="29A85C46133B4ECD9017760981A11CB5"/>
          </w:placeholder>
        </w:sdtPr>
        <w:sdtContent>
          <w:r w:rsidRPr="0028282F">
            <w:rPr>
              <w:rFonts w:ascii="Cambria" w:hAnsi="Cambria"/>
            </w:rPr>
            <w:t>Mahboob (2020)</w:t>
          </w:r>
        </w:sdtContent>
      </w:sdt>
      <w:r w:rsidRPr="0028282F">
        <w:rPr>
          <w:rFonts w:ascii="Cambria" w:hAnsi="Cambria"/>
        </w:rPr>
        <w:t xml:space="preserve"> and </w:t>
      </w:r>
      <w:sdt>
        <w:sdtPr>
          <w:rPr>
            <w:rFonts w:ascii="Cambria" w:hAnsi="Cambria"/>
          </w:rPr>
          <w:tag w:val="MENDELEY_CITATION_v3_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"/>
          <w:id w:val="2125957903"/>
          <w:placeholder>
            <w:docPart w:val="29A85C46133B4ECD9017760981A11CB5"/>
          </w:placeholder>
        </w:sdtPr>
        <w:sdtContent>
          <w:r w:rsidRPr="0028282F">
            <w:rPr>
              <w:rFonts w:ascii="Cambria" w:hAnsi="Cambria"/>
            </w:rPr>
            <w:t>Lippi-Green (2012)</w:t>
          </w:r>
        </w:sdtContent>
      </w:sdt>
      <w:r w:rsidRPr="0028282F">
        <w:rPr>
          <w:rFonts w:ascii="Cambria" w:hAnsi="Cambria"/>
        </w:rPr>
        <w:t xml:space="preserve"> argue, such assessment practices constitute a form of structural discrimination that extends beyond language to affect socioeconomic mobility and cultural dignity. The devaluation of IE in professional and academic settings, despite evidence of its functional adequacy, reveals that intelligibility concerns often mask deeper anxieties about linguistic authority and cultural hierarchy. This calls for assessment reforms that evaluate communication effectiveness rather than native approximation, aligning with </w:t>
      </w:r>
      <w:sdt>
        <w:sdtPr>
          <w:rPr>
            <w:rFonts w:ascii="Cambria" w:hAnsi="Cambria"/>
          </w:rPr>
          <w:tag w:val="MENDELEY_CITATION_v3_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"/>
          <w:id w:val="616103461"/>
          <w:placeholder>
            <w:docPart w:val="29A85C46133B4ECD9017760981A11CB5"/>
          </w:placeholder>
        </w:sdtPr>
        <w:sdtContent>
          <w:r w:rsidRPr="0028282F">
            <w:rPr>
              <w:rFonts w:ascii="Cambria" w:hAnsi="Cambria"/>
            </w:rPr>
            <w:t>Bachman &amp; Palmer’s (2013)</w:t>
          </w:r>
        </w:sdtContent>
      </w:sdt>
      <w:r w:rsidRPr="0028282F">
        <w:rPr>
          <w:rFonts w:ascii="Cambria" w:hAnsi="Cambria"/>
          <w:color w:val="000000"/>
        </w:rPr>
        <w:t xml:space="preserve"> </w:t>
      </w:r>
      <w:r w:rsidRPr="0028282F">
        <w:rPr>
          <w:rFonts w:ascii="Cambria" w:hAnsi="Cambria"/>
        </w:rPr>
        <w:t>concept of interactional authenticity, where language is judged by its success in real-world contexts rather than adherence to abstract standards.</w:t>
      </w:r>
    </w:p>
    <w:p w14:paraId="4BD83CA1" w14:textId="2735D18D" w:rsidR="0028282F" w:rsidRPr="0028282F" w:rsidRDefault="0028282F" w:rsidP="0028282F">
      <w:pPr>
        <w:ind w:firstLine="720"/>
        <w:rPr>
          <w:rFonts w:ascii="Cambria" w:hAnsi="Cambria"/>
        </w:rPr>
      </w:pPr>
      <w:r w:rsidRPr="0028282F">
        <w:rPr>
          <w:rFonts w:ascii="Cambria" w:hAnsi="Cambria"/>
        </w:rPr>
        <w:t xml:space="preserve">The digital dimension of IE's legitimacy struggle warrants particular attention, as technology increasingly mediates global communication. The documented bias in speech recognition systems </w:t>
      </w:r>
      <w:sdt>
        <w:sdtPr>
          <w:rPr>
            <w:rFonts w:ascii="Cambria" w:hAnsi="Cambria"/>
          </w:rPr>
          <w:tag w:val="MENDELEY_CITATION_v3_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"/>
          <w:id w:val="-898592692"/>
          <w:placeholder>
            <w:docPart w:val="29A85C46133B4ECD9017760981A11CB5"/>
          </w:placeholder>
        </w:sdtPr>
        <w:sdtContent>
          <w:r w:rsidRPr="0028282F">
            <w:rPr>
              <w:rFonts w:ascii="Cambria" w:hAnsi="Cambria"/>
            </w:rPr>
            <w:t>(Tadimeti et al., 2022)</w:t>
          </w:r>
        </w:sdtContent>
      </w:sdt>
      <w:r w:rsidRPr="0028282F">
        <w:rPr>
          <w:rFonts w:ascii="Cambria" w:hAnsi="Cambria"/>
          <w:color w:val="000000"/>
        </w:rPr>
        <w:t xml:space="preserve"> </w:t>
      </w:r>
      <w:r w:rsidRPr="0028282F">
        <w:rPr>
          <w:rFonts w:ascii="Cambria" w:hAnsi="Cambria"/>
        </w:rPr>
        <w:t xml:space="preserve">represents not merely a technical challenge but a digital manifestation of linguistic imperialism that reinforces the marginalization of non-Inner Circle varieties. However, the emergence of more inclusive technologies, responsive to market demands for global accessibility, offers promising avenues for intervention. This technological evolution parallels what </w:t>
      </w:r>
      <w:sdt>
        <w:sdtPr>
          <w:rPr>
            <w:rFonts w:ascii="Cambria" w:hAnsi="Cambria"/>
          </w:rPr>
          <w:tag w:val="MENDELEY_CITATION_v3_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"/>
          <w:id w:val="-1773466600"/>
          <w:placeholder>
            <w:docPart w:val="29A85C46133B4ECD9017760981A11CB5"/>
          </w:placeholder>
        </w:sdtPr>
        <w:sdtContent>
          <w:r w:rsidRPr="0028282F">
            <w:rPr>
              <w:rFonts w:ascii="Cambria" w:hAnsi="Cambria"/>
            </w:rPr>
            <w:t>Pennycook (2017)</w:t>
          </w:r>
        </w:sdtContent>
      </w:sdt>
      <w:r w:rsidRPr="0028282F">
        <w:rPr>
          <w:rFonts w:ascii="Cambria" w:hAnsi="Cambria"/>
        </w:rPr>
        <w:t xml:space="preserve"> terms the translingual turn in digital spaces, where hybrid practices normalize linguistic diversity and challenge monolingual ideologies. As IE speakers increasingly assert their presence in digital domains, from social media to professional platforms, they not only claim space for their variety but also contribute to reshaping global norms of digital communication, potentially accelerating acceptance of World Englishes beyond academic discourse into everyday technological infrastructure.</w:t>
      </w:r>
    </w:p>
    <w:p w14:paraId="419ABC4A" w14:textId="00EE64CD" w:rsidR="0028282F" w:rsidRPr="0028282F" w:rsidRDefault="0028282F" w:rsidP="0028282F">
      <w:pPr>
        <w:ind w:firstLine="720"/>
        <w:rPr>
          <w:rFonts w:ascii="Cambria" w:hAnsi="Cambria"/>
        </w:rPr>
      </w:pPr>
      <w:r w:rsidRPr="0028282F">
        <w:rPr>
          <w:rFonts w:ascii="Cambria" w:hAnsi="Cambria"/>
        </w:rPr>
        <w:t xml:space="preserve">The psychological impact of accent prejudice on IE speakers constitutes another critical dimension requiring scholarly attention. While quantitative studies document external manifestations of bias, the internal experience of linguistic insecurity represents an underexplored aspect of IE's sociopolitical landscape. Drawing on </w:t>
      </w:r>
      <w:sdt>
        <w:sdtPr>
          <w:rPr>
            <w:rFonts w:ascii="Cambria" w:hAnsi="Cambria"/>
          </w:rPr>
          <w:tag w:val="MENDELEY_CITATION_v3_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"/>
          <w:id w:val="-791050823"/>
          <w:placeholder>
            <w:docPart w:val="29A85C46133B4ECD9017760981A11CB5"/>
          </w:placeholder>
        </w:sdtPr>
        <w:sdtContent>
          <w:r w:rsidRPr="0028282F">
            <w:rPr>
              <w:rFonts w:ascii="Cambria" w:hAnsi="Cambria"/>
            </w:rPr>
            <w:t>Norton’s (2013)</w:t>
          </w:r>
        </w:sdtContent>
      </w:sdt>
      <w:r w:rsidRPr="0028282F">
        <w:rPr>
          <w:rFonts w:ascii="Cambria" w:hAnsi="Cambria"/>
        </w:rPr>
        <w:t xml:space="preserve"> concept of investment and </w:t>
      </w:r>
      <w:sdt>
        <w:sdtPr>
          <w:rPr>
            <w:rFonts w:ascii="Cambria" w:hAnsi="Cambria"/>
          </w:rPr>
          <w:tag w:val="MENDELEY_CITATION_v3_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"/>
          <w:id w:val="-1688517970"/>
          <w:placeholder>
            <w:docPart w:val="29A85C46133B4ECD9017760981A11CB5"/>
          </w:placeholder>
        </w:sdtPr>
        <w:sdtContent>
          <w:r w:rsidRPr="0028282F">
            <w:rPr>
              <w:rFonts w:ascii="Cambria" w:hAnsi="Cambria"/>
            </w:rPr>
            <w:t>Darvin &amp; Norton’s (2015)</w:t>
          </w:r>
        </w:sdtContent>
      </w:sdt>
      <w:r w:rsidRPr="0028282F">
        <w:rPr>
          <w:rFonts w:ascii="Cambria" w:hAnsi="Cambria"/>
        </w:rPr>
        <w:t xml:space="preserve"> model of identity in language learning, this study suggests that IE speakers navigate complex emotional terrain, balancing pride in linguistic sovereignty against pragmatic awareness of discriminatory realities. The "double consciousness" described by </w:t>
      </w:r>
      <w:sdt>
        <w:sdtPr>
          <w:rPr>
            <w:rFonts w:ascii="Cambria" w:hAnsi="Cambria"/>
          </w:rPr>
          <w:tag w:val="MENDELEY_CITATION_v3_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"/>
          <w:id w:val="-1657681304"/>
          <w:placeholder>
            <w:docPart w:val="29A85C46133B4ECD9017760981A11CB5"/>
          </w:placeholder>
        </w:sdtPr>
        <w:sdtContent>
          <w:r w:rsidRPr="0028282F">
            <w:rPr>
              <w:rFonts w:ascii="Cambria" w:hAnsi="Cambria"/>
            </w:rPr>
            <w:t xml:space="preserve">Tupas &amp; Rubdy </w:t>
          </w:r>
          <w:r w:rsidRPr="0028282F">
            <w:rPr>
              <w:rFonts w:ascii="Cambria" w:hAnsi="Cambria"/>
            </w:rPr>
            <w:lastRenderedPageBreak/>
            <w:t>(2015)</w:t>
          </w:r>
        </w:sdtContent>
      </w:sdt>
      <w:r w:rsidRPr="0028282F">
        <w:rPr>
          <w:rFonts w:ascii="Cambria" w:hAnsi="Cambria"/>
        </w:rPr>
        <w:t>, simultaneously valuing one's variety while recognizing its devaluation by others, creates cognitive dissonance that may impede learning and professional performance. This psychological burden represents an unacknowledged cost of linguistic imperialism that educational institutions must address through explicit validation of IE and critical language awareness that empowers speakers to contextualize and resist prejudice rather than internalize it.</w:t>
      </w:r>
    </w:p>
    <w:p w14:paraId="67ECAD24" w14:textId="538DA02F" w:rsidR="0028282F" w:rsidRPr="0028282F" w:rsidRDefault="0028282F" w:rsidP="0028282F">
      <w:pPr>
        <w:ind w:firstLine="720"/>
        <w:rPr>
          <w:rFonts w:ascii="Cambria" w:hAnsi="Cambria"/>
        </w:rPr>
      </w:pPr>
      <w:r w:rsidRPr="0028282F">
        <w:rPr>
          <w:rFonts w:ascii="Cambria" w:hAnsi="Cambria"/>
        </w:rPr>
        <w:t xml:space="preserve">The implications are profound. Pedagogically, Indonesia must move beyond exonormative standards </w:t>
      </w:r>
      <w:sdt>
        <w:sdtPr>
          <w:rPr>
            <w:rFonts w:ascii="Cambria" w:hAnsi="Cambria"/>
          </w:rPr>
          <w:tag w:val="MENDELEY_CITATION_v3_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"/>
          <w:id w:val="269975339"/>
          <w:placeholder>
            <w:docPart w:val="29A85C46133B4ECD9017760981A11CB5"/>
          </w:placeholder>
        </w:sdtPr>
        <w:sdtContent>
          <w:r w:rsidRPr="0028282F">
            <w:rPr>
              <w:rFonts w:ascii="Cambria" w:hAnsi="Cambria"/>
            </w:rPr>
            <w:t>(Kirkpatrick, 2012)</w:t>
          </w:r>
        </w:sdtContent>
      </w:sdt>
      <w:r w:rsidRPr="0028282F">
        <w:rPr>
          <w:rFonts w:ascii="Cambria" w:hAnsi="Cambria"/>
        </w:rPr>
        <w:t xml:space="preserve"> toward curricula that validate IE as a legitimate variety, as proposed by </w:t>
      </w:r>
      <w:sdt>
        <w:sdtPr>
          <w:rPr>
            <w:rFonts w:ascii="Cambria" w:hAnsi="Cambria"/>
          </w:rPr>
          <w:tag w:val="MENDELEY_CITATION_v3_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"/>
          <w:id w:val="-1308928614"/>
          <w:placeholder>
            <w:docPart w:val="29A85C46133B4ECD9017760981A11CB5"/>
          </w:placeholder>
        </w:sdtPr>
        <w:sdtContent>
          <w:r w:rsidRPr="0028282F">
            <w:rPr>
              <w:rFonts w:ascii="Cambria" w:hAnsi="Cambria"/>
            </w:rPr>
            <w:t>Zein et al. (2020)</w:t>
          </w:r>
        </w:sdtContent>
      </w:sdt>
      <w:r w:rsidRPr="0028282F">
        <w:rPr>
          <w:rFonts w:ascii="Cambria" w:hAnsi="Cambria"/>
        </w:rPr>
        <w:t xml:space="preserve"> and </w:t>
      </w:r>
      <w:sdt>
        <w:sdtPr>
          <w:rPr>
            <w:rFonts w:ascii="Cambria" w:hAnsi="Cambria"/>
          </w:rPr>
          <w:tag w:val="MENDELEY_CITATION_v3_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"/>
          <w:id w:val="-811638752"/>
          <w:placeholder>
            <w:docPart w:val="29A85C46133B4ECD9017760981A11CB5"/>
          </w:placeholder>
        </w:sdtPr>
        <w:sdtContent>
          <w:r w:rsidRPr="0028282F">
            <w:rPr>
              <w:rFonts w:ascii="Cambria" w:hAnsi="Cambria"/>
            </w:rPr>
            <w:t>Fang et al. (2022)</w:t>
          </w:r>
        </w:sdtContent>
      </w:sdt>
      <w:r w:rsidRPr="0028282F">
        <w:rPr>
          <w:rFonts w:ascii="Cambria" w:hAnsi="Cambria"/>
        </w:rPr>
        <w:t xml:space="preserve">. This requires not only reforms in teaching materials and assessment practices but also in teacher education programs that often perpetuate native-speaker idealization. Globally, the onus lies on listeners—human and technological, to adapt to English's pluricentricity, a shift that could democratize communication and affirm Indonesia's linguistic sovereignty </w:t>
      </w:r>
      <w:sdt>
        <w:sdtPr>
          <w:rPr>
            <w:rFonts w:ascii="Cambria" w:hAnsi="Cambria"/>
          </w:rPr>
          <w:tag w:val="MENDELEY_CITATION_v3_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"/>
          <w:id w:val="1155496633"/>
          <w:placeholder>
            <w:docPart w:val="29A85C46133B4ECD9017760981A11CB5"/>
          </w:placeholder>
        </w:sdtPr>
        <w:sdtContent>
          <w:r w:rsidRPr="0028282F">
            <w:rPr>
              <w:rFonts w:ascii="Cambria" w:hAnsi="Cambria"/>
            </w:rPr>
            <w:t>(Sung-Yul Park &amp; Wee, 2013)</w:t>
          </w:r>
        </w:sdtContent>
      </w:sdt>
      <w:r w:rsidRPr="0028282F">
        <w:rPr>
          <w:rFonts w:ascii="Cambria" w:hAnsi="Cambria"/>
        </w:rPr>
        <w:t>. International institutions, from multinational corporations to academic conferences, must reexamine policies that implicitly privilege certain accents and develop more inclusive communicative practices that distribute responsibility for understanding across all participants. Ultimately, IE's struggle is a microcosm of postcolonial identity: a refusal to contort to foreign expectations, and a demand for the world to reckon with the vitality of its voice. The legitimization of IE thus represents not merely a linguistic adjustment but a moral imperative, a recognition that language diversity constitutes cultural wealth rather than communicative impediment, and that true global communication requires mutual respect rather than unilawteral conformity.</w:t>
      </w:r>
    </w:p>
    <w:p w14:paraId="68735FDE" w14:textId="77777777" w:rsidR="0028282F" w:rsidRPr="0028282F" w:rsidRDefault="0028282F" w:rsidP="0028282F">
      <w:pPr>
        <w:pStyle w:val="Heading2"/>
        <w:rPr>
          <w:b w:val="0"/>
          <w:bCs w:val="0"/>
          <w:i w:val="0"/>
          <w:iCs w:val="0"/>
          <w:sz w:val="22"/>
          <w:szCs w:val="22"/>
        </w:rPr>
      </w:pPr>
      <w:r w:rsidRPr="0028282F">
        <w:rPr>
          <w:i w:val="0"/>
          <w:iCs w:val="0"/>
          <w:sz w:val="22"/>
          <w:szCs w:val="22"/>
        </w:rPr>
        <w:t xml:space="preserve">CONCLUSION </w:t>
      </w:r>
    </w:p>
    <w:p w14:paraId="2D31B5F2" w14:textId="77777777" w:rsidR="0028282F" w:rsidRPr="0028282F" w:rsidRDefault="0028282F" w:rsidP="0028282F">
      <w:pPr>
        <w:ind w:firstLine="720"/>
        <w:contextualSpacing/>
        <w:rPr>
          <w:rFonts w:ascii="Cambria" w:hAnsi="Cambria"/>
        </w:rPr>
      </w:pPr>
      <w:r w:rsidRPr="0028282F">
        <w:rPr>
          <w:rFonts w:ascii="Cambria" w:hAnsi="Cambria"/>
        </w:rPr>
        <w:t>This study has illuminated the multifaceted position of the Indonesian English (IE) accent within the paradigm of World Englishes, revealing it as a site of pride, a target of prejudice, and a contested terrain of intelligibility. The findings affirm IE as a legitimate postcolonial variety, its distinctive phonological and sociolinguistic features embodying Indonesia’s cultural sovereignty and multilingual heritage. Far from a deviation to be corrected, IE represents a vibrant assertion of identity, increasingly embraced by speakers who wield it as both a local and global resource. Yet, this pride is shadowed by systemic prejudice, perpetuated through native-speakerism and accent bias, which marginalizes IE speakers in educational, professional, and digital spheres. Such discrimination, often cloaked as concerns over intelligibility, exposes a lingering colonial hierarchy that privileges Inner Circle norms and exacts a profound psychological and socioeconomic toll. Intelligibility itself, reframed here as a collaborative process rather than a unilateral expectation, challenges these entrenched biases, urging a redistribution of communicative responsibility that honors linguistic diversity over conformity.</w:t>
      </w:r>
    </w:p>
    <w:p w14:paraId="671DC6C6" w14:textId="77777777" w:rsidR="0028282F" w:rsidRPr="0028282F" w:rsidRDefault="0028282F" w:rsidP="0028282F">
      <w:pPr>
        <w:ind w:firstLine="720"/>
        <w:contextualSpacing/>
        <w:rPr>
          <w:rFonts w:ascii="Cambria" w:hAnsi="Cambria"/>
        </w:rPr>
      </w:pPr>
      <w:r w:rsidRPr="0028282F">
        <w:rPr>
          <w:rFonts w:ascii="Cambria" w:hAnsi="Cambria"/>
        </w:rPr>
        <w:t>These insights carry transformative implications for theory, policy, and practice. By situating IE within Kachru’s World Englishes framework and Canagarajah’s translingual vision, this study underscores the need to move beyond exonormative standards toward a pluricentric understanding of English that validates localized varieties. Pedagogically, Indonesia stands at a crossroads: embracing IE in curricula and teacher training can empower speakers, dismantle linguistic insecurity, and align education with the nation’s postcolonial aspirations. Globally, the onus extends to listeners and institutions, human and technological, to adapt to English’s evolving reality, fostering inclusive practices that recognize communication as a shared endeavor. The digital realm, in particular, emerges as a critical frontier, where the normalization of IE can reshape technological infrastructures and global norms alike.</w:t>
      </w:r>
    </w:p>
    <w:p w14:paraId="0090CDC5" w14:textId="6713E1AC" w:rsidR="005B6F54" w:rsidRDefault="0028282F" w:rsidP="0028282F">
      <w:pPr>
        <w:ind w:firstLine="720"/>
        <w:contextualSpacing/>
        <w:rPr>
          <w:rFonts w:ascii="Cambria" w:eastAsia="Cambria" w:hAnsi="Cambria" w:cs="Cambria"/>
          <w:b/>
          <w:color w:val="000000"/>
        </w:rPr>
      </w:pPr>
      <w:r w:rsidRPr="0028282F">
        <w:rPr>
          <w:rFonts w:ascii="Cambria" w:hAnsi="Cambria"/>
        </w:rPr>
        <w:t xml:space="preserve">Ultimately, the legitimization of IE transcends linguistic debate; it is a moral and sociopolitical imperative.tt To affirm IE is to reject the homogenizing legacy of linguistic imperialism and to embrace language diversity as a cornerstone of cultural wealth. This study calls for a paradigm shift, one where IE’s vitality is not merely tolerated but celebrated, and where the world is invited to listen, adapt, and engage with Indonesia’s voice on its own terms. As English continues to globalize, the journey of IE offers a compelling case for reimagining competence, challenging prejudice, and redefining intelligibility as acts of mutual respect. </w:t>
      </w:r>
      <w:r w:rsidR="00947661" w:rsidRPr="00947661">
        <w:rPr>
          <w:rFonts w:ascii="Cambria" w:hAnsi="Cambria"/>
        </w:rPr>
        <w:t xml:space="preserve">Future research might explore the lived </w:t>
      </w:r>
      <w:r w:rsidR="00947661" w:rsidRPr="00947661">
        <w:rPr>
          <w:rFonts w:ascii="Cambria" w:hAnsi="Cambria"/>
        </w:rPr>
        <w:lastRenderedPageBreak/>
        <w:t>experiences of IE speakers in greater depth, amplifying their narratives to further dismantle the structures that devalue their linguistic agency.</w:t>
      </w:r>
    </w:p>
    <w:p w14:paraId="4E32ABAC" w14:textId="77777777" w:rsidR="005B6F54" w:rsidRDefault="005B6F54">
      <w:pPr>
        <w:pBdr>
          <w:top w:val="nil"/>
          <w:left w:val="nil"/>
          <w:bottom w:val="nil"/>
          <w:right w:val="nil"/>
          <w:between w:val="nil"/>
        </w:pBdr>
        <w:jc w:val="center"/>
        <w:rPr>
          <w:rFonts w:ascii="Cambria" w:eastAsia="Cambria" w:hAnsi="Cambria" w:cs="Cambria"/>
          <w:b/>
          <w:color w:val="000000"/>
        </w:rPr>
      </w:pPr>
    </w:p>
    <w:p w14:paraId="08F0CCAA" w14:textId="14BCEB9E" w:rsidR="005B6F54" w:rsidRDefault="00000000" w:rsidP="00D11E65">
      <w:pPr>
        <w:pBdr>
          <w:top w:val="nil"/>
          <w:left w:val="nil"/>
          <w:bottom w:val="nil"/>
          <w:right w:val="nil"/>
          <w:between w:val="nil"/>
        </w:pBdr>
        <w:rPr>
          <w:rFonts w:ascii="Cambria" w:eastAsia="Cambria" w:hAnsi="Cambria" w:cs="Cambria"/>
          <w:b/>
          <w:color w:val="000000"/>
        </w:rPr>
      </w:pPr>
      <w:r>
        <w:rPr>
          <w:rFonts w:ascii="Cambria" w:eastAsia="Cambria" w:hAnsi="Cambria" w:cs="Cambria"/>
          <w:b/>
          <w:color w:val="000000"/>
        </w:rPr>
        <w:t xml:space="preserve">REFERENCE (Cambria 10 Capital Bold) </w:t>
      </w:r>
    </w:p>
    <w:p w14:paraId="1D9EB429" w14:textId="77777777" w:rsidR="00D11E65" w:rsidRPr="00D11E65" w:rsidRDefault="00D11E65" w:rsidP="00D11E65">
      <w:pPr>
        <w:rPr>
          <w:rFonts w:ascii="Cambria" w:eastAsia="Cambria" w:hAnsi="Cambria" w:cs="Cambria"/>
        </w:rPr>
      </w:pPr>
    </w:p>
    <w:p w14:paraId="3A75337E" w14:textId="77777777" w:rsidR="00947661" w:rsidRPr="00B00BEB" w:rsidRDefault="00947661" w:rsidP="00B00BEB">
      <w:pPr>
        <w:spacing w:after="120"/>
        <w:ind w:left="567" w:hanging="567"/>
      </w:pPr>
      <w:r w:rsidRPr="00B00BEB">
        <w:t xml:space="preserve">Ali, H. V., Prasatyo, B. A., &amp; Dharmawan, Y. Y. (2025). Navigating language barriers: Translingual discrimination and resilience among Indonesian migrant workers in Kuwait. Indonesian Journal of Applied Linguistics, 14(3), 496–511. </w:t>
      </w:r>
      <w:hyperlink r:id="rId10" w:history="1">
        <w:r w:rsidRPr="00B00BEB">
          <w:rPr>
            <w:rStyle w:val="Hyperlink"/>
          </w:rPr>
          <w:t>https://doi.org/10.17509/ijal.v14i3.73641</w:t>
        </w:r>
      </w:hyperlink>
      <w:r w:rsidRPr="00B00BEB">
        <w:t xml:space="preserve"> </w:t>
      </w:r>
    </w:p>
    <w:p w14:paraId="3D453C9E" w14:textId="77777777" w:rsidR="00947661" w:rsidRPr="00B00BEB" w:rsidRDefault="00947661" w:rsidP="00B00BEB">
      <w:pPr>
        <w:spacing w:after="120"/>
        <w:ind w:left="567" w:hanging="567"/>
      </w:pPr>
      <w:bookmarkStart w:id="0" w:name="_Alya_Audria,_&amp;"/>
      <w:bookmarkEnd w:id="0"/>
      <w:r w:rsidRPr="00B00BEB">
        <w:t xml:space="preserve">Alya Audria, &amp; Zaitun Qamariah. (2023). Evaluation of English Language Policy In The Education System In Indonesia. PUSTAKA: Jurnal Bahasa Dan Pendidikan, 3(4), 211–223. </w:t>
      </w:r>
      <w:hyperlink r:id="rId11" w:history="1">
        <w:r w:rsidRPr="00B00BEB">
          <w:rPr>
            <w:rStyle w:val="Hyperlink"/>
          </w:rPr>
          <w:t>https://doi.org/10.56910/pustaka.v3i4.729</w:t>
        </w:r>
      </w:hyperlink>
      <w:r w:rsidRPr="00B00BEB">
        <w:t xml:space="preserve"> </w:t>
      </w:r>
    </w:p>
    <w:p w14:paraId="24335D0E" w14:textId="77777777" w:rsidR="00947661" w:rsidRPr="00B00BEB" w:rsidRDefault="00947661" w:rsidP="00B00BEB">
      <w:pPr>
        <w:spacing w:after="120"/>
        <w:ind w:left="567" w:hanging="567"/>
      </w:pPr>
      <w:bookmarkStart w:id="1" w:name="_Azhari,_D._(2016,"/>
      <w:bookmarkEnd w:id="1"/>
      <w:r w:rsidRPr="00B00BEB">
        <w:t>Azhari, D. (2016, October 7). Globalization vs localization of English: Should EFL learners lose their identity? The 63rd TEFLIN International Conference.</w:t>
      </w:r>
    </w:p>
    <w:p w14:paraId="6185ABE3" w14:textId="77777777" w:rsidR="00947661" w:rsidRPr="00B00BEB" w:rsidRDefault="00947661" w:rsidP="00B00BEB">
      <w:pPr>
        <w:spacing w:after="120"/>
        <w:ind w:left="567" w:hanging="567"/>
      </w:pPr>
      <w:bookmarkStart w:id="2" w:name="_Bachman,_L.,_&amp;"/>
      <w:bookmarkEnd w:id="2"/>
      <w:r w:rsidRPr="00B00BEB">
        <w:t>Bachman, L., &amp; Palmer, A. (2013). Language Assessment in Practice. In Language Testing (Vol. 26, Issue 82).</w:t>
      </w:r>
    </w:p>
    <w:p w14:paraId="60202072" w14:textId="77777777" w:rsidR="00947661" w:rsidRPr="00B00BEB" w:rsidRDefault="00947661" w:rsidP="00B00BEB">
      <w:pPr>
        <w:spacing w:after="120"/>
        <w:ind w:left="567" w:hanging="567"/>
      </w:pPr>
      <w:bookmarkStart w:id="3" w:name="_Baese-Berk,_M._M.,"/>
      <w:bookmarkEnd w:id="3"/>
      <w:r w:rsidRPr="00B00BEB">
        <w:t xml:space="preserve">Baese-Berk, M. M., Bradlow, A. R., &amp; Wright, B. A. (2013). Accent-independent adaptation to foreign accented speech. The Journal of the Acoustical Society of America, 133(3), EL174–EL180. </w:t>
      </w:r>
      <w:hyperlink r:id="rId12" w:history="1">
        <w:r w:rsidRPr="00B00BEB">
          <w:rPr>
            <w:rStyle w:val="Hyperlink"/>
          </w:rPr>
          <w:t>https://doi.org/10.1121/1.4789864</w:t>
        </w:r>
      </w:hyperlink>
      <w:r w:rsidRPr="00B00BEB">
        <w:t xml:space="preserve"> </w:t>
      </w:r>
    </w:p>
    <w:p w14:paraId="4B898E5B" w14:textId="77777777" w:rsidR="00947661" w:rsidRPr="00B00BEB" w:rsidRDefault="00947661" w:rsidP="00B00BEB">
      <w:pPr>
        <w:spacing w:after="120"/>
        <w:ind w:left="567" w:hanging="567"/>
      </w:pPr>
      <w:bookmarkStart w:id="4" w:name="_Bhabha,_H._K."/>
      <w:bookmarkEnd w:id="4"/>
      <w:r w:rsidRPr="00B00BEB">
        <w:t xml:space="preserve">Bhabha, H. K. (2012). The location of culture. In The Location of Culture. </w:t>
      </w:r>
      <w:hyperlink r:id="rId13" w:history="1">
        <w:r w:rsidRPr="00B00BEB">
          <w:rPr>
            <w:rStyle w:val="Hyperlink"/>
          </w:rPr>
          <w:t>https://doi.org/10.4324/9780203820551</w:t>
        </w:r>
      </w:hyperlink>
      <w:r w:rsidRPr="00B00BEB">
        <w:t xml:space="preserve"> </w:t>
      </w:r>
    </w:p>
    <w:p w14:paraId="772703D6" w14:textId="77777777" w:rsidR="00947661" w:rsidRPr="00B00BEB" w:rsidRDefault="00947661" w:rsidP="00B00BEB">
      <w:pPr>
        <w:spacing w:after="120"/>
        <w:ind w:left="567" w:hanging="567"/>
      </w:pPr>
      <w:bookmarkStart w:id="5" w:name="_Bhola,_H._S.,"/>
      <w:bookmarkEnd w:id="5"/>
      <w:r w:rsidRPr="00B00BEB">
        <w:t xml:space="preserve">Bhola, H. S., &amp; wa Thiong’o, N. (1987). Decolonising the Mind: The Politics of Language in African Literature. African Studies Review, 30(2). </w:t>
      </w:r>
      <w:hyperlink r:id="rId14" w:history="1">
        <w:r w:rsidRPr="00B00BEB">
          <w:rPr>
            <w:rStyle w:val="Hyperlink"/>
          </w:rPr>
          <w:t>https://doi.org/10.2307/524049</w:t>
        </w:r>
      </w:hyperlink>
      <w:r w:rsidRPr="00B00BEB">
        <w:t xml:space="preserve"> </w:t>
      </w:r>
    </w:p>
    <w:p w14:paraId="2ECB0D39" w14:textId="77777777" w:rsidR="00947661" w:rsidRPr="00B00BEB" w:rsidRDefault="00947661" w:rsidP="00B00BEB">
      <w:pPr>
        <w:spacing w:after="120"/>
        <w:ind w:left="567" w:hanging="567"/>
      </w:pPr>
      <w:bookmarkStart w:id="6" w:name="_Blommaert,_J._(2010)."/>
      <w:bookmarkEnd w:id="6"/>
      <w:r w:rsidRPr="00B00BEB">
        <w:t xml:space="preserve">Blommaert, J. (2010). The Sociolinguistics of Globalization. Cambridge University Press. </w:t>
      </w:r>
      <w:hyperlink r:id="rId15" w:history="1">
        <w:r w:rsidRPr="00B00BEB">
          <w:rPr>
            <w:rStyle w:val="Hyperlink"/>
          </w:rPr>
          <w:t>https://doi.org/10.1017/CBO9780511845307</w:t>
        </w:r>
      </w:hyperlink>
      <w:r w:rsidRPr="00B00BEB">
        <w:t xml:space="preserve"> </w:t>
      </w:r>
    </w:p>
    <w:p w14:paraId="3EC70D83" w14:textId="77777777" w:rsidR="00947661" w:rsidRPr="00B00BEB" w:rsidRDefault="00947661" w:rsidP="00B00BEB">
      <w:pPr>
        <w:spacing w:after="120"/>
        <w:ind w:left="567" w:hanging="567"/>
      </w:pPr>
      <w:bookmarkStart w:id="7" w:name="_Bolton,_K._(2018)."/>
      <w:bookmarkEnd w:id="7"/>
      <w:r w:rsidRPr="00B00BEB">
        <w:t xml:space="preserve">Bolton, K. (2018). World Englishes and Second Language Acquisition. World Englishes, 37(1), 5–18. </w:t>
      </w:r>
      <w:hyperlink r:id="rId16" w:history="1">
        <w:r w:rsidRPr="00B00BEB">
          <w:rPr>
            <w:rStyle w:val="Hyperlink"/>
          </w:rPr>
          <w:t>https://doi.org/10.1111/weng.12299</w:t>
        </w:r>
      </w:hyperlink>
      <w:r w:rsidRPr="00B00BEB">
        <w:t xml:space="preserve"> </w:t>
      </w:r>
    </w:p>
    <w:p w14:paraId="755E3134" w14:textId="77777777" w:rsidR="00947661" w:rsidRPr="00B00BEB" w:rsidRDefault="00947661" w:rsidP="00B00BEB">
      <w:pPr>
        <w:spacing w:after="120"/>
        <w:ind w:left="567" w:hanging="567"/>
      </w:pPr>
      <w:bookmarkStart w:id="8" w:name="_Bolton,_K.,_Bacon‐Shone,"/>
      <w:bookmarkEnd w:id="8"/>
      <w:r w:rsidRPr="00B00BEB">
        <w:t xml:space="preserve">Bolton, K., Bacon‐Shone, J., &amp; Botha, W. (2023). EMI (English‐medium instruction) across the Asian region. World Englishes, 42(3), 392–404. </w:t>
      </w:r>
      <w:hyperlink r:id="rId17" w:history="1">
        <w:r w:rsidRPr="00B00BEB">
          <w:rPr>
            <w:rStyle w:val="Hyperlink"/>
          </w:rPr>
          <w:t>https://doi.org/10.1111/weng.12620</w:t>
        </w:r>
      </w:hyperlink>
      <w:r w:rsidRPr="00B00BEB">
        <w:t xml:space="preserve"> </w:t>
      </w:r>
    </w:p>
    <w:p w14:paraId="39929732" w14:textId="77777777" w:rsidR="00947661" w:rsidRPr="00B00BEB" w:rsidRDefault="00947661" w:rsidP="00B00BEB">
      <w:pPr>
        <w:spacing w:after="120"/>
        <w:ind w:left="567" w:hanging="567"/>
      </w:pPr>
      <w:bookmarkStart w:id="9" w:name="_Budiwiyanto,_A.,_&amp;"/>
      <w:bookmarkEnd w:id="9"/>
      <w:r w:rsidRPr="00B00BEB">
        <w:t xml:space="preserve">Budiwiyanto, A., &amp; Suhardijanto, T. (2020). Indonesian lexical bundles in research articles: Frequency, structure, and function. Indonesian Journal of Applied Linguistics, 10(2), 292–303. </w:t>
      </w:r>
      <w:hyperlink r:id="rId18" w:history="1">
        <w:r w:rsidRPr="00B00BEB">
          <w:rPr>
            <w:rStyle w:val="Hyperlink"/>
          </w:rPr>
          <w:t>https://doi.org/10.17509/ijal.v10i2.28592</w:t>
        </w:r>
      </w:hyperlink>
      <w:r w:rsidRPr="00B00BEB">
        <w:t xml:space="preserve"> </w:t>
      </w:r>
    </w:p>
    <w:p w14:paraId="47BF2404" w14:textId="77777777" w:rsidR="00947661" w:rsidRPr="00B00BEB" w:rsidRDefault="00947661" w:rsidP="00B00BEB">
      <w:pPr>
        <w:spacing w:after="120"/>
        <w:ind w:left="567" w:hanging="567"/>
      </w:pPr>
      <w:bookmarkStart w:id="10" w:name="_Canagarajah,_S._(2012)."/>
      <w:bookmarkEnd w:id="10"/>
      <w:r w:rsidRPr="00B00BEB">
        <w:t xml:space="preserve">Canagarajah, S. (2012). Translingual Practice. Routledge. </w:t>
      </w:r>
      <w:hyperlink r:id="rId19" w:history="1">
        <w:r w:rsidRPr="00B00BEB">
          <w:rPr>
            <w:rStyle w:val="Hyperlink"/>
          </w:rPr>
          <w:t>https://doi.org/10.4324/9780203073889</w:t>
        </w:r>
      </w:hyperlink>
      <w:r w:rsidRPr="00B00BEB">
        <w:t xml:space="preserve"> </w:t>
      </w:r>
    </w:p>
    <w:p w14:paraId="0AD598E7" w14:textId="77777777" w:rsidR="00947661" w:rsidRPr="00B00BEB" w:rsidRDefault="00947661" w:rsidP="00B00BEB">
      <w:pPr>
        <w:spacing w:after="120"/>
        <w:ind w:left="567" w:hanging="567"/>
      </w:pPr>
      <w:bookmarkStart w:id="11" w:name="_Dardjowidjojo,_S._(2003)."/>
      <w:bookmarkEnd w:id="11"/>
      <w:r w:rsidRPr="00B00BEB">
        <w:t>Dardjowidjojo, S. (2003). The Role of English in Indonesia: A Dilemma. In K. E. Sukamto (Ed.), Rampai Bahasa, Pendidikan, dan Budaya: Kumpulan Esai Soenjono Dardjowidjojo (pp. 41–50). Yayasan Obor Indonesia.</w:t>
      </w:r>
    </w:p>
    <w:p w14:paraId="3F579B87" w14:textId="77777777" w:rsidR="00947661" w:rsidRPr="00B00BEB" w:rsidRDefault="00947661" w:rsidP="00B00BEB">
      <w:pPr>
        <w:spacing w:after="120"/>
        <w:ind w:left="567" w:hanging="567"/>
      </w:pPr>
      <w:bookmarkStart w:id="12" w:name="_Darvin,_R.,_&amp;"/>
      <w:bookmarkEnd w:id="12"/>
      <w:r w:rsidRPr="00B00BEB">
        <w:t xml:space="preserve">Darvin, R., &amp; Norton, B. (2015). Identity and a Model of Investment in Applied Linguistics. Annual Review of Applied Linguistics, 35, 36–56. </w:t>
      </w:r>
      <w:hyperlink r:id="rId20" w:history="1">
        <w:r w:rsidRPr="00B00BEB">
          <w:rPr>
            <w:rStyle w:val="Hyperlink"/>
          </w:rPr>
          <w:t>https://doi.org/10.1017/S0267190514000191</w:t>
        </w:r>
      </w:hyperlink>
      <w:r w:rsidRPr="00B00BEB">
        <w:t xml:space="preserve"> </w:t>
      </w:r>
    </w:p>
    <w:p w14:paraId="1EF65A12" w14:textId="77777777" w:rsidR="00947661" w:rsidRPr="00B00BEB" w:rsidRDefault="00947661" w:rsidP="00B00BEB">
      <w:pPr>
        <w:spacing w:after="120"/>
        <w:ind w:left="567" w:hanging="567"/>
      </w:pPr>
      <w:bookmarkStart w:id="13" w:name="_Derwing,_T._M.,"/>
      <w:bookmarkEnd w:id="13"/>
      <w:r w:rsidRPr="00B00BEB">
        <w:t xml:space="preserve">Derwing, T. M., &amp; Munro, M. J. (2009). Putting accent in its place: Rethinking obstacles to communication. Language Teaching, 42(4), 476–490. </w:t>
      </w:r>
      <w:hyperlink r:id="rId21" w:history="1">
        <w:r w:rsidRPr="00B00BEB">
          <w:rPr>
            <w:rStyle w:val="Hyperlink"/>
          </w:rPr>
          <w:t>https://doi.org/10.1017/S026144480800551X</w:t>
        </w:r>
      </w:hyperlink>
      <w:r w:rsidRPr="00B00BEB">
        <w:t xml:space="preserve"> </w:t>
      </w:r>
    </w:p>
    <w:p w14:paraId="6BEA17B6" w14:textId="77777777" w:rsidR="00947661" w:rsidRPr="00B00BEB" w:rsidRDefault="00947661" w:rsidP="00B00BEB">
      <w:pPr>
        <w:spacing w:after="120"/>
        <w:ind w:left="567" w:hanging="567"/>
      </w:pPr>
      <w:bookmarkStart w:id="14" w:name="_Dogancay-Aktuna,_S.,_&amp;"/>
      <w:bookmarkEnd w:id="14"/>
      <w:r w:rsidRPr="00B00BEB">
        <w:t xml:space="preserve">Dogancay-Aktuna, S., &amp; Hardman, J. (2018). Teaching of English as an International Language in Various Contexts: Nothing is as Practical as Good Theory. RELC Journal, 49(1), 74–87. </w:t>
      </w:r>
      <w:hyperlink r:id="rId22" w:history="1">
        <w:r w:rsidRPr="00B00BEB">
          <w:rPr>
            <w:rStyle w:val="Hyperlink"/>
          </w:rPr>
          <w:t>https://doi.org/10.1177/0033688217750642</w:t>
        </w:r>
      </w:hyperlink>
      <w:r w:rsidRPr="00B00BEB">
        <w:t xml:space="preserve"> </w:t>
      </w:r>
    </w:p>
    <w:p w14:paraId="0E9CA3A5" w14:textId="77777777" w:rsidR="00947661" w:rsidRPr="00B00BEB" w:rsidRDefault="00947661" w:rsidP="00B00BEB">
      <w:pPr>
        <w:spacing w:after="120"/>
        <w:ind w:left="567" w:hanging="567"/>
      </w:pPr>
      <w:bookmarkStart w:id="15" w:name="_Dovchin,_S._(2017a)."/>
      <w:bookmarkEnd w:id="15"/>
      <w:r w:rsidRPr="00B00BEB">
        <w:t xml:space="preserve">Dovchin, S. (2017a). The ordinariness of youth linguascapes in Mongolia. International Journal of Multilingualism, 14(2), 144–159. </w:t>
      </w:r>
      <w:hyperlink r:id="rId23" w:history="1">
        <w:r w:rsidRPr="00B00BEB">
          <w:rPr>
            <w:rStyle w:val="Hyperlink"/>
          </w:rPr>
          <w:t>https://doi.org/10.1080/14790718.2016.1155592</w:t>
        </w:r>
      </w:hyperlink>
      <w:r w:rsidRPr="00B00BEB">
        <w:t xml:space="preserve"> </w:t>
      </w:r>
    </w:p>
    <w:p w14:paraId="2A3EB49A" w14:textId="77777777" w:rsidR="00947661" w:rsidRPr="00B00BEB" w:rsidRDefault="00947661" w:rsidP="00B00BEB">
      <w:pPr>
        <w:spacing w:after="120"/>
        <w:ind w:left="567" w:hanging="567"/>
      </w:pPr>
      <w:bookmarkStart w:id="16" w:name="_Dovchin,_S._(2017b)."/>
      <w:bookmarkEnd w:id="16"/>
      <w:r w:rsidRPr="00B00BEB">
        <w:lastRenderedPageBreak/>
        <w:t xml:space="preserve">Dovchin, S. (2017b). The ordinariness of youth linguascapes in Mongolia. International Journal of Multilingualism, 14(2), 144–159. </w:t>
      </w:r>
      <w:hyperlink r:id="rId24" w:history="1">
        <w:r w:rsidRPr="00B00BEB">
          <w:rPr>
            <w:rStyle w:val="Hyperlink"/>
          </w:rPr>
          <w:t>https://doi.org/10.1080/14790718.2016.1155592</w:t>
        </w:r>
      </w:hyperlink>
      <w:r w:rsidRPr="00B00BEB">
        <w:t xml:space="preserve"> </w:t>
      </w:r>
    </w:p>
    <w:p w14:paraId="42A3529C" w14:textId="77777777" w:rsidR="00947661" w:rsidRPr="00B00BEB" w:rsidRDefault="00947661" w:rsidP="00B00BEB">
      <w:pPr>
        <w:spacing w:after="120"/>
        <w:ind w:left="567" w:hanging="567"/>
      </w:pPr>
      <w:bookmarkStart w:id="17" w:name="_Endarto,_I._T."/>
      <w:bookmarkEnd w:id="17"/>
      <w:r w:rsidRPr="00B00BEB">
        <w:t xml:space="preserve">Endarto, I. T. (2020). A corpus-based lexical analysis of Indonesian English as a new variety. Indonesian Journal of Applied Linguistics, 10(1), 95–106. </w:t>
      </w:r>
      <w:hyperlink r:id="rId25" w:history="1">
        <w:r w:rsidRPr="00B00BEB">
          <w:rPr>
            <w:rStyle w:val="Hyperlink"/>
          </w:rPr>
          <w:t>https://doi.org/10.17509/ijal.v10i1.24993</w:t>
        </w:r>
      </w:hyperlink>
      <w:r w:rsidRPr="00B00BEB">
        <w:t xml:space="preserve"> </w:t>
      </w:r>
    </w:p>
    <w:p w14:paraId="0EA4FC46" w14:textId="77777777" w:rsidR="00947661" w:rsidRPr="00B00BEB" w:rsidRDefault="00947661" w:rsidP="00B00BEB">
      <w:pPr>
        <w:spacing w:after="120"/>
        <w:ind w:left="567" w:hanging="567"/>
      </w:pPr>
      <w:bookmarkStart w:id="18" w:name="_Errington,_J._(2007)."/>
      <w:bookmarkEnd w:id="18"/>
      <w:r w:rsidRPr="00B00BEB">
        <w:t xml:space="preserve">Errington, J. (2007). Linguistics in a Colonial World. Wiley. </w:t>
      </w:r>
      <w:hyperlink r:id="rId26" w:history="1">
        <w:r w:rsidRPr="00B00BEB">
          <w:rPr>
            <w:rStyle w:val="Hyperlink"/>
          </w:rPr>
          <w:t>https://doi.org/10.1002/9780470690765</w:t>
        </w:r>
      </w:hyperlink>
      <w:r w:rsidRPr="00B00BEB">
        <w:t xml:space="preserve"> </w:t>
      </w:r>
    </w:p>
    <w:p w14:paraId="6A6EB57C" w14:textId="77777777" w:rsidR="00947661" w:rsidRPr="00B00BEB" w:rsidRDefault="00947661" w:rsidP="00B00BEB">
      <w:pPr>
        <w:spacing w:after="120"/>
        <w:ind w:left="567" w:hanging="567"/>
      </w:pPr>
      <w:bookmarkStart w:id="19" w:name="_Fang,_F.,_Widodo,"/>
      <w:bookmarkEnd w:id="19"/>
      <w:r w:rsidRPr="00B00BEB">
        <w:t xml:space="preserve">Fang, F., Widodo, H. P., &amp; Elyas, T. (2022). Guest editors’ introduction: critical Global Englishes in language education. Asian Englishes, 24(2), 115–118. </w:t>
      </w:r>
      <w:hyperlink r:id="rId27" w:history="1">
        <w:r w:rsidRPr="00B00BEB">
          <w:rPr>
            <w:rStyle w:val="Hyperlink"/>
          </w:rPr>
          <w:t>https://doi.org/10.1080/13488678.2022.2076027</w:t>
        </w:r>
      </w:hyperlink>
      <w:r w:rsidRPr="00B00BEB">
        <w:t xml:space="preserve"> </w:t>
      </w:r>
    </w:p>
    <w:p w14:paraId="34354EC2" w14:textId="77777777" w:rsidR="00947661" w:rsidRPr="00B00BEB" w:rsidRDefault="00947661" w:rsidP="00B00BEB">
      <w:pPr>
        <w:spacing w:after="120"/>
        <w:ind w:left="567" w:hanging="567"/>
      </w:pPr>
      <w:bookmarkStart w:id="20" w:name="_Fithriani,_R._(2018)."/>
      <w:bookmarkEnd w:id="20"/>
      <w:r w:rsidRPr="00B00BEB">
        <w:t>Fithriani, R. (2018). Discrimination behind NEST and NNEST dichotomy in ELT professionalism. KnE Social Sciences.</w:t>
      </w:r>
    </w:p>
    <w:p w14:paraId="7C1B33DA" w14:textId="77777777" w:rsidR="00947661" w:rsidRPr="00B00BEB" w:rsidRDefault="00947661" w:rsidP="00B00BEB">
      <w:pPr>
        <w:spacing w:after="120"/>
        <w:ind w:left="567" w:hanging="567"/>
      </w:pPr>
      <w:bookmarkStart w:id="21" w:name="_Flores,_N.,_&amp;"/>
      <w:bookmarkEnd w:id="21"/>
      <w:r w:rsidRPr="00B00BEB">
        <w:t xml:space="preserve">Flores, N., &amp; Rosa, J. (2015). Undoing Appropriateness: Raciolinguistic Ideologies and Language Diversity in Education. Harvard Educational Review, 85(2), 149–171. </w:t>
      </w:r>
      <w:hyperlink r:id="rId28" w:history="1">
        <w:r w:rsidRPr="00B00BEB">
          <w:rPr>
            <w:rStyle w:val="Hyperlink"/>
          </w:rPr>
          <w:t>https://doi.org/10.17763/0017-8055.85.2.149</w:t>
        </w:r>
      </w:hyperlink>
      <w:r w:rsidRPr="00B00BEB">
        <w:t xml:space="preserve"> </w:t>
      </w:r>
    </w:p>
    <w:p w14:paraId="3AA1280F" w14:textId="77777777" w:rsidR="00947661" w:rsidRPr="00B00BEB" w:rsidRDefault="00947661" w:rsidP="00B00BEB">
      <w:pPr>
        <w:spacing w:after="120"/>
        <w:ind w:left="567" w:hanging="567"/>
      </w:pPr>
      <w:bookmarkStart w:id="22" w:name="_Floris,_F._(2020)."/>
      <w:bookmarkEnd w:id="22"/>
      <w:r w:rsidRPr="00B00BEB">
        <w:t xml:space="preserve">Floris, F. (2020). Promoting the Value of Non-Native English-Speaking Teachers. PASAA, 59(1), 1–19. </w:t>
      </w:r>
      <w:hyperlink r:id="rId29" w:history="1">
        <w:r w:rsidRPr="00B00BEB">
          <w:rPr>
            <w:rStyle w:val="Hyperlink"/>
          </w:rPr>
          <w:t>https://doi.org/10.58837/CHULA.PASAA.59.1.1</w:t>
        </w:r>
      </w:hyperlink>
      <w:r w:rsidRPr="00B00BEB">
        <w:t xml:space="preserve">   </w:t>
      </w:r>
    </w:p>
    <w:p w14:paraId="538A96A6" w14:textId="77777777" w:rsidR="00947661" w:rsidRPr="00B00BEB" w:rsidRDefault="00947661" w:rsidP="00B00BEB">
      <w:pPr>
        <w:spacing w:after="120"/>
        <w:ind w:left="567" w:hanging="567"/>
      </w:pPr>
      <w:bookmarkStart w:id="23" w:name="_Franssisca,_R._E.,"/>
      <w:bookmarkEnd w:id="23"/>
      <w:r w:rsidRPr="00B00BEB">
        <w:t xml:space="preserve">Franssisca, R. E., &amp; Subekti, A. S. (2022). Indonesian high school students’ attitudes towards varieties of English: A survey study. Studies in English Language and Education, 9(1), 318–330. </w:t>
      </w:r>
      <w:hyperlink r:id="rId30" w:history="1">
        <w:r w:rsidRPr="00B00BEB">
          <w:rPr>
            <w:rStyle w:val="Hyperlink"/>
          </w:rPr>
          <w:t>https://doi.org/10.24815/siele.v9i1.21911</w:t>
        </w:r>
      </w:hyperlink>
    </w:p>
    <w:p w14:paraId="06C237EC" w14:textId="77777777" w:rsidR="00947661" w:rsidRPr="00B00BEB" w:rsidRDefault="00947661" w:rsidP="00B00BEB">
      <w:pPr>
        <w:spacing w:after="120"/>
        <w:ind w:left="567" w:hanging="567"/>
      </w:pPr>
      <w:bookmarkStart w:id="24" w:name="_Friedrich,_P.,_&amp;"/>
      <w:bookmarkEnd w:id="24"/>
      <w:r w:rsidRPr="00B00BEB">
        <w:t xml:space="preserve">Friedrich, P., &amp; Matsuda, A. (2010). When Five Words Are Not Enough: A Conceptual and Terminological Discussion of English as a Lingua Franca. International Multilingual Research Journal, 4(1), 20–30. </w:t>
      </w:r>
      <w:hyperlink r:id="rId31" w:history="1">
        <w:r w:rsidRPr="00B00BEB">
          <w:rPr>
            <w:rStyle w:val="Hyperlink"/>
          </w:rPr>
          <w:t>https://doi.org/10.1080/19313150903500978</w:t>
        </w:r>
      </w:hyperlink>
      <w:r w:rsidRPr="00B00BEB">
        <w:t xml:space="preserve"> </w:t>
      </w:r>
    </w:p>
    <w:p w14:paraId="63E81580" w14:textId="77777777" w:rsidR="00947661" w:rsidRPr="00B00BEB" w:rsidRDefault="00947661" w:rsidP="00B00BEB">
      <w:pPr>
        <w:spacing w:after="120"/>
        <w:ind w:left="567" w:hanging="567"/>
      </w:pPr>
      <w:bookmarkStart w:id="25" w:name="_Hamied,_F._A."/>
      <w:bookmarkEnd w:id="25"/>
      <w:r w:rsidRPr="00B00BEB">
        <w:t xml:space="preserve">Hamied, F. A. (2012). English in Multicultural and Multilingual Indonesian Education (pp. 63–78). </w:t>
      </w:r>
      <w:hyperlink r:id="rId32" w:history="1">
        <w:r w:rsidRPr="00B00BEB">
          <w:rPr>
            <w:rStyle w:val="Hyperlink"/>
          </w:rPr>
          <w:t>https://doi.org/10.1007/978-94-007-4578-0_5</w:t>
        </w:r>
      </w:hyperlink>
      <w:r w:rsidRPr="00B00BEB">
        <w:t xml:space="preserve"> </w:t>
      </w:r>
    </w:p>
    <w:p w14:paraId="598DB540" w14:textId="77777777" w:rsidR="00947661" w:rsidRPr="00B00BEB" w:rsidRDefault="00947661" w:rsidP="00B00BEB">
      <w:pPr>
        <w:spacing w:after="120"/>
        <w:ind w:left="567" w:hanging="567"/>
      </w:pPr>
      <w:bookmarkStart w:id="26" w:name="_Harrington,_C._(2022)."/>
      <w:bookmarkEnd w:id="26"/>
      <w:r w:rsidRPr="00B00BEB">
        <w:t xml:space="preserve">Harrington, C. (2022). Problematizing Men and Toxic Masculinity. In Neoliberal Sexual Violence Politics (pp. 43–73). Springer International Publishing. </w:t>
      </w:r>
      <w:hyperlink r:id="rId33" w:history="1">
        <w:r w:rsidRPr="00B00BEB">
          <w:rPr>
            <w:rStyle w:val="Hyperlink"/>
          </w:rPr>
          <w:t>https://doi.org/10.1007/978-3-031-07088-4_3</w:t>
        </w:r>
      </w:hyperlink>
      <w:r w:rsidRPr="00B00BEB">
        <w:t xml:space="preserve"> </w:t>
      </w:r>
    </w:p>
    <w:p w14:paraId="2C6F4BB7" w14:textId="77777777" w:rsidR="00947661" w:rsidRPr="00B00BEB" w:rsidRDefault="00947661" w:rsidP="00B00BEB">
      <w:pPr>
        <w:spacing w:after="120"/>
        <w:ind w:left="567" w:hanging="567"/>
      </w:pPr>
      <w:bookmarkStart w:id="27" w:name="_Hino,_N._(2018)."/>
      <w:bookmarkEnd w:id="27"/>
      <w:r w:rsidRPr="00B00BEB">
        <w:t xml:space="preserve">Hino, N. (2018). EIL Education for the Expanding Circle. Routledge. </w:t>
      </w:r>
      <w:hyperlink r:id="rId34" w:history="1">
        <w:r w:rsidRPr="00B00BEB">
          <w:rPr>
            <w:rStyle w:val="Hyperlink"/>
          </w:rPr>
          <w:t>https://doi.org/10.4324/9781315209449</w:t>
        </w:r>
      </w:hyperlink>
      <w:r w:rsidRPr="00B00BEB">
        <w:t xml:space="preserve"> </w:t>
      </w:r>
    </w:p>
    <w:p w14:paraId="44B881CC" w14:textId="77777777" w:rsidR="00947661" w:rsidRPr="00B00BEB" w:rsidRDefault="00947661" w:rsidP="00B00BEB">
      <w:pPr>
        <w:spacing w:after="120"/>
        <w:ind w:left="567" w:hanging="567"/>
      </w:pPr>
      <w:bookmarkStart w:id="28" w:name="_Holliday,_A._(2006)."/>
      <w:bookmarkEnd w:id="28"/>
      <w:r w:rsidRPr="00B00BEB">
        <w:t xml:space="preserve">Holliday, A. (2006). Native-speakerism. ELT Journal, 60(4), 385–387. </w:t>
      </w:r>
      <w:hyperlink r:id="rId35" w:history="1">
        <w:r w:rsidRPr="00B00BEB">
          <w:rPr>
            <w:rStyle w:val="Hyperlink"/>
          </w:rPr>
          <w:t>https://doi.org/10.1093/elt/ccl030</w:t>
        </w:r>
      </w:hyperlink>
      <w:r w:rsidRPr="00B00BEB">
        <w:t xml:space="preserve"> </w:t>
      </w:r>
    </w:p>
    <w:p w14:paraId="75585289" w14:textId="77777777" w:rsidR="00947661" w:rsidRPr="00B00BEB" w:rsidRDefault="00947661" w:rsidP="00B00BEB">
      <w:pPr>
        <w:spacing w:after="120"/>
        <w:ind w:left="567" w:hanging="567"/>
      </w:pPr>
      <w:bookmarkStart w:id="29" w:name="_Holliday,_A._(2015)."/>
      <w:bookmarkEnd w:id="29"/>
      <w:r w:rsidRPr="00B00BEB">
        <w:t xml:space="preserve">Holliday, A. (2015). Native-speakerism: Taking the Concept Forward and Achieving Cultural Belief. In (En)Countering Native-speakerism (pp. 11–25). Palgrave Macmillan UK. </w:t>
      </w:r>
      <w:hyperlink r:id="rId36" w:history="1">
        <w:r w:rsidRPr="00B00BEB">
          <w:rPr>
            <w:rStyle w:val="Hyperlink"/>
          </w:rPr>
          <w:t>https://doi.org/10.1057/9781137463500_2</w:t>
        </w:r>
      </w:hyperlink>
      <w:r w:rsidRPr="00B00BEB">
        <w:t xml:space="preserve"> </w:t>
      </w:r>
    </w:p>
    <w:p w14:paraId="58635365" w14:textId="77777777" w:rsidR="00947661" w:rsidRPr="00B00BEB" w:rsidRDefault="00947661" w:rsidP="00B00BEB">
      <w:pPr>
        <w:spacing w:after="120"/>
        <w:ind w:left="567" w:hanging="567"/>
      </w:pPr>
      <w:bookmarkStart w:id="30" w:name="_Honna,_N._(2005)."/>
      <w:bookmarkEnd w:id="30"/>
      <w:r w:rsidRPr="00B00BEB">
        <w:t>Honna, N. (2005). English as a multicultural language in Asia and intercultural literacy. Intercultural Communication Studies, 14(2), 73–89.</w:t>
      </w:r>
    </w:p>
    <w:p w14:paraId="75832CD2" w14:textId="77777777" w:rsidR="00947661" w:rsidRPr="00B00BEB" w:rsidRDefault="00947661" w:rsidP="00B00BEB">
      <w:pPr>
        <w:spacing w:after="120"/>
        <w:ind w:left="567" w:hanging="567"/>
      </w:pPr>
      <w:bookmarkStart w:id="31" w:name="_Irham,_Huda,_M.,"/>
      <w:bookmarkEnd w:id="31"/>
      <w:r w:rsidRPr="00B00BEB">
        <w:t xml:space="preserve">Irham, Huda, M., Sari, R., &amp; Rofiq, Z. (2022). ELF and multilingual justice in English language teaching practices: voices from Indonesian English lecturers. Asian Englishes, 24(3), 263–278. </w:t>
      </w:r>
      <w:hyperlink r:id="rId37" w:history="1">
        <w:r w:rsidRPr="00B00BEB">
          <w:rPr>
            <w:rStyle w:val="Hyperlink"/>
          </w:rPr>
          <w:t>https://doi.org/10.1080/13488678.2021.1949779</w:t>
        </w:r>
      </w:hyperlink>
      <w:r w:rsidRPr="00B00BEB">
        <w:t xml:space="preserve"> </w:t>
      </w:r>
    </w:p>
    <w:p w14:paraId="445B5A0B" w14:textId="77777777" w:rsidR="00947661" w:rsidRPr="00B00BEB" w:rsidRDefault="00947661" w:rsidP="00B00BEB">
      <w:pPr>
        <w:spacing w:after="120"/>
        <w:ind w:left="567" w:hanging="567"/>
      </w:pPr>
      <w:bookmarkStart w:id="32" w:name="_Jeanneau,_C.,_&amp;"/>
      <w:bookmarkEnd w:id="32"/>
      <w:r w:rsidRPr="00B00BEB">
        <w:t xml:space="preserve">Jeanneau, C., &amp; Ollivier, C. (2023). Training citizens as users of languages and digital technology. Real-world tasks to tame the digital wilds. Language Learning in Higher Education, 13(2), 591–598. </w:t>
      </w:r>
      <w:hyperlink r:id="rId38" w:history="1">
        <w:r w:rsidRPr="00B00BEB">
          <w:rPr>
            <w:rStyle w:val="Hyperlink"/>
          </w:rPr>
          <w:t>https://doi.org/10.1515/cercles-2023-2020</w:t>
        </w:r>
      </w:hyperlink>
      <w:r w:rsidRPr="00B00BEB">
        <w:t xml:space="preserve"> </w:t>
      </w:r>
    </w:p>
    <w:p w14:paraId="7F9A253E" w14:textId="77777777" w:rsidR="00947661" w:rsidRPr="00B00BEB" w:rsidRDefault="00947661" w:rsidP="00B00BEB">
      <w:pPr>
        <w:spacing w:after="120"/>
        <w:ind w:left="567" w:hanging="567"/>
      </w:pPr>
      <w:bookmarkStart w:id="33" w:name="_Jenkins,_J._(2000)."/>
      <w:bookmarkEnd w:id="33"/>
      <w:r w:rsidRPr="00B00BEB">
        <w:t>Jenkins, J. (2000). The phonology of English as an international language: New models, new norms, new goals. Oxford University Press.</w:t>
      </w:r>
    </w:p>
    <w:p w14:paraId="5793C624" w14:textId="77777777" w:rsidR="00947661" w:rsidRPr="00B00BEB" w:rsidRDefault="00947661" w:rsidP="00B00BEB">
      <w:pPr>
        <w:spacing w:after="120"/>
        <w:ind w:left="567" w:hanging="567"/>
      </w:pPr>
      <w:bookmarkStart w:id="34" w:name="_Jenkins,_J._(2009)."/>
      <w:bookmarkEnd w:id="34"/>
      <w:r w:rsidRPr="00B00BEB">
        <w:t xml:space="preserve">Jenkins, J. (2009). English as a lingua franca: interpretations and attitudes. World Englishes, 28(2), 200–207. </w:t>
      </w:r>
      <w:hyperlink r:id="rId39" w:history="1">
        <w:r w:rsidRPr="00B00BEB">
          <w:rPr>
            <w:rStyle w:val="Hyperlink"/>
          </w:rPr>
          <w:t>https://doi.org/10.1111/j.1467-971X.2009.01582.x</w:t>
        </w:r>
      </w:hyperlink>
      <w:r w:rsidRPr="00B00BEB">
        <w:t xml:space="preserve"> </w:t>
      </w:r>
    </w:p>
    <w:p w14:paraId="5B252E6A" w14:textId="77777777" w:rsidR="00947661" w:rsidRPr="00B00BEB" w:rsidRDefault="00947661" w:rsidP="00B00BEB">
      <w:pPr>
        <w:spacing w:after="120"/>
        <w:ind w:left="567" w:hanging="567"/>
      </w:pPr>
      <w:bookmarkStart w:id="35" w:name="_Kachru,_B._B."/>
      <w:bookmarkEnd w:id="35"/>
      <w:r w:rsidRPr="00B00BEB">
        <w:lastRenderedPageBreak/>
        <w:t xml:space="preserve">Kachru, B. B. (1992). World Englishes: approaches, issues and resources. Language Teaching, 25(1), 1–14. </w:t>
      </w:r>
      <w:hyperlink r:id="rId40" w:history="1">
        <w:r w:rsidRPr="00B00BEB">
          <w:rPr>
            <w:rStyle w:val="Hyperlink"/>
          </w:rPr>
          <w:t>https://doi.org/10.1017/S0261444800006583</w:t>
        </w:r>
      </w:hyperlink>
      <w:r w:rsidRPr="00B00BEB">
        <w:t xml:space="preserve"> </w:t>
      </w:r>
    </w:p>
    <w:p w14:paraId="3C728275" w14:textId="77777777" w:rsidR="00947661" w:rsidRPr="00B00BEB" w:rsidRDefault="00947661" w:rsidP="00B00BEB">
      <w:pPr>
        <w:spacing w:after="120"/>
        <w:ind w:left="567" w:hanging="567"/>
      </w:pPr>
      <w:bookmarkStart w:id="36" w:name="_Kang,_O.,_&amp;"/>
      <w:bookmarkEnd w:id="36"/>
      <w:r w:rsidRPr="00B00BEB">
        <w:t xml:space="preserve">Kang, O., &amp; Rubin, D. L. (2009). Reverse Linguistic Stereotyping: Measuring the Effect of Listener Expectations on Speech Evaluation. Journal of Language and Social Psychology, 28(4), 441–456. </w:t>
      </w:r>
      <w:hyperlink r:id="rId41" w:history="1">
        <w:r w:rsidRPr="00B00BEB">
          <w:rPr>
            <w:rStyle w:val="Hyperlink"/>
          </w:rPr>
          <w:t>https://doi.org/10.1177/0261927X09341950</w:t>
        </w:r>
      </w:hyperlink>
      <w:r w:rsidRPr="00B00BEB">
        <w:t xml:space="preserve"> </w:t>
      </w:r>
    </w:p>
    <w:p w14:paraId="10039634" w14:textId="77777777" w:rsidR="00947661" w:rsidRPr="00B00BEB" w:rsidRDefault="00947661" w:rsidP="00B00BEB">
      <w:pPr>
        <w:spacing w:after="120"/>
        <w:ind w:left="567" w:hanging="567"/>
      </w:pPr>
      <w:bookmarkStart w:id="37" w:name="_Karimah,_S._A."/>
      <w:bookmarkEnd w:id="37"/>
      <w:r w:rsidRPr="00B00BEB">
        <w:t xml:space="preserve">Karimah, S. A. (2021). English Used on Social Media Among Indonesian’s Netizen: Sociolinguistics Approach. Muqoddima Jurnal Pemikiran Dan Riset Sosiologi, 2(2), 115–128. </w:t>
      </w:r>
      <w:hyperlink r:id="rId42" w:history="1">
        <w:r w:rsidRPr="00B00BEB">
          <w:rPr>
            <w:rStyle w:val="Hyperlink"/>
          </w:rPr>
          <w:t>https://doi.org/10.47776/MJPRS.002.02.02</w:t>
        </w:r>
      </w:hyperlink>
      <w:r w:rsidRPr="00B00BEB">
        <w:t xml:space="preserve"> </w:t>
      </w:r>
    </w:p>
    <w:p w14:paraId="74A5F83E" w14:textId="77777777" w:rsidR="00947661" w:rsidRPr="00B00BEB" w:rsidRDefault="00947661" w:rsidP="00B00BEB">
      <w:pPr>
        <w:spacing w:after="120"/>
        <w:ind w:left="567" w:hanging="567"/>
      </w:pPr>
      <w:bookmarkStart w:id="38" w:name="_Khazanah,_D._(2023)."/>
      <w:bookmarkEnd w:id="38"/>
      <w:r w:rsidRPr="00B00BEB">
        <w:t xml:space="preserve">Khazanah, D. (2023). Exploring Indonesian Learners’ Attitudes and Beliefs toward English Accents: A Case Study in an Indonesian University. Journal of English Language Teaching and Linguistics, 8(3), 249. </w:t>
      </w:r>
      <w:hyperlink r:id="rId43" w:history="1">
        <w:r w:rsidRPr="00B00BEB">
          <w:rPr>
            <w:rStyle w:val="Hyperlink"/>
          </w:rPr>
          <w:t>https://doi.org/10.21462/jeltl.v8i3.1153</w:t>
        </w:r>
      </w:hyperlink>
      <w:r w:rsidRPr="00B00BEB">
        <w:t xml:space="preserve"> </w:t>
      </w:r>
    </w:p>
    <w:p w14:paraId="1E315AF0" w14:textId="77777777" w:rsidR="00947661" w:rsidRPr="00B00BEB" w:rsidRDefault="00947661" w:rsidP="00B00BEB">
      <w:pPr>
        <w:spacing w:after="120"/>
        <w:ind w:left="567" w:hanging="567"/>
      </w:pPr>
      <w:bookmarkStart w:id="39" w:name="_Kirkpatrick,_A._(2012)."/>
      <w:bookmarkEnd w:id="39"/>
      <w:r w:rsidRPr="00B00BEB">
        <w:t xml:space="preserve">Kirkpatrick, A. (2012). English in ASEAN: implications for regional multilingualism. Journal of Multilingual and Multicultural Development, 33(4), 331–344. </w:t>
      </w:r>
      <w:hyperlink r:id="rId44" w:history="1">
        <w:r w:rsidRPr="00B00BEB">
          <w:rPr>
            <w:rStyle w:val="Hyperlink"/>
          </w:rPr>
          <w:t>https://doi.org/10.1080/01434632.2012.661433</w:t>
        </w:r>
      </w:hyperlink>
      <w:r w:rsidRPr="00B00BEB">
        <w:t xml:space="preserve"> </w:t>
      </w:r>
    </w:p>
    <w:p w14:paraId="667A58C4" w14:textId="77777777" w:rsidR="00947661" w:rsidRPr="00B00BEB" w:rsidRDefault="00947661" w:rsidP="00B00BEB">
      <w:pPr>
        <w:spacing w:after="120"/>
        <w:ind w:left="567" w:hanging="567"/>
      </w:pPr>
      <w:bookmarkStart w:id="40" w:name="_Komska,_Y.,_Moyd,"/>
      <w:bookmarkEnd w:id="40"/>
      <w:r w:rsidRPr="00B00BEB">
        <w:t xml:space="preserve">Komska, Y., Moyd, M., &amp; Gramling, D. (2019). Linguistic Disobedience. Springer International Publishing. </w:t>
      </w:r>
      <w:hyperlink r:id="rId45" w:history="1">
        <w:r w:rsidRPr="00B00BEB">
          <w:rPr>
            <w:rStyle w:val="Hyperlink"/>
          </w:rPr>
          <w:t>https://doi.org/10.1007/978-3-319-92010-8</w:t>
        </w:r>
      </w:hyperlink>
      <w:r w:rsidRPr="00B00BEB">
        <w:t xml:space="preserve"> </w:t>
      </w:r>
    </w:p>
    <w:p w14:paraId="7EAC3E27" w14:textId="77777777" w:rsidR="00947661" w:rsidRPr="00B00BEB" w:rsidRDefault="00947661" w:rsidP="00B00BEB">
      <w:pPr>
        <w:spacing w:after="120"/>
        <w:ind w:left="567" w:hanging="567"/>
      </w:pPr>
      <w:bookmarkStart w:id="41" w:name="_Kubota,_R._(2016)."/>
      <w:bookmarkEnd w:id="41"/>
      <w:r w:rsidRPr="00B00BEB">
        <w:t xml:space="preserve">Kubota, R. (2016). The Multi/Plural Turn, Postcolonial Theory, and Neoliberal Multiculturalism: Complicities and Implications for Applied Linguistics. Applied Linguistics, 37(4), 474–494. </w:t>
      </w:r>
      <w:hyperlink r:id="rId46" w:history="1">
        <w:r w:rsidRPr="00B00BEB">
          <w:rPr>
            <w:rStyle w:val="Hyperlink"/>
          </w:rPr>
          <w:t>https://doi.org/10.1093/applin/amu045</w:t>
        </w:r>
      </w:hyperlink>
      <w:r w:rsidRPr="00B00BEB">
        <w:t xml:space="preserve"> </w:t>
      </w:r>
    </w:p>
    <w:p w14:paraId="30D94E0A" w14:textId="77777777" w:rsidR="00947661" w:rsidRPr="00B00BEB" w:rsidRDefault="00947661" w:rsidP="00B00BEB">
      <w:pPr>
        <w:spacing w:after="120"/>
        <w:ind w:left="567" w:hanging="567"/>
      </w:pPr>
      <w:bookmarkStart w:id="42" w:name="_Kumaravadivelu,_B._(2003)."/>
      <w:bookmarkEnd w:id="42"/>
      <w:r w:rsidRPr="00B00BEB">
        <w:t xml:space="preserve">Kumaravadivelu, B. (2003). A Postmethod Perspective on English Language Teaching. World Englishes, 22(4), 539–550. </w:t>
      </w:r>
      <w:hyperlink r:id="rId47" w:history="1">
        <w:r w:rsidRPr="00B00BEB">
          <w:rPr>
            <w:rStyle w:val="Hyperlink"/>
          </w:rPr>
          <w:t>https://doi.org/10.1111/j.1467-971X.2003.00317.x</w:t>
        </w:r>
      </w:hyperlink>
      <w:r w:rsidRPr="00B00BEB">
        <w:t xml:space="preserve"> </w:t>
      </w:r>
    </w:p>
    <w:p w14:paraId="1B939074" w14:textId="77777777" w:rsidR="00947661" w:rsidRPr="00B00BEB" w:rsidRDefault="00947661" w:rsidP="00B00BEB">
      <w:pPr>
        <w:spacing w:after="120"/>
        <w:ind w:left="567" w:hanging="567"/>
      </w:pPr>
      <w:bookmarkStart w:id="43" w:name="_Kumaravadivelu,_B._(2016)."/>
      <w:bookmarkEnd w:id="43"/>
      <w:r w:rsidRPr="00B00BEB">
        <w:t xml:space="preserve">Kumaravadivelu, B. (2016). The Decolonial Option in English Teaching: Can the Subaltern Act? TESOL Quarterly, 50(1). </w:t>
      </w:r>
      <w:hyperlink r:id="rId48" w:history="1">
        <w:r w:rsidRPr="00B00BEB">
          <w:rPr>
            <w:rStyle w:val="Hyperlink"/>
          </w:rPr>
          <w:t>https://doi.org/10.1002/tesq.202</w:t>
        </w:r>
      </w:hyperlink>
      <w:r w:rsidRPr="00B00BEB">
        <w:t xml:space="preserve"> </w:t>
      </w:r>
    </w:p>
    <w:p w14:paraId="07197C2C" w14:textId="77777777" w:rsidR="00947661" w:rsidRPr="00B00BEB" w:rsidRDefault="00947661" w:rsidP="00B00BEB">
      <w:pPr>
        <w:spacing w:after="120"/>
        <w:ind w:left="567" w:hanging="567"/>
      </w:pPr>
      <w:bookmarkStart w:id="44" w:name="_Kurniasari,_M._D.,"/>
      <w:bookmarkEnd w:id="44"/>
      <w:r w:rsidRPr="00B00BEB">
        <w:t xml:space="preserve">Kurniasari, M. D., &amp; Mbato, C. L. (2018). INDONESIAN STUDENTS’ LANGUAGE ATTITUDES TOWARDS INDONESIAN AND ENGLISH THROUGH EDUCATION AND WORKING FRAME. LLT Journal: A Journal on Language and Language Teaching, 21(Suppl), 69–86. </w:t>
      </w:r>
      <w:hyperlink r:id="rId49" w:history="1">
        <w:r w:rsidRPr="00B00BEB">
          <w:rPr>
            <w:rStyle w:val="Hyperlink"/>
          </w:rPr>
          <w:t>https://doi.org/10.24071/llt.v21iSuppl.1184</w:t>
        </w:r>
      </w:hyperlink>
      <w:r w:rsidRPr="00B00BEB">
        <w:t xml:space="preserve"> </w:t>
      </w:r>
    </w:p>
    <w:p w14:paraId="77BD6924" w14:textId="77777777" w:rsidR="00947661" w:rsidRPr="00B00BEB" w:rsidRDefault="00947661" w:rsidP="00B00BEB">
      <w:pPr>
        <w:spacing w:after="120"/>
        <w:ind w:left="567" w:hanging="567"/>
      </w:pPr>
      <w:bookmarkStart w:id="45" w:name="_Kusters,_A.,_Spotti,"/>
      <w:bookmarkEnd w:id="45"/>
      <w:r w:rsidRPr="00B00BEB">
        <w:t xml:space="preserve">Kusters, A., Spotti, M., Swanwick, R., &amp; Tapio, E. (2017). Beyond languages, beyond modalities: transforming the study of semiotic repertoires. International Journal of Multilingualism, 14(3), 219–232. </w:t>
      </w:r>
      <w:hyperlink r:id="rId50" w:history="1">
        <w:r w:rsidRPr="00B00BEB">
          <w:rPr>
            <w:rStyle w:val="Hyperlink"/>
          </w:rPr>
          <w:t>https://doi.org/10.1080/14790718.2017.1321651</w:t>
        </w:r>
      </w:hyperlink>
      <w:r w:rsidRPr="00B00BEB">
        <w:t xml:space="preserve"> </w:t>
      </w:r>
    </w:p>
    <w:p w14:paraId="38777D05" w14:textId="77777777" w:rsidR="00947661" w:rsidRPr="00B00BEB" w:rsidRDefault="00947661" w:rsidP="00B00BEB">
      <w:pPr>
        <w:spacing w:after="120"/>
        <w:ind w:left="567" w:hanging="567"/>
      </w:pPr>
      <w:bookmarkStart w:id="46" w:name="_Lamb,_M.,_&amp;"/>
      <w:bookmarkEnd w:id="46"/>
      <w:r w:rsidRPr="00B00BEB">
        <w:t xml:space="preserve">Lamb, M., &amp; Coleman, H. (2008). Literacy in English and the Transformation of Self and Society in Post-Soeharto Indonesia. International Journal of Bilingual Education and Bilingualism, 11(2), 189–205. </w:t>
      </w:r>
      <w:hyperlink r:id="rId51" w:history="1">
        <w:r w:rsidRPr="00B00BEB">
          <w:rPr>
            <w:rStyle w:val="Hyperlink"/>
          </w:rPr>
          <w:t>https://doi.org/10.2167/beb493.0</w:t>
        </w:r>
      </w:hyperlink>
      <w:r w:rsidRPr="00B00BEB">
        <w:t xml:space="preserve"> </w:t>
      </w:r>
    </w:p>
    <w:p w14:paraId="5B03F4DE" w14:textId="77777777" w:rsidR="00947661" w:rsidRPr="00B00BEB" w:rsidRDefault="00947661" w:rsidP="00B00BEB">
      <w:pPr>
        <w:spacing w:after="120"/>
        <w:ind w:left="567" w:hanging="567"/>
      </w:pPr>
      <w:bookmarkStart w:id="47" w:name="_Lauder,_A._(2008)."/>
      <w:bookmarkEnd w:id="47"/>
      <w:r w:rsidRPr="00B00BEB">
        <w:t xml:space="preserve">Lauder, A. (2008). THE STATUS AND FUNCTION OF ENGLISH IN INDONESIA: A REVIEW OF KEY FACTORS. Makara Human Behavior Studies in Asia, 12(1), 9. </w:t>
      </w:r>
      <w:bookmarkStart w:id="48" w:name="_Hlk197538716"/>
      <w:r w:rsidRPr="00B00BEB">
        <w:fldChar w:fldCharType="begin"/>
      </w:r>
      <w:r w:rsidRPr="00B00BEB">
        <w:instrText>HYPERLINK "https://doi.org/10.7454/mssh.v12i1.128"</w:instrText>
      </w:r>
      <w:r w:rsidRPr="00B00BEB">
        <w:fldChar w:fldCharType="separate"/>
      </w:r>
      <w:r w:rsidRPr="00B00BEB">
        <w:rPr>
          <w:rStyle w:val="Hyperlink"/>
        </w:rPr>
        <w:t>https://doi.org/10.7454/mssh.v12i1.128</w:t>
      </w:r>
      <w:r w:rsidRPr="00B00BEB">
        <w:fldChar w:fldCharType="end"/>
      </w:r>
      <w:r w:rsidRPr="00B00BEB">
        <w:t xml:space="preserve"> </w:t>
      </w:r>
    </w:p>
    <w:p w14:paraId="41D5D080" w14:textId="77777777" w:rsidR="00947661" w:rsidRPr="00B00BEB" w:rsidRDefault="00947661" w:rsidP="00B00BEB">
      <w:pPr>
        <w:spacing w:after="120"/>
        <w:ind w:left="567" w:hanging="567"/>
      </w:pPr>
      <w:bookmarkStart w:id="49" w:name="_Lindermann,_S._(2002)."/>
      <w:bookmarkEnd w:id="48"/>
      <w:bookmarkEnd w:id="49"/>
      <w:r w:rsidRPr="00B00BEB">
        <w:t xml:space="preserve">Lindermann, S. (2002). Listening with an attitude: A model of native-speaker comprehension of non-native speakers in the United States. Language in Society, 31(3), 419–441. </w:t>
      </w:r>
      <w:hyperlink r:id="rId52" w:history="1">
        <w:r w:rsidRPr="00B00BEB">
          <w:rPr>
            <w:rStyle w:val="Hyperlink"/>
          </w:rPr>
          <w:t>https://doi.org/10.1017/S0047404502020286</w:t>
        </w:r>
      </w:hyperlink>
      <w:r w:rsidRPr="00B00BEB">
        <w:t xml:space="preserve"> </w:t>
      </w:r>
    </w:p>
    <w:p w14:paraId="42AC8EE6" w14:textId="77777777" w:rsidR="00947661" w:rsidRPr="00B00BEB" w:rsidRDefault="00947661" w:rsidP="00B00BEB">
      <w:pPr>
        <w:spacing w:after="120"/>
        <w:ind w:left="567" w:hanging="567"/>
      </w:pPr>
      <w:bookmarkStart w:id="50" w:name="_Lippi-Green,_R._(2012)."/>
      <w:bookmarkEnd w:id="50"/>
      <w:r w:rsidRPr="00B00BEB">
        <w:t xml:space="preserve">Lippi-Green, R. (2012). English with an Accent. Routledge. </w:t>
      </w:r>
      <w:hyperlink r:id="rId53" w:history="1">
        <w:r w:rsidRPr="00B00BEB">
          <w:rPr>
            <w:rStyle w:val="Hyperlink"/>
          </w:rPr>
          <w:t>https://doi.org/10.4324/9780203348802</w:t>
        </w:r>
      </w:hyperlink>
      <w:r w:rsidRPr="00B00BEB">
        <w:t xml:space="preserve"> </w:t>
      </w:r>
    </w:p>
    <w:p w14:paraId="70F2E392" w14:textId="77777777" w:rsidR="00947661" w:rsidRPr="00B00BEB" w:rsidRDefault="00947661" w:rsidP="00B00BEB">
      <w:pPr>
        <w:spacing w:after="120"/>
        <w:ind w:left="567" w:hanging="567"/>
      </w:pPr>
      <w:bookmarkStart w:id="51" w:name="_Lowenberg,_P._H."/>
      <w:bookmarkEnd w:id="51"/>
      <w:r w:rsidRPr="00B00BEB">
        <w:t xml:space="preserve">Lowenberg, P. H. (1991). English as an additional language in Indonesia. World Englishes, 10(2), 127–138. </w:t>
      </w:r>
      <w:hyperlink r:id="rId54" w:history="1">
        <w:r w:rsidRPr="00B00BEB">
          <w:rPr>
            <w:rStyle w:val="Hyperlink"/>
          </w:rPr>
          <w:t>https://doi.org/10.1111/j.1467-971X.1991.tb00146.x</w:t>
        </w:r>
      </w:hyperlink>
      <w:r w:rsidRPr="00B00BEB">
        <w:t xml:space="preserve"> </w:t>
      </w:r>
    </w:p>
    <w:p w14:paraId="311145F6" w14:textId="77777777" w:rsidR="00947661" w:rsidRPr="00B00BEB" w:rsidRDefault="00947661" w:rsidP="00B00BEB">
      <w:pPr>
        <w:spacing w:after="120"/>
        <w:ind w:left="567" w:hanging="567"/>
      </w:pPr>
      <w:bookmarkStart w:id="52" w:name="_Lowenberg,_P._H._1"/>
      <w:bookmarkEnd w:id="52"/>
      <w:r w:rsidRPr="00B00BEB">
        <w:t xml:space="preserve">Lowenberg, P. H. (2002). Assessing English proficiency in the Expanding Circle. World Englishes, 21(3), 431–435. </w:t>
      </w:r>
      <w:hyperlink r:id="rId55" w:history="1">
        <w:r w:rsidRPr="00B00BEB">
          <w:rPr>
            <w:rStyle w:val="Hyperlink"/>
          </w:rPr>
          <w:t>https://doi.org/10.1111/1467-971X.00261</w:t>
        </w:r>
      </w:hyperlink>
      <w:r w:rsidRPr="00B00BEB">
        <w:t xml:space="preserve"> </w:t>
      </w:r>
    </w:p>
    <w:p w14:paraId="7EB5B3D2" w14:textId="77777777" w:rsidR="00947661" w:rsidRPr="00B00BEB" w:rsidRDefault="00947661" w:rsidP="00B00BEB">
      <w:pPr>
        <w:spacing w:after="120"/>
        <w:ind w:left="567" w:hanging="567"/>
      </w:pPr>
      <w:bookmarkStart w:id="53" w:name="_Lubis,_A._H."/>
      <w:bookmarkEnd w:id="53"/>
      <w:r w:rsidRPr="00B00BEB">
        <w:t>Lubis, A. H. (2018). ICT integration in 21st-century Indonesian English language teaching: Myths and realities. Cakrawala Pendidikan, 37(1), 11–21.</w:t>
      </w:r>
    </w:p>
    <w:p w14:paraId="1BC08E1B" w14:textId="77777777" w:rsidR="00947661" w:rsidRPr="00B00BEB" w:rsidRDefault="00947661" w:rsidP="00B00BEB">
      <w:pPr>
        <w:spacing w:after="120"/>
        <w:ind w:left="567" w:hanging="567"/>
      </w:pPr>
      <w:bookmarkStart w:id="54" w:name="_Mahboob,_A._(2020)."/>
      <w:bookmarkEnd w:id="54"/>
      <w:r w:rsidRPr="00B00BEB">
        <w:lastRenderedPageBreak/>
        <w:t>Mahboob, A. (2020). Interview: Dr. Ahmar Mahboob on World Englishes, colonization, and the definition of language. Multilingual Pedagogy and World Englishes: Linguistic Variety, Global Society.</w:t>
      </w:r>
    </w:p>
    <w:p w14:paraId="45185D60" w14:textId="77777777" w:rsidR="00947661" w:rsidRPr="00B00BEB" w:rsidRDefault="00947661" w:rsidP="00B00BEB">
      <w:pPr>
        <w:spacing w:after="120"/>
        <w:ind w:left="567" w:hanging="567"/>
      </w:pPr>
      <w:bookmarkStart w:id="55" w:name="_Makoni,_S.,_&amp;"/>
      <w:bookmarkEnd w:id="55"/>
      <w:r w:rsidRPr="00B00BEB">
        <w:t xml:space="preserve">Makoni, S., &amp; Pennycook, A. (Eds.). (2006). Disinventing and Reconstituting Languages. Multilingual Matters. </w:t>
      </w:r>
      <w:hyperlink r:id="rId56" w:history="1">
        <w:r w:rsidRPr="00B00BEB">
          <w:rPr>
            <w:rStyle w:val="Hyperlink"/>
          </w:rPr>
          <w:t>https://doi.org/10.2307/jj.27939678</w:t>
        </w:r>
      </w:hyperlink>
      <w:r w:rsidRPr="00B00BEB">
        <w:t xml:space="preserve"> </w:t>
      </w:r>
    </w:p>
    <w:p w14:paraId="52C31539" w14:textId="77777777" w:rsidR="00947661" w:rsidRPr="00B00BEB" w:rsidRDefault="00947661" w:rsidP="00B00BEB">
      <w:pPr>
        <w:spacing w:after="120"/>
        <w:ind w:left="567" w:hanging="567"/>
      </w:pPr>
      <w:bookmarkStart w:id="56" w:name="_Mandasari,_B.,_Rahmah,"/>
      <w:bookmarkEnd w:id="56"/>
      <w:r w:rsidRPr="00B00BEB">
        <w:t xml:space="preserve">Mandasari, B., Rahmah, M., &amp; Mukminatien, N. (2024). Developing an Assessment Instrument Model for Indonesian Cultural-based Oral Presentation for Undergraduate EFL Students. Journal for Foreign Languages, 16(1), 385–402. </w:t>
      </w:r>
      <w:hyperlink r:id="rId57" w:history="1">
        <w:r w:rsidRPr="00B00BEB">
          <w:rPr>
            <w:rStyle w:val="Hyperlink"/>
          </w:rPr>
          <w:t>https://doi.org/10.4312/vestnik.16.385-402</w:t>
        </w:r>
      </w:hyperlink>
      <w:r w:rsidRPr="00B00BEB">
        <w:t xml:space="preserve"> </w:t>
      </w:r>
    </w:p>
    <w:p w14:paraId="21121462" w14:textId="77777777" w:rsidR="00947661" w:rsidRPr="00B00BEB" w:rsidRDefault="00947661" w:rsidP="00B00BEB">
      <w:pPr>
        <w:spacing w:after="120"/>
        <w:ind w:left="567" w:hanging="567"/>
      </w:pPr>
      <w:bookmarkStart w:id="57" w:name="_Marlina,_R._(2014)."/>
      <w:bookmarkEnd w:id="57"/>
      <w:r w:rsidRPr="00B00BEB">
        <w:t xml:space="preserve">Marlina, R. (2014). The Pedagogy of English as an International Language (EIL): More Reflections and Dialogues (pp. 1–19). </w:t>
      </w:r>
      <w:hyperlink r:id="rId58" w:history="1">
        <w:r w:rsidRPr="00B00BEB">
          <w:rPr>
            <w:rStyle w:val="Hyperlink"/>
          </w:rPr>
          <w:t>https://doi.org/10.1007/978-3-319-06127-6_1</w:t>
        </w:r>
      </w:hyperlink>
      <w:r w:rsidRPr="00B00BEB">
        <w:t xml:space="preserve"> </w:t>
      </w:r>
    </w:p>
    <w:p w14:paraId="4DA4C3ED" w14:textId="77777777" w:rsidR="00947661" w:rsidRPr="00B00BEB" w:rsidRDefault="00947661" w:rsidP="00B00BEB">
      <w:pPr>
        <w:spacing w:after="120"/>
        <w:ind w:left="567" w:hanging="567"/>
      </w:pPr>
      <w:bookmarkStart w:id="58" w:name="_Matsuda,_A._(2018)."/>
      <w:bookmarkEnd w:id="58"/>
      <w:r w:rsidRPr="00B00BEB">
        <w:t xml:space="preserve">Matsuda, A. (2018). Is Teaching English as an International Language All about Being Politically Correct? RELC Journal, 49(1), 24–35. </w:t>
      </w:r>
      <w:hyperlink r:id="rId59" w:history="1">
        <w:r w:rsidRPr="00B00BEB">
          <w:rPr>
            <w:rStyle w:val="Hyperlink"/>
          </w:rPr>
          <w:t>https://doi.org/10.1177/0033688217753489</w:t>
        </w:r>
      </w:hyperlink>
      <w:r w:rsidRPr="00B00BEB">
        <w:t xml:space="preserve"> </w:t>
      </w:r>
    </w:p>
    <w:p w14:paraId="44FD2A26" w14:textId="77777777" w:rsidR="00947661" w:rsidRPr="00B00BEB" w:rsidRDefault="00947661" w:rsidP="00B00BEB">
      <w:pPr>
        <w:spacing w:after="120"/>
        <w:ind w:left="567" w:hanging="567"/>
      </w:pPr>
      <w:bookmarkStart w:id="59" w:name="_McKay,_S._L."/>
      <w:bookmarkEnd w:id="59"/>
      <w:r w:rsidRPr="00B00BEB">
        <w:t>McKay, S. L. (2002). Teaching English as an international language: Rethinking goals and approaches. Oxford University Press.</w:t>
      </w:r>
    </w:p>
    <w:p w14:paraId="3F46BF7C" w14:textId="77777777" w:rsidR="00947661" w:rsidRPr="00B00BEB" w:rsidRDefault="00947661" w:rsidP="00B00BEB">
      <w:pPr>
        <w:spacing w:after="120"/>
        <w:ind w:left="567" w:hanging="567"/>
      </w:pPr>
      <w:bookmarkStart w:id="60" w:name="_McNamara,_T.,_&amp;"/>
      <w:bookmarkEnd w:id="60"/>
      <w:r w:rsidRPr="00B00BEB">
        <w:t>McNamara, T., &amp; Roever, C. (2006). Language testing: The social dimension. Blackwell Publishing.</w:t>
      </w:r>
    </w:p>
    <w:p w14:paraId="182CBD0F" w14:textId="77777777" w:rsidR="00947661" w:rsidRPr="00B00BEB" w:rsidRDefault="00947661" w:rsidP="00B00BEB">
      <w:pPr>
        <w:spacing w:after="120"/>
        <w:ind w:left="567" w:hanging="567"/>
      </w:pPr>
      <w:bookmarkStart w:id="61" w:name="_Moyer,_A._(2013)."/>
      <w:bookmarkEnd w:id="61"/>
      <w:r w:rsidRPr="00B00BEB">
        <w:t xml:space="preserve">Moyer, A. (2013). Foreign Accent: The Phenomenon of Non-native Speech. Cambridge University Press. </w:t>
      </w:r>
      <w:hyperlink r:id="rId60" w:history="1">
        <w:r w:rsidRPr="00B00BEB">
          <w:rPr>
            <w:rStyle w:val="Hyperlink"/>
          </w:rPr>
          <w:t>https://doi.org/10.1017/CBO9780511794407</w:t>
        </w:r>
      </w:hyperlink>
      <w:r w:rsidRPr="00B00BEB">
        <w:t xml:space="preserve"> </w:t>
      </w:r>
    </w:p>
    <w:p w14:paraId="075DA718" w14:textId="77777777" w:rsidR="00947661" w:rsidRPr="00B00BEB" w:rsidRDefault="00947661" w:rsidP="00B00BEB">
      <w:pPr>
        <w:spacing w:after="120"/>
        <w:ind w:left="567" w:hanging="567"/>
      </w:pPr>
      <w:bookmarkStart w:id="62" w:name="_Mufwene,_S._S."/>
      <w:bookmarkEnd w:id="62"/>
      <w:r w:rsidRPr="00B00BEB">
        <w:t xml:space="preserve">Mufwene, S. S. (2001). The Ecology of Language Evolution. Cambridge University Press. </w:t>
      </w:r>
      <w:hyperlink r:id="rId61" w:history="1">
        <w:r w:rsidRPr="00B00BEB">
          <w:rPr>
            <w:rStyle w:val="Hyperlink"/>
          </w:rPr>
          <w:t>https://doi.org/10.1017/CBO9780511612862</w:t>
        </w:r>
      </w:hyperlink>
      <w:r w:rsidRPr="00B00BEB">
        <w:t xml:space="preserve"> </w:t>
      </w:r>
    </w:p>
    <w:p w14:paraId="2EDFF180" w14:textId="77777777" w:rsidR="00947661" w:rsidRPr="00B00BEB" w:rsidRDefault="00947661" w:rsidP="00B00BEB">
      <w:pPr>
        <w:spacing w:after="120"/>
        <w:ind w:left="567" w:hanging="567"/>
      </w:pPr>
      <w:bookmarkStart w:id="63" w:name="_Norton,_B._(2013)."/>
      <w:bookmarkEnd w:id="63"/>
      <w:r w:rsidRPr="00B00BEB">
        <w:t>Norton, B. (2013). Identity and language learning: Extending the conversation (2nd ed.).</w:t>
      </w:r>
    </w:p>
    <w:p w14:paraId="604094AA" w14:textId="77777777" w:rsidR="00947661" w:rsidRPr="00B00BEB" w:rsidRDefault="00947661" w:rsidP="00B00BEB">
      <w:pPr>
        <w:spacing w:after="120"/>
        <w:ind w:left="567" w:hanging="567"/>
      </w:pPr>
      <w:bookmarkStart w:id="64" w:name="_Norton,_B.,_&amp;"/>
      <w:bookmarkEnd w:id="64"/>
      <w:r w:rsidRPr="00B00BEB">
        <w:t xml:space="preserve">Norton, B., &amp; De Costa, P. I. (2018). Research tasks on identity in language learning and teaching. Language Teaching, 51(1), 90–112. </w:t>
      </w:r>
      <w:hyperlink r:id="rId62" w:history="1">
        <w:r w:rsidRPr="00B00BEB">
          <w:rPr>
            <w:rStyle w:val="Hyperlink"/>
          </w:rPr>
          <w:t>https://doi.org/10.1017/S0261444817000325</w:t>
        </w:r>
      </w:hyperlink>
      <w:r w:rsidRPr="00B00BEB">
        <w:t xml:space="preserve"> </w:t>
      </w:r>
    </w:p>
    <w:p w14:paraId="28941D71" w14:textId="77777777" w:rsidR="00947661" w:rsidRPr="00B00BEB" w:rsidRDefault="00947661" w:rsidP="00B00BEB">
      <w:pPr>
        <w:spacing w:after="120"/>
        <w:ind w:left="567" w:hanging="567"/>
      </w:pPr>
      <w:bookmarkStart w:id="65" w:name="_P,_P._H."/>
      <w:bookmarkEnd w:id="65"/>
      <w:r w:rsidRPr="00B00BEB">
        <w:t xml:space="preserve">P, P. H. I., Supriadi, I., N, E. H., &amp; Sari, Y. (2024). INDONESIAN CULTURAL IDENTITY IN SOCIAL MEDIA NETWORKS: A CRITICAL DISCOURSE ANALYSIS ON INSTAGRAM OF GEN Z USERS. MSJ: Majority Science Journal, 2(1), 171–177. </w:t>
      </w:r>
      <w:hyperlink r:id="rId63" w:history="1">
        <w:r w:rsidRPr="00B00BEB">
          <w:rPr>
            <w:rStyle w:val="Hyperlink"/>
          </w:rPr>
          <w:t>https://doi.org/10.61942/msj.v2i1.76</w:t>
        </w:r>
      </w:hyperlink>
      <w:r w:rsidRPr="00B00BEB">
        <w:t xml:space="preserve"> </w:t>
      </w:r>
    </w:p>
    <w:p w14:paraId="553A502A" w14:textId="77777777" w:rsidR="00947661" w:rsidRPr="00B00BEB" w:rsidRDefault="00947661" w:rsidP="00B00BEB">
      <w:pPr>
        <w:spacing w:after="120"/>
        <w:ind w:left="567" w:hanging="567"/>
      </w:pPr>
      <w:bookmarkStart w:id="66" w:name="_Pennycook,_A._(2002)."/>
      <w:bookmarkEnd w:id="66"/>
      <w:r w:rsidRPr="00B00BEB">
        <w:t xml:space="preserve">Pennycook, A. (2002). English and the Discourses of Colonialism. Routledge. </w:t>
      </w:r>
      <w:hyperlink r:id="rId64" w:history="1">
        <w:r w:rsidRPr="00B00BEB">
          <w:rPr>
            <w:rStyle w:val="Hyperlink"/>
          </w:rPr>
          <w:t>https://doi.org/10.4324/9780203006344</w:t>
        </w:r>
      </w:hyperlink>
      <w:r w:rsidRPr="00B00BEB">
        <w:t xml:space="preserve"> </w:t>
      </w:r>
    </w:p>
    <w:p w14:paraId="39224C7A" w14:textId="77777777" w:rsidR="00947661" w:rsidRPr="00B00BEB" w:rsidRDefault="00947661" w:rsidP="00B00BEB">
      <w:pPr>
        <w:spacing w:after="120"/>
        <w:ind w:left="567" w:hanging="567"/>
      </w:pPr>
      <w:bookmarkStart w:id="67" w:name="_Pennycook,_A._(2006)."/>
      <w:bookmarkEnd w:id="67"/>
      <w:r w:rsidRPr="00B00BEB">
        <w:t xml:space="preserve">Pennycook, A. (2006). Global Englishes and Transcultural Flows. Routledge. </w:t>
      </w:r>
      <w:hyperlink r:id="rId65" w:history="1">
        <w:r w:rsidRPr="00B00BEB">
          <w:rPr>
            <w:rStyle w:val="Hyperlink"/>
          </w:rPr>
          <w:t>https://doi.org/10.4324/9780203088807</w:t>
        </w:r>
      </w:hyperlink>
      <w:r w:rsidRPr="00B00BEB">
        <w:t xml:space="preserve"> </w:t>
      </w:r>
    </w:p>
    <w:p w14:paraId="73DCA967" w14:textId="77777777" w:rsidR="00947661" w:rsidRPr="00B00BEB" w:rsidRDefault="00947661" w:rsidP="00B00BEB">
      <w:pPr>
        <w:spacing w:after="120"/>
        <w:ind w:left="567" w:hanging="567"/>
      </w:pPr>
      <w:bookmarkStart w:id="68" w:name="_Pennycook,_A._(2017)."/>
      <w:bookmarkEnd w:id="68"/>
      <w:r w:rsidRPr="00B00BEB">
        <w:t xml:space="preserve">Pennycook, A. (2017). Posthumanist Applied Linguistics. Routledge. </w:t>
      </w:r>
      <w:hyperlink r:id="rId66" w:history="1">
        <w:r w:rsidRPr="00B00BEB">
          <w:rPr>
            <w:rStyle w:val="Hyperlink"/>
          </w:rPr>
          <w:t>https://doi.org/10.4324/9781315457574</w:t>
        </w:r>
      </w:hyperlink>
      <w:r w:rsidRPr="00B00BEB">
        <w:t xml:space="preserve"> </w:t>
      </w:r>
    </w:p>
    <w:p w14:paraId="735BC063" w14:textId="77777777" w:rsidR="00947661" w:rsidRPr="00B00BEB" w:rsidRDefault="00947661" w:rsidP="00B00BEB">
      <w:pPr>
        <w:spacing w:after="120"/>
        <w:ind w:left="567" w:hanging="567"/>
      </w:pPr>
      <w:bookmarkStart w:id="69" w:name="_Phillipson,_R._(1992)."/>
      <w:bookmarkEnd w:id="69"/>
      <w:r w:rsidRPr="00B00BEB">
        <w:t>Phillipson, R. (1992). Linguistic imperialism. Oxford University Press.</w:t>
      </w:r>
    </w:p>
    <w:p w14:paraId="21F08C6E" w14:textId="77777777" w:rsidR="00947661" w:rsidRPr="00B00BEB" w:rsidRDefault="00947661" w:rsidP="00B00BEB">
      <w:pPr>
        <w:spacing w:after="120"/>
        <w:ind w:left="567" w:hanging="567"/>
      </w:pPr>
      <w:bookmarkStart w:id="70" w:name="_Phillipson,_R._(2009)."/>
      <w:bookmarkEnd w:id="70"/>
      <w:r w:rsidRPr="00B00BEB">
        <w:t>Phillipson, R. (2009). Linguistic imperialism continued. Routledge.</w:t>
      </w:r>
    </w:p>
    <w:p w14:paraId="2448122F" w14:textId="77777777" w:rsidR="00947661" w:rsidRPr="00B00BEB" w:rsidRDefault="00947661" w:rsidP="00B00BEB">
      <w:pPr>
        <w:spacing w:after="120"/>
        <w:ind w:left="567" w:hanging="567"/>
      </w:pPr>
      <w:bookmarkStart w:id="71" w:name="_Purwanti,_E.,_&amp;"/>
      <w:bookmarkEnd w:id="71"/>
      <w:r w:rsidRPr="00B00BEB">
        <w:t xml:space="preserve">Purwanti, E., &amp; Suhargo, G. I. (2024). ENHANCING PEDAGOGICAL COMPETENCIES IN PRE-SERVICE TEACHERS’ THROUGH MICROTEACHING: A QUALITATIVE STUDY. Indonesian Journal of Learning and Instruction, 7(1). </w:t>
      </w:r>
      <w:hyperlink r:id="rId67" w:history="1">
        <w:r w:rsidRPr="00B00BEB">
          <w:rPr>
            <w:rStyle w:val="Hyperlink"/>
          </w:rPr>
          <w:t>https://doi.org/10.25134/ijli.v7i1.9553</w:t>
        </w:r>
      </w:hyperlink>
      <w:r w:rsidRPr="00B00BEB">
        <w:t xml:space="preserve"> </w:t>
      </w:r>
    </w:p>
    <w:p w14:paraId="7BEE4DB7" w14:textId="77777777" w:rsidR="00947661" w:rsidRPr="00B00BEB" w:rsidRDefault="00947661" w:rsidP="00B00BEB">
      <w:pPr>
        <w:spacing w:after="120"/>
        <w:ind w:left="567" w:hanging="567"/>
      </w:pPr>
      <w:bookmarkStart w:id="72" w:name="_Puspitasari,_G._D.,"/>
      <w:bookmarkEnd w:id="72"/>
      <w:r w:rsidRPr="00B00BEB">
        <w:t xml:space="preserve">Puspitasari, G. D., &amp; Yumarnamto, M. (2020). LEARNERS’ PERCEPTIONS ON THE USE OF INDONESIAN (L1) IN THE ENGLISH (L2) INTENSIVE COURSE: IMPLICATIONS FOR TRANSLANGUAGING PEDAGOGY. LLT Journal: A Journal on Language and Language Teaching, 23(2), 304–318. </w:t>
      </w:r>
      <w:hyperlink r:id="rId68" w:history="1">
        <w:r w:rsidRPr="00B00BEB">
          <w:rPr>
            <w:rStyle w:val="Hyperlink"/>
          </w:rPr>
          <w:t>https://doi.org/10.24071/llt.v23i2.2574</w:t>
        </w:r>
      </w:hyperlink>
      <w:r w:rsidRPr="00B00BEB">
        <w:t xml:space="preserve"> </w:t>
      </w:r>
    </w:p>
    <w:p w14:paraId="002871FA" w14:textId="77777777" w:rsidR="00947661" w:rsidRPr="00B00BEB" w:rsidRDefault="00947661" w:rsidP="00B00BEB">
      <w:pPr>
        <w:spacing w:after="120"/>
        <w:ind w:left="567" w:hanging="567"/>
      </w:pPr>
      <w:bookmarkStart w:id="73" w:name="_Puspitasari,_M.,_&amp;"/>
      <w:bookmarkEnd w:id="73"/>
      <w:r w:rsidRPr="00B00BEB">
        <w:t xml:space="preserve">Puspitasari, M., &amp; Pelawi, M. A. (2023). English High-stakes Testing in Indonesia: Friend or Foe? Journal of English Education and Teaching, 7(4), 1071–1084. </w:t>
      </w:r>
      <w:hyperlink r:id="rId69" w:history="1">
        <w:r w:rsidRPr="00B00BEB">
          <w:rPr>
            <w:rStyle w:val="Hyperlink"/>
          </w:rPr>
          <w:t>https://doi.org/10.33369/jeet.7.4.1071-1084</w:t>
        </w:r>
      </w:hyperlink>
      <w:r w:rsidRPr="00B00BEB">
        <w:t xml:space="preserve"> </w:t>
      </w:r>
    </w:p>
    <w:p w14:paraId="2AA9271D" w14:textId="77777777" w:rsidR="00947661" w:rsidRPr="00B00BEB" w:rsidRDefault="00947661" w:rsidP="00B00BEB">
      <w:pPr>
        <w:spacing w:after="120"/>
        <w:ind w:left="567" w:hanging="567"/>
      </w:pPr>
      <w:bookmarkStart w:id="74" w:name="_Rudolph,_N._(2013)."/>
      <w:bookmarkEnd w:id="74"/>
      <w:r w:rsidRPr="00B00BEB">
        <w:lastRenderedPageBreak/>
        <w:t xml:space="preserve">Rudolph, N. (2013). Negotiating Halil: Concomitant Marginalization and Agency as a “Non-Native English Speaker” Student, Scholar and Teacher Trainer. Critical Inquiry in Language Studies, 10(2), 121–149. </w:t>
      </w:r>
      <w:hyperlink r:id="rId70" w:history="1">
        <w:r w:rsidRPr="00B00BEB">
          <w:rPr>
            <w:rStyle w:val="Hyperlink"/>
          </w:rPr>
          <w:t>https://doi.org/10.1080/15427587.2013.788377</w:t>
        </w:r>
      </w:hyperlink>
      <w:r w:rsidRPr="00B00BEB">
        <w:t xml:space="preserve"> </w:t>
      </w:r>
    </w:p>
    <w:p w14:paraId="364E4C38" w14:textId="77777777" w:rsidR="00947661" w:rsidRPr="00B00BEB" w:rsidRDefault="00947661" w:rsidP="00B00BEB">
      <w:pPr>
        <w:spacing w:after="120"/>
        <w:ind w:left="567" w:hanging="567"/>
      </w:pPr>
      <w:bookmarkStart w:id="75" w:name="_Ruecker,_T.,_&amp;"/>
      <w:bookmarkEnd w:id="75"/>
      <w:r w:rsidRPr="00B00BEB">
        <w:t xml:space="preserve">Ruecker, T., &amp; Ives, L. (2015). White Native English Speakers Needed: The Rhetorical Construction of Privilege in Online Teacher Recruitment Spaces. TESOL Quarterly, 49(4), 733–756. </w:t>
      </w:r>
      <w:hyperlink r:id="rId71" w:history="1">
        <w:r w:rsidRPr="00B00BEB">
          <w:rPr>
            <w:rStyle w:val="Hyperlink"/>
          </w:rPr>
          <w:t>https://doi.org/10.1002/tesq.195</w:t>
        </w:r>
      </w:hyperlink>
      <w:r w:rsidRPr="00B00BEB">
        <w:t xml:space="preserve"> </w:t>
      </w:r>
    </w:p>
    <w:p w14:paraId="74CEC98C" w14:textId="77777777" w:rsidR="00947661" w:rsidRPr="00B00BEB" w:rsidRDefault="00947661" w:rsidP="00B00BEB">
      <w:pPr>
        <w:spacing w:after="120"/>
        <w:ind w:left="567" w:hanging="567"/>
      </w:pPr>
      <w:bookmarkStart w:id="76" w:name="_Schneider,_E._W."/>
      <w:bookmarkEnd w:id="76"/>
      <w:r w:rsidRPr="00B00BEB">
        <w:t xml:space="preserve">Schneider, E. W. (2007). Postcolonial English. Cambridge University Press. </w:t>
      </w:r>
      <w:hyperlink r:id="rId72" w:history="1">
        <w:r w:rsidRPr="00B00BEB">
          <w:rPr>
            <w:rStyle w:val="Hyperlink"/>
          </w:rPr>
          <w:t>https://doi.org/10.1017/CBO9780511618901</w:t>
        </w:r>
      </w:hyperlink>
      <w:r w:rsidRPr="00B00BEB">
        <w:t xml:space="preserve"> </w:t>
      </w:r>
    </w:p>
    <w:p w14:paraId="3C16EB75" w14:textId="77777777" w:rsidR="00947661" w:rsidRPr="00B00BEB" w:rsidRDefault="00947661" w:rsidP="00B00BEB">
      <w:pPr>
        <w:spacing w:after="120"/>
        <w:ind w:left="567" w:hanging="567"/>
      </w:pPr>
      <w:bookmarkStart w:id="77" w:name="_Schneider,_E._W._1"/>
      <w:bookmarkEnd w:id="77"/>
      <w:r w:rsidRPr="00B00BEB">
        <w:t xml:space="preserve">Schneider, E. W. (2020). English around the World. Cambridge University Press. </w:t>
      </w:r>
      <w:hyperlink r:id="rId73" w:history="1">
        <w:r w:rsidRPr="00B00BEB">
          <w:rPr>
            <w:rStyle w:val="Hyperlink"/>
          </w:rPr>
          <w:t>https://doi.org/10.1017/9781108656726</w:t>
        </w:r>
      </w:hyperlink>
      <w:r w:rsidRPr="00B00BEB">
        <w:t xml:space="preserve"> </w:t>
      </w:r>
    </w:p>
    <w:p w14:paraId="5653BB0C" w14:textId="77777777" w:rsidR="00947661" w:rsidRPr="00B00BEB" w:rsidRDefault="00947661" w:rsidP="00B00BEB">
      <w:pPr>
        <w:spacing w:after="120"/>
        <w:ind w:left="567" w:hanging="567"/>
      </w:pPr>
      <w:bookmarkStart w:id="78" w:name="_Setiawan,_B._N."/>
      <w:bookmarkEnd w:id="78"/>
      <w:r w:rsidRPr="00B00BEB">
        <w:t xml:space="preserve">Setiawan, B. N. (2023). Embracing Cultural Threads: A Qualitative Exploration of English Language Teaching Materials Within an Intercultural Perspective in an Indonesian Multilingual Context. Ranah: Jurnal Kajian Bahasa, 12(2), 343. </w:t>
      </w:r>
      <w:hyperlink r:id="rId74" w:history="1">
        <w:r w:rsidRPr="00B00BEB">
          <w:rPr>
            <w:rStyle w:val="Hyperlink"/>
          </w:rPr>
          <w:t>https://doi.org/10.26499/rnh.v12i2.6840</w:t>
        </w:r>
      </w:hyperlink>
      <w:r w:rsidRPr="00B00BEB">
        <w:t xml:space="preserve"> </w:t>
      </w:r>
    </w:p>
    <w:p w14:paraId="653BA981" w14:textId="77777777" w:rsidR="00947661" w:rsidRPr="00B00BEB" w:rsidRDefault="00947661" w:rsidP="00B00BEB">
      <w:pPr>
        <w:spacing w:after="120"/>
        <w:ind w:left="567" w:hanging="567"/>
      </w:pPr>
      <w:bookmarkStart w:id="79" w:name="_Shin,_H._(2006)."/>
      <w:bookmarkEnd w:id="79"/>
      <w:r w:rsidRPr="00B00BEB">
        <w:t xml:space="preserve">Shin, H. (2006). Rethinking TESOL From a SOL’s Perspective: Indigenous Epistemology and Decolonizing Praxis in TESOL. Critical Inquiry in Language Studies, 3(2–3), 147–167. </w:t>
      </w:r>
      <w:hyperlink r:id="rId75" w:history="1">
        <w:r w:rsidRPr="00B00BEB">
          <w:rPr>
            <w:rStyle w:val="Hyperlink"/>
          </w:rPr>
          <w:t>https://doi.org/10.1080/15427587.2006.9650844</w:t>
        </w:r>
      </w:hyperlink>
      <w:r w:rsidRPr="00B00BEB">
        <w:t xml:space="preserve"> </w:t>
      </w:r>
    </w:p>
    <w:p w14:paraId="3CE29427" w14:textId="77777777" w:rsidR="00947661" w:rsidRPr="00B00BEB" w:rsidRDefault="00947661" w:rsidP="00B00BEB">
      <w:pPr>
        <w:spacing w:after="120"/>
        <w:ind w:left="567" w:hanging="567"/>
      </w:pPr>
      <w:bookmarkStart w:id="80" w:name="_Sifakis,_N._C."/>
      <w:bookmarkEnd w:id="80"/>
      <w:r w:rsidRPr="00B00BEB">
        <w:t xml:space="preserve">Sifakis, N. C. (2019). ELF Awareness in English Language Teaching: Principles and Processes. Applied Linguistics, 40(2), 288–306. </w:t>
      </w:r>
      <w:hyperlink r:id="rId76" w:history="1">
        <w:r w:rsidRPr="00B00BEB">
          <w:rPr>
            <w:rStyle w:val="Hyperlink"/>
          </w:rPr>
          <w:t>https://doi.org/10.1093/applin/amx034</w:t>
        </w:r>
      </w:hyperlink>
      <w:r w:rsidRPr="00B00BEB">
        <w:t xml:space="preserve"> </w:t>
      </w:r>
    </w:p>
    <w:p w14:paraId="5B5A7149" w14:textId="77777777" w:rsidR="00947661" w:rsidRPr="00B00BEB" w:rsidRDefault="00947661" w:rsidP="00B00BEB">
      <w:pPr>
        <w:spacing w:after="120"/>
        <w:ind w:left="567" w:hanging="567"/>
      </w:pPr>
      <w:bookmarkStart w:id="81" w:name="_Smith,_L._E."/>
      <w:bookmarkEnd w:id="81"/>
      <w:r w:rsidRPr="00B00BEB">
        <w:t>Smith, L. E. (1992). Spread of English and issues of intelligibility. In The other tongue: English across cultures.</w:t>
      </w:r>
    </w:p>
    <w:p w14:paraId="37B8E48C" w14:textId="77777777" w:rsidR="00947661" w:rsidRPr="00B00BEB" w:rsidRDefault="00947661" w:rsidP="00B00BEB">
      <w:pPr>
        <w:spacing w:after="120"/>
        <w:ind w:left="567" w:hanging="567"/>
      </w:pPr>
      <w:bookmarkStart w:id="82" w:name="_Speechmatics._(2024,_March"/>
      <w:bookmarkEnd w:id="82"/>
      <w:r w:rsidRPr="00B00BEB">
        <w:t>Speechmatics. (2024, March 19). Speechmatics achieves AI breakthrough, beating tech giants in tackling bias and inclusion to understand all voices. Speechmatics.</w:t>
      </w:r>
    </w:p>
    <w:p w14:paraId="4B249F55" w14:textId="77777777" w:rsidR="00947661" w:rsidRPr="00B00BEB" w:rsidRDefault="00947661" w:rsidP="00B00BEB">
      <w:pPr>
        <w:spacing w:after="120"/>
        <w:ind w:left="567" w:hanging="567"/>
      </w:pPr>
      <w:bookmarkStart w:id="83" w:name="_Suciati,_S.,_&amp;"/>
      <w:bookmarkEnd w:id="83"/>
      <w:r w:rsidRPr="00B00BEB">
        <w:t xml:space="preserve">Suciati, S., &amp; Diyanti, Y. (2021). Suprasegmental Features of Indonesian Students’ English Pronunciation and the Pedagogical Implication. SAGA: Journal of English Language Teaching and Applied Linguistics, 2(1), 9–18. </w:t>
      </w:r>
      <w:hyperlink r:id="rId77" w:history="1">
        <w:r w:rsidRPr="00B00BEB">
          <w:rPr>
            <w:rStyle w:val="Hyperlink"/>
          </w:rPr>
          <w:t>https://doi.org/10.21460/saga.2020.21.62</w:t>
        </w:r>
      </w:hyperlink>
      <w:r w:rsidRPr="00B00BEB">
        <w:t xml:space="preserve"> </w:t>
      </w:r>
    </w:p>
    <w:p w14:paraId="57015CDD" w14:textId="77777777" w:rsidR="00947661" w:rsidRPr="00B00BEB" w:rsidRDefault="00947661" w:rsidP="00B00BEB">
      <w:pPr>
        <w:spacing w:after="120"/>
        <w:ind w:left="567" w:hanging="567"/>
      </w:pPr>
      <w:bookmarkStart w:id="84" w:name="_Sufyan,_A.,_Hakim,"/>
      <w:bookmarkEnd w:id="84"/>
      <w:r w:rsidRPr="00B00BEB">
        <w:t xml:space="preserve">Sufyan, A., Hakim, L., Jatmiko, M. A., &amp; Ustufiarrizqi, U. (2024). Beyond Fallacies: Strengths and Qualifications for English Teaching Profession In Indonesia. English Review: Journal of English Education, 12(2), 547–558. </w:t>
      </w:r>
      <w:hyperlink r:id="rId78" w:history="1">
        <w:r w:rsidRPr="00B00BEB">
          <w:rPr>
            <w:rStyle w:val="Hyperlink"/>
          </w:rPr>
          <w:t>https://doi.org/10.25134/erjee.v12i2.9033</w:t>
        </w:r>
      </w:hyperlink>
      <w:r w:rsidRPr="00B00BEB">
        <w:t xml:space="preserve"> </w:t>
      </w:r>
    </w:p>
    <w:p w14:paraId="6A547415" w14:textId="77777777" w:rsidR="00947661" w:rsidRPr="00B00BEB" w:rsidRDefault="00947661" w:rsidP="00B00BEB">
      <w:pPr>
        <w:spacing w:after="120"/>
        <w:ind w:left="567" w:hanging="567"/>
      </w:pPr>
      <w:bookmarkStart w:id="85" w:name="_Sulistiyo,_U.,_Haryanto,"/>
      <w:bookmarkEnd w:id="85"/>
      <w:r w:rsidRPr="00B00BEB">
        <w:t xml:space="preserve">Sulistiyo, U., Haryanto, E., Widodo, H. P., &amp; Elyas, T. (2020). The portrait of primary school English in Indonesia: policy recommendations. Education 3-13, 48(8), 945–959. </w:t>
      </w:r>
      <w:hyperlink r:id="rId79" w:history="1">
        <w:r w:rsidRPr="00B00BEB">
          <w:rPr>
            <w:rStyle w:val="Hyperlink"/>
          </w:rPr>
          <w:t>https://doi.org/10.1080/03004279.2019.1680721</w:t>
        </w:r>
      </w:hyperlink>
      <w:r w:rsidRPr="00B00BEB">
        <w:t xml:space="preserve"> </w:t>
      </w:r>
    </w:p>
    <w:p w14:paraId="44F635C0" w14:textId="77777777" w:rsidR="00947661" w:rsidRPr="00B00BEB" w:rsidRDefault="00947661" w:rsidP="00B00BEB">
      <w:pPr>
        <w:spacing w:after="120"/>
        <w:ind w:left="567" w:hanging="567"/>
      </w:pPr>
      <w:bookmarkStart w:id="86" w:name="_Sultana,_N.,_Pekerti,"/>
      <w:bookmarkEnd w:id="86"/>
      <w:r w:rsidRPr="00B00BEB">
        <w:t xml:space="preserve">Sultana, N., Pekerti, A. A., Okimoto, T. G., &amp; Härtel, C. E. J. (2023). The effect of race and foreign accent on managers’ career progression. International Journal of Cross Cultural Management, 23(2), 247–278. </w:t>
      </w:r>
      <w:hyperlink r:id="rId80" w:history="1">
        <w:r w:rsidRPr="00B00BEB">
          <w:rPr>
            <w:rStyle w:val="Hyperlink"/>
          </w:rPr>
          <w:t>https://doi.org/10.1177/14705958231180044</w:t>
        </w:r>
      </w:hyperlink>
      <w:r w:rsidRPr="00B00BEB">
        <w:t xml:space="preserve"> </w:t>
      </w:r>
    </w:p>
    <w:p w14:paraId="3478E4B6" w14:textId="77777777" w:rsidR="00947661" w:rsidRPr="00B00BEB" w:rsidRDefault="00947661" w:rsidP="00B00BEB">
      <w:pPr>
        <w:spacing w:after="120"/>
        <w:ind w:left="567" w:hanging="567"/>
      </w:pPr>
      <w:bookmarkStart w:id="87" w:name="_Sung-Yul_Park,_J."/>
      <w:bookmarkEnd w:id="87"/>
      <w:r w:rsidRPr="00B00BEB">
        <w:t xml:space="preserve">Sung-Yul Park, J. (2021). In Pursuit of English. Oxford University PressNew York. </w:t>
      </w:r>
      <w:hyperlink r:id="rId81" w:history="1">
        <w:r w:rsidRPr="00B00BEB">
          <w:rPr>
            <w:rStyle w:val="Hyperlink"/>
          </w:rPr>
          <w:t>https://doi.org/10.1093/oso/9780190855734.001.0001</w:t>
        </w:r>
      </w:hyperlink>
      <w:r w:rsidRPr="00B00BEB">
        <w:t xml:space="preserve"> </w:t>
      </w:r>
    </w:p>
    <w:p w14:paraId="1CEAEB6B" w14:textId="77777777" w:rsidR="00947661" w:rsidRPr="00B00BEB" w:rsidRDefault="00947661" w:rsidP="00B00BEB">
      <w:pPr>
        <w:spacing w:after="120"/>
        <w:ind w:left="567" w:hanging="567"/>
      </w:pPr>
      <w:bookmarkStart w:id="88" w:name="_Sung-Yul_Park,_J.,"/>
      <w:bookmarkEnd w:id="88"/>
      <w:r w:rsidRPr="00B00BEB">
        <w:t xml:space="preserve">Sung-Yul Park, J., &amp; Wee, L. (2013). Markets of English. Routledge. </w:t>
      </w:r>
      <w:hyperlink r:id="rId82" w:history="1">
        <w:r w:rsidRPr="00B00BEB">
          <w:rPr>
            <w:rStyle w:val="Hyperlink"/>
          </w:rPr>
          <w:t>https://doi.org/10.4324/9780203120323</w:t>
        </w:r>
      </w:hyperlink>
      <w:r w:rsidRPr="00B00BEB">
        <w:t xml:space="preserve"> </w:t>
      </w:r>
    </w:p>
    <w:p w14:paraId="7B561E6A" w14:textId="77777777" w:rsidR="00947661" w:rsidRPr="00B00BEB" w:rsidRDefault="00947661" w:rsidP="00B00BEB">
      <w:pPr>
        <w:spacing w:after="120"/>
        <w:ind w:left="567" w:hanging="567"/>
      </w:pPr>
      <w:bookmarkStart w:id="89" w:name="_Syam,_A._R.,"/>
      <w:bookmarkEnd w:id="89"/>
      <w:r w:rsidRPr="00B00BEB">
        <w:t xml:space="preserve">Syam, A. R., Gardner, S., &amp; Cribb, M. (2024). Pronunciation Features of Indonesian-Accented English. Languages, 9(6), 222. </w:t>
      </w:r>
      <w:hyperlink r:id="rId83" w:history="1">
        <w:r w:rsidRPr="00B00BEB">
          <w:rPr>
            <w:rStyle w:val="Hyperlink"/>
          </w:rPr>
          <w:t>https://doi.org/10.3390/languages9060222</w:t>
        </w:r>
      </w:hyperlink>
      <w:r w:rsidRPr="00B00BEB">
        <w:t xml:space="preserve"> </w:t>
      </w:r>
    </w:p>
    <w:p w14:paraId="31D9D1B4" w14:textId="77777777" w:rsidR="00947661" w:rsidRPr="00B00BEB" w:rsidRDefault="00947661" w:rsidP="00B00BEB">
      <w:pPr>
        <w:spacing w:after="120"/>
        <w:ind w:left="567" w:hanging="567"/>
      </w:pPr>
      <w:bookmarkStart w:id="90" w:name="_Tadimeti,_D.,_Georgila,"/>
      <w:bookmarkEnd w:id="90"/>
      <w:r w:rsidRPr="00B00BEB">
        <w:t>Tadimeti, D., Georgila, K., &amp; Traum, D. (2022). Evaluation of Off-the-shelf Speech Recognizers on Different Accents in a Dialogue Domain. 2022 Language Resources and Evaluation Conference, LREC 2022.</w:t>
      </w:r>
    </w:p>
    <w:p w14:paraId="0C4EB059" w14:textId="77777777" w:rsidR="00947661" w:rsidRPr="00B00BEB" w:rsidRDefault="00947661" w:rsidP="00B00BEB">
      <w:pPr>
        <w:spacing w:after="120"/>
        <w:ind w:left="567" w:hanging="567"/>
      </w:pPr>
      <w:bookmarkStart w:id="91" w:name="_Tan,_K._H.,"/>
      <w:bookmarkEnd w:id="91"/>
      <w:r w:rsidRPr="00B00BEB">
        <w:lastRenderedPageBreak/>
        <w:t xml:space="preserve">Tan, K. H., Jospa, M. E. anak W., Mohd-Said, N.-E., &amp; Awang, M. M. (2021). Speak like a Native English Speaker or Be Judged: A Scoping Review. International Journal of Environmental Research and Public Health, 18(23), 12754. </w:t>
      </w:r>
      <w:hyperlink r:id="rId84" w:history="1">
        <w:r w:rsidRPr="00B00BEB">
          <w:rPr>
            <w:rStyle w:val="Hyperlink"/>
          </w:rPr>
          <w:t>https://doi.org/10.3390/ijerph182312754</w:t>
        </w:r>
      </w:hyperlink>
      <w:r w:rsidRPr="00B00BEB">
        <w:t xml:space="preserve"> </w:t>
      </w:r>
    </w:p>
    <w:p w14:paraId="41D00486" w14:textId="77777777" w:rsidR="00947661" w:rsidRPr="00B00BEB" w:rsidRDefault="00947661" w:rsidP="00B00BEB">
      <w:pPr>
        <w:spacing w:after="120"/>
        <w:ind w:left="567" w:hanging="567"/>
      </w:pPr>
      <w:bookmarkStart w:id="92" w:name="_Taylor,_L._(2006)."/>
      <w:bookmarkEnd w:id="92"/>
      <w:r w:rsidRPr="00B00BEB">
        <w:t xml:space="preserve">Taylor, L. (2006). The changing landscape of English: implications for language assessment. ELT Journal, 60(1), 51–60. </w:t>
      </w:r>
      <w:hyperlink r:id="rId85" w:history="1">
        <w:r w:rsidRPr="00B00BEB">
          <w:rPr>
            <w:rStyle w:val="Hyperlink"/>
          </w:rPr>
          <w:t>https://doi.org/10.1093/elt/cci081</w:t>
        </w:r>
      </w:hyperlink>
      <w:r w:rsidRPr="00B00BEB">
        <w:t xml:space="preserve"> </w:t>
      </w:r>
    </w:p>
    <w:p w14:paraId="644A5960" w14:textId="77777777" w:rsidR="00947661" w:rsidRPr="00B00BEB" w:rsidRDefault="00947661" w:rsidP="00B00BEB">
      <w:pPr>
        <w:spacing w:after="120"/>
        <w:ind w:left="567" w:hanging="567"/>
      </w:pPr>
      <w:bookmarkStart w:id="93" w:name="_Trudgill,_P.,_&amp;"/>
      <w:bookmarkEnd w:id="93"/>
      <w:r w:rsidRPr="00B00BEB">
        <w:t xml:space="preserve">Trudgill, P., &amp; Hannah, J. (2017). International English. Routledge. </w:t>
      </w:r>
      <w:hyperlink r:id="rId86" w:history="1">
        <w:r w:rsidRPr="00B00BEB">
          <w:rPr>
            <w:rStyle w:val="Hyperlink"/>
          </w:rPr>
          <w:t>https://doi.org/10.4324/9781315192932</w:t>
        </w:r>
      </w:hyperlink>
      <w:r w:rsidRPr="00B00BEB">
        <w:t xml:space="preserve"> </w:t>
      </w:r>
    </w:p>
    <w:p w14:paraId="1353A9C5" w14:textId="77777777" w:rsidR="00947661" w:rsidRPr="00B00BEB" w:rsidRDefault="00947661" w:rsidP="00B00BEB">
      <w:pPr>
        <w:spacing w:after="120"/>
        <w:ind w:left="567" w:hanging="567"/>
      </w:pPr>
      <w:bookmarkStart w:id="94" w:name="_Tupas,_R.,_&amp;"/>
      <w:bookmarkEnd w:id="94"/>
      <w:r w:rsidRPr="00B00BEB">
        <w:t xml:space="preserve">Tupas, R., &amp; Rubdy, R. (2015). Introduction: From World Englishes to Unequal Englishes. In Unequal Englishes (pp. 1–17). Palgrave Macmillan UK. </w:t>
      </w:r>
      <w:hyperlink r:id="rId87" w:history="1">
        <w:r w:rsidRPr="00B00BEB">
          <w:rPr>
            <w:rStyle w:val="Hyperlink"/>
          </w:rPr>
          <w:t>https://doi.org/10.1057/9781137461223_1</w:t>
        </w:r>
      </w:hyperlink>
      <w:r w:rsidRPr="00B00BEB">
        <w:t xml:space="preserve"> </w:t>
      </w:r>
    </w:p>
    <w:p w14:paraId="0BA4A1A4" w14:textId="77777777" w:rsidR="00947661" w:rsidRPr="00B00BEB" w:rsidRDefault="00947661" w:rsidP="00B00BEB">
      <w:pPr>
        <w:spacing w:after="120"/>
        <w:ind w:left="567" w:hanging="567"/>
      </w:pPr>
      <w:bookmarkStart w:id="95" w:name="_Ubaidillah,_M._F.,"/>
      <w:bookmarkEnd w:id="95"/>
      <w:r w:rsidRPr="00B00BEB">
        <w:t xml:space="preserve">Ubaidillah, M. F., Elfiyanto, S., Rifiyani, A. J., &amp; Lee, H. Y. (2023). Indonesian EFL Teachers’ Identity Construction in a Global Englishes Era. JEELS (Journal of English Education and Linguistics Studies), 10(1), 199–235. </w:t>
      </w:r>
      <w:hyperlink r:id="rId88" w:history="1">
        <w:r w:rsidRPr="00B00BEB">
          <w:rPr>
            <w:rStyle w:val="Hyperlink"/>
          </w:rPr>
          <w:t>https://doi.org/10.30762/jeels.v10i1.1082</w:t>
        </w:r>
      </w:hyperlink>
      <w:r w:rsidRPr="00B00BEB">
        <w:t xml:space="preserve"> </w:t>
      </w:r>
    </w:p>
    <w:p w14:paraId="45D9D776" w14:textId="77777777" w:rsidR="00947661" w:rsidRPr="00B00BEB" w:rsidRDefault="00947661" w:rsidP="00B00BEB">
      <w:pPr>
        <w:spacing w:after="120"/>
        <w:ind w:left="567" w:hanging="567"/>
      </w:pPr>
      <w:bookmarkStart w:id="96" w:name="_Wang,_L.,_Tong,"/>
      <w:bookmarkEnd w:id="96"/>
      <w:r w:rsidRPr="00B00BEB">
        <w:t xml:space="preserve">Wang, L., Tong, R., Leung, C. C., Sivadas, S., Ni, C., &amp; Ma, B. (2017). Cloud-based automatic speech recognition systems for southeast asian languages. Proceedings of the 2017 International Conference on Orange Technologies, ICOT 2017, 2018-January. </w:t>
      </w:r>
      <w:hyperlink r:id="rId89" w:history="1">
        <w:r w:rsidRPr="00B00BEB">
          <w:rPr>
            <w:rStyle w:val="Hyperlink"/>
          </w:rPr>
          <w:t>https://doi.org/10.1109/ICOT.2017.8336109</w:t>
        </w:r>
      </w:hyperlink>
      <w:r w:rsidRPr="00B00BEB">
        <w:t xml:space="preserve"> </w:t>
      </w:r>
    </w:p>
    <w:p w14:paraId="512B9D43" w14:textId="77777777" w:rsidR="00947661" w:rsidRPr="00B00BEB" w:rsidRDefault="00947661" w:rsidP="00B00BEB">
      <w:pPr>
        <w:spacing w:after="120"/>
        <w:ind w:left="567" w:hanging="567"/>
      </w:pPr>
      <w:bookmarkStart w:id="97" w:name="_Widdowson._(2003)._Defining"/>
      <w:bookmarkEnd w:id="97"/>
      <w:r w:rsidRPr="00B00BEB">
        <w:t>Widdowson. (2003). Defining Issues in English Language Teaching. Oxford University Press. p.5.</w:t>
      </w:r>
    </w:p>
    <w:p w14:paraId="113CF38D" w14:textId="77777777" w:rsidR="00947661" w:rsidRPr="00B00BEB" w:rsidRDefault="00947661" w:rsidP="00B00BEB">
      <w:pPr>
        <w:spacing w:after="120"/>
        <w:ind w:left="567" w:hanging="567"/>
      </w:pPr>
      <w:bookmarkStart w:id="98" w:name="_Yawan,_H.,_&amp;"/>
      <w:bookmarkEnd w:id="98"/>
      <w:r w:rsidRPr="00B00BEB">
        <w:t xml:space="preserve">Yawan, H., &amp; Marhamah. (2024). Challenging Native Speakerism: TEFL in Indonesia Beyond Native Speaker Fallacy. JLE: Journal of Literate of English Education Study Program, 5(1), 62–72. </w:t>
      </w:r>
      <w:hyperlink r:id="rId90" w:history="1">
        <w:r w:rsidRPr="00B00BEB">
          <w:rPr>
            <w:rStyle w:val="Hyperlink"/>
          </w:rPr>
          <w:t>https://doi.org/10.47435/jle.v5i1.2692</w:t>
        </w:r>
      </w:hyperlink>
      <w:r w:rsidRPr="00B00BEB">
        <w:t xml:space="preserve"> </w:t>
      </w:r>
    </w:p>
    <w:p w14:paraId="6A582463" w14:textId="77777777" w:rsidR="00947661" w:rsidRPr="00B00BEB" w:rsidRDefault="00947661" w:rsidP="00B00BEB">
      <w:pPr>
        <w:spacing w:after="120"/>
        <w:ind w:left="567" w:hanging="567"/>
      </w:pPr>
      <w:bookmarkStart w:id="99" w:name="_Zacharias,_N._T."/>
      <w:bookmarkEnd w:id="99"/>
      <w:r w:rsidRPr="00B00BEB">
        <w:t xml:space="preserve">Zacharias, N. T. (2019). The ghost of nativespeakerism: The case of teacher classroom introductions in transnational contexts. TESOL Journal, 10(4). </w:t>
      </w:r>
      <w:hyperlink r:id="rId91" w:history="1">
        <w:r w:rsidRPr="00B00BEB">
          <w:rPr>
            <w:rStyle w:val="Hyperlink"/>
          </w:rPr>
          <w:t>https://doi.org/10.1002/tesj.499</w:t>
        </w:r>
      </w:hyperlink>
      <w:r w:rsidRPr="00B00BEB">
        <w:t xml:space="preserve"> </w:t>
      </w:r>
    </w:p>
    <w:p w14:paraId="5278E4B2" w14:textId="77777777" w:rsidR="00947661" w:rsidRPr="00B00BEB" w:rsidRDefault="00947661" w:rsidP="00B00BEB">
      <w:pPr>
        <w:spacing w:after="120"/>
        <w:ind w:left="567" w:hanging="567"/>
      </w:pPr>
      <w:bookmarkStart w:id="100" w:name="_Zahro,_S._K."/>
      <w:bookmarkEnd w:id="100"/>
      <w:r w:rsidRPr="00B00BEB">
        <w:t xml:space="preserve">Zahro, S. K. (2019). Native and Non-Native Listeners Perceptual Judgement of English Accentedness, Intelligibility, and Acceptability of Indonesian Speakers. Lingua Cultura, 13(1), 39. </w:t>
      </w:r>
      <w:hyperlink r:id="rId92" w:history="1">
        <w:r w:rsidRPr="00B00BEB">
          <w:rPr>
            <w:rStyle w:val="Hyperlink"/>
          </w:rPr>
          <w:t>https://doi.org/10.21512/lc.v13i1.5362</w:t>
        </w:r>
      </w:hyperlink>
      <w:r w:rsidRPr="00B00BEB">
        <w:t xml:space="preserve"> </w:t>
      </w:r>
    </w:p>
    <w:p w14:paraId="02EA6EBD" w14:textId="77777777" w:rsidR="00947661" w:rsidRPr="00B00BEB" w:rsidRDefault="00947661" w:rsidP="00B00BEB">
      <w:pPr>
        <w:spacing w:after="120"/>
        <w:ind w:left="567" w:hanging="567"/>
      </w:pPr>
      <w:bookmarkStart w:id="101" w:name="_Zein,_S.,_Sukyadi,"/>
      <w:bookmarkEnd w:id="101"/>
      <w:r w:rsidRPr="00B00BEB">
        <w:t xml:space="preserve">Zein, S., Sukyadi, D., Hamied, F. A., &amp; Lengkanawati, N. S. (2020). English language education in Indonesia: A review of research (2011–2019). Language Teaching, 53(4), 491–523. </w:t>
      </w:r>
      <w:hyperlink r:id="rId93" w:history="1">
        <w:r w:rsidRPr="00B00BEB">
          <w:rPr>
            <w:rStyle w:val="Hyperlink"/>
          </w:rPr>
          <w:t>https://doi.org/10.1017/S0261444820000208</w:t>
        </w:r>
      </w:hyperlink>
      <w:r w:rsidRPr="00B00BEB">
        <w:t xml:space="preserve"> </w:t>
      </w:r>
    </w:p>
    <w:p w14:paraId="76A6F59D" w14:textId="77777777" w:rsidR="00947661" w:rsidRPr="00B00BEB" w:rsidRDefault="00947661" w:rsidP="00B00BEB">
      <w:pPr>
        <w:spacing w:after="120"/>
        <w:ind w:left="567" w:hanging="567"/>
      </w:pPr>
      <w:bookmarkStart w:id="102" w:name="_Zentz,_L._(2017)."/>
      <w:bookmarkEnd w:id="102"/>
      <w:r w:rsidRPr="00B00BEB">
        <w:t xml:space="preserve">Zentz, L. (2017). Statehood, scale and hierarchy: History, language and identity in Indonesia. In Statehood, Scale and Hierarchy: History, Language and Identity in Indonesia. </w:t>
      </w:r>
      <w:hyperlink r:id="rId94" w:history="1">
        <w:r w:rsidRPr="00B00BEB">
          <w:rPr>
            <w:rStyle w:val="Hyperlink"/>
          </w:rPr>
          <w:t>https://doi.org/10.21832/ZENTZ8460</w:t>
        </w:r>
      </w:hyperlink>
      <w:r w:rsidRPr="00B00BEB">
        <w:t xml:space="preserve"> </w:t>
      </w:r>
    </w:p>
    <w:p w14:paraId="7E2987A3" w14:textId="77777777" w:rsidR="00947661" w:rsidRPr="00B00BEB" w:rsidRDefault="00947661" w:rsidP="00B00BEB">
      <w:pPr>
        <w:spacing w:after="120"/>
        <w:ind w:left="567" w:hanging="567"/>
      </w:pPr>
      <w:bookmarkStart w:id="103" w:name="_Zentz,_L._(2020)."/>
      <w:bookmarkEnd w:id="103"/>
      <w:r w:rsidRPr="00B00BEB">
        <w:t xml:space="preserve">Zentz, L. (2020). The Semiotic Functions of English in Indonesia (pp. 195–208). </w:t>
      </w:r>
      <w:hyperlink r:id="rId95" w:history="1">
        <w:r w:rsidRPr="00B00BEB">
          <w:rPr>
            <w:rStyle w:val="Hyperlink"/>
          </w:rPr>
          <w:t>https://doi.org/10.1007/978-3-030-52225-4_13</w:t>
        </w:r>
      </w:hyperlink>
      <w:r w:rsidRPr="00B00BEB">
        <w:t xml:space="preserve"> </w:t>
      </w:r>
    </w:p>
    <w:p w14:paraId="0A73BF89" w14:textId="77777777" w:rsidR="005B6F54" w:rsidRDefault="005B6F54">
      <w:pPr>
        <w:shd w:val="clear" w:color="auto" w:fill="FFFFFF"/>
        <w:spacing w:before="240" w:after="240"/>
        <w:jc w:val="left"/>
        <w:rPr>
          <w:rFonts w:ascii="Cambria" w:eastAsia="Cambria" w:hAnsi="Cambria" w:cs="Cambria"/>
          <w:color w:val="333333"/>
        </w:rPr>
      </w:pPr>
    </w:p>
    <w:sectPr w:rsidR="005B6F54">
      <w:footerReference w:type="even" r:id="rId96"/>
      <w:footerReference w:type="default" r:id="rId97"/>
      <w:type w:val="continuous"/>
      <w:pgSz w:w="11906" w:h="16838"/>
      <w:pgMar w:top="1440" w:right="1134"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6DC4F" w14:textId="77777777" w:rsidR="00D96AFD" w:rsidRDefault="00D96AFD">
      <w:r>
        <w:separator/>
      </w:r>
    </w:p>
  </w:endnote>
  <w:endnote w:type="continuationSeparator" w:id="0">
    <w:p w14:paraId="5EA608A0" w14:textId="77777777" w:rsidR="00D96AFD" w:rsidRDefault="00D96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AAEF" w14:textId="77777777" w:rsidR="005B6F54" w:rsidRDefault="00000000">
    <w:pPr>
      <w:pBdr>
        <w:top w:val="single" w:sz="4" w:space="1" w:color="D9D9D9"/>
        <w:left w:val="nil"/>
        <w:bottom w:val="nil"/>
        <w:right w:val="nil"/>
        <w:between w:val="nil"/>
      </w:pBdr>
      <w:tabs>
        <w:tab w:val="center" w:pos="4320"/>
        <w:tab w:val="right" w:pos="8640"/>
      </w:tabs>
      <w:jc w:val="left"/>
      <w:rPr>
        <w:rFonts w:ascii="Cambria" w:eastAsia="Cambria" w:hAnsi="Cambria" w:cs="Cambria"/>
        <w:i/>
        <w:color w:val="000000"/>
      </w:rPr>
    </w:pP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596522">
      <w:rPr>
        <w:rFonts w:ascii="Cambria" w:eastAsia="Cambria" w:hAnsi="Cambria" w:cs="Cambria"/>
        <w:noProof/>
        <w:color w:val="000000"/>
      </w:rPr>
      <w:t>2</w:t>
    </w:r>
    <w:r>
      <w:rPr>
        <w:rFonts w:ascii="Cambria" w:eastAsia="Cambria" w:hAnsi="Cambria" w:cs="Cambria"/>
        <w:color w:val="000000"/>
      </w:rPr>
      <w:fldChar w:fldCharType="end"/>
    </w:r>
    <w:r>
      <w:rPr>
        <w:rFonts w:ascii="Times New Roman" w:eastAsia="Times New Roman" w:hAnsi="Times New Roman"/>
        <w:b/>
        <w:color w:val="000000"/>
        <w:sz w:val="24"/>
        <w:szCs w:val="24"/>
      </w:rPr>
      <w:t xml:space="preserve"> |</w:t>
    </w:r>
    <w:r>
      <w:rPr>
        <w:rFonts w:ascii="Cambria" w:eastAsia="Cambria" w:hAnsi="Cambria" w:cs="Cambria"/>
        <w:i/>
        <w:color w:val="000000"/>
      </w:rPr>
      <w:t xml:space="preserve"> </w:t>
    </w:r>
    <w:r>
      <w:rPr>
        <w:rFonts w:ascii="Cambria" w:eastAsia="Cambria" w:hAnsi="Cambria" w:cs="Cambria"/>
        <w:i/>
        <w:color w:val="000000"/>
        <w:sz w:val="18"/>
        <w:szCs w:val="18"/>
      </w:rPr>
      <w:t>Article’s Short Title (Cambria Italic 9)</w:t>
    </w:r>
  </w:p>
  <w:p w14:paraId="53068BFC" w14:textId="77777777" w:rsidR="005B6F54" w:rsidRDefault="005B6F54">
    <w:pPr>
      <w:pBdr>
        <w:top w:val="nil"/>
        <w:left w:val="nil"/>
        <w:bottom w:val="nil"/>
        <w:right w:val="nil"/>
        <w:between w:val="nil"/>
      </w:pBdr>
      <w:tabs>
        <w:tab w:val="center" w:pos="4320"/>
        <w:tab w:val="right" w:pos="8640"/>
      </w:tabs>
      <w:jc w:val="left"/>
      <w:rPr>
        <w:rFonts w:ascii="Times New Roman" w:eastAsia="Times New Roman" w:hAnsi="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B2685" w14:textId="009D6FC2" w:rsidR="005B6F54" w:rsidRDefault="00000000">
    <w:pPr>
      <w:pBdr>
        <w:top w:val="single" w:sz="4" w:space="1" w:color="D9D9D9"/>
        <w:left w:val="nil"/>
        <w:bottom w:val="nil"/>
        <w:right w:val="nil"/>
        <w:between w:val="nil"/>
      </w:pBdr>
      <w:tabs>
        <w:tab w:val="center" w:pos="4320"/>
        <w:tab w:val="right" w:pos="8640"/>
      </w:tabs>
      <w:jc w:val="right"/>
      <w:rPr>
        <w:rFonts w:ascii="Cambria" w:eastAsia="Cambria" w:hAnsi="Cambria" w:cs="Cambria"/>
        <w:color w:val="000000"/>
        <w:sz w:val="24"/>
        <w:szCs w:val="24"/>
      </w:rPr>
    </w:pPr>
    <w:r>
      <w:rPr>
        <w:rFonts w:ascii="Cambria" w:eastAsia="Cambria" w:hAnsi="Cambria" w:cs="Cambria"/>
        <w:i/>
        <w:color w:val="000000"/>
        <w:sz w:val="18"/>
        <w:szCs w:val="18"/>
      </w:rPr>
      <w:t xml:space="preserve">Author’s </w:t>
    </w:r>
    <w:r>
      <w:rPr>
        <w:rFonts w:ascii="Cambria" w:eastAsia="Cambria" w:hAnsi="Cambria" w:cs="Cambria"/>
        <w:i/>
        <w:color w:val="000000"/>
        <w:sz w:val="18"/>
        <w:szCs w:val="18"/>
      </w:rPr>
      <w:t>Name</w:t>
    </w:r>
    <w:r>
      <w:rPr>
        <w:rFonts w:ascii="Cambria" w:eastAsia="Cambria" w:hAnsi="Cambria" w:cs="Cambria"/>
        <w:i/>
        <w:color w:val="000000"/>
      </w:rPr>
      <w:t xml:space="preserve"> </w:t>
    </w:r>
    <w:r>
      <w:rPr>
        <w:rFonts w:ascii="Cambria" w:eastAsia="Cambria" w:hAnsi="Cambria" w:cs="Cambria"/>
        <w:color w:val="000000"/>
        <w:sz w:val="24"/>
        <w:szCs w:val="24"/>
      </w:rPr>
      <w:t xml:space="preserv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596522">
      <w:rPr>
        <w:rFonts w:ascii="Cambria" w:eastAsia="Cambria" w:hAnsi="Cambria" w:cs="Cambria"/>
        <w:noProof/>
        <w:color w:val="000000"/>
      </w:rPr>
      <w:t>3</w:t>
    </w:r>
    <w:r>
      <w:rPr>
        <w:rFonts w:ascii="Cambria" w:eastAsia="Cambria" w:hAnsi="Cambria" w:cs="Cambria"/>
        <w:color w:val="000000"/>
      </w:rPr>
      <w:fldChar w:fldCharType="end"/>
    </w:r>
  </w:p>
  <w:p w14:paraId="53318991" w14:textId="77777777" w:rsidR="005B6F54" w:rsidRDefault="005B6F54">
    <w:pPr>
      <w:pBdr>
        <w:top w:val="nil"/>
        <w:left w:val="nil"/>
        <w:bottom w:val="nil"/>
        <w:right w:val="nil"/>
        <w:between w:val="nil"/>
      </w:pBdr>
      <w:tabs>
        <w:tab w:val="center" w:pos="4320"/>
        <w:tab w:val="right" w:pos="8640"/>
      </w:tabs>
      <w:jc w:val="left"/>
      <w:rPr>
        <w:rFonts w:ascii="Times New Roman" w:eastAsia="Times New Roman" w:hAnsi="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6ECD4" w14:textId="77777777" w:rsidR="00D96AFD" w:rsidRDefault="00D96AFD">
      <w:r>
        <w:separator/>
      </w:r>
    </w:p>
  </w:footnote>
  <w:footnote w:type="continuationSeparator" w:id="0">
    <w:p w14:paraId="4AE4D3AE" w14:textId="77777777" w:rsidR="00D96AFD" w:rsidRDefault="00D96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F0AF" w14:textId="77777777" w:rsidR="005B6F54" w:rsidRDefault="00000000">
    <w:pPr>
      <w:pBdr>
        <w:top w:val="nil"/>
        <w:left w:val="nil"/>
        <w:bottom w:val="nil"/>
        <w:right w:val="nil"/>
        <w:between w:val="nil"/>
      </w:pBdr>
      <w:tabs>
        <w:tab w:val="center" w:pos="4320"/>
        <w:tab w:val="right" w:pos="8640"/>
      </w:tabs>
      <w:jc w:val="left"/>
      <w:rPr>
        <w:rFonts w:ascii="Times New Roman" w:eastAsia="Times New Roman" w:hAnsi="Times New Roman"/>
        <w:i/>
        <w:color w:val="000000"/>
        <w:sz w:val="24"/>
        <w:szCs w:val="24"/>
      </w:rPr>
    </w:pPr>
    <w:r>
      <w:rPr>
        <w:rFonts w:ascii="Cambria" w:eastAsia="Cambria" w:hAnsi="Cambria" w:cs="Cambria"/>
        <w:i/>
        <w:color w:val="000000"/>
        <w:sz w:val="18"/>
        <w:szCs w:val="18"/>
      </w:rPr>
      <w:t xml:space="preserve">LiNGUA Vol. x, No. y, Month Year </w:t>
    </w:r>
    <w:r>
      <w:rPr>
        <w:rFonts w:ascii="Cambria" w:eastAsia="Cambria" w:hAnsi="Cambria" w:cs="Cambria"/>
        <w:i/>
        <w:color w:val="000000"/>
        <w:sz w:val="16"/>
        <w:szCs w:val="16"/>
      </w:rPr>
      <w:t>•</w:t>
    </w:r>
    <w:r>
      <w:rPr>
        <w:rFonts w:ascii="Cambria" w:eastAsia="Cambria" w:hAnsi="Cambria" w:cs="Cambria"/>
        <w:i/>
        <w:color w:val="000000"/>
        <w:sz w:val="18"/>
        <w:szCs w:val="18"/>
      </w:rPr>
      <w:t xml:space="preserve"> ISSN 1693-4725 </w:t>
    </w:r>
    <w:r>
      <w:rPr>
        <w:rFonts w:ascii="Cambria" w:eastAsia="Cambria" w:hAnsi="Cambria" w:cs="Cambria"/>
        <w:i/>
        <w:color w:val="000000"/>
        <w:sz w:val="16"/>
        <w:szCs w:val="16"/>
      </w:rPr>
      <w:t>• e-ISSN 2442-3823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AABD" w14:textId="77777777" w:rsidR="005B6F54" w:rsidRDefault="00000000">
    <w:pPr>
      <w:pBdr>
        <w:top w:val="nil"/>
        <w:left w:val="nil"/>
        <w:bottom w:val="nil"/>
        <w:right w:val="nil"/>
        <w:between w:val="nil"/>
      </w:pBdr>
      <w:tabs>
        <w:tab w:val="center" w:pos="4320"/>
        <w:tab w:val="right" w:pos="8640"/>
      </w:tabs>
      <w:jc w:val="right"/>
      <w:rPr>
        <w:rFonts w:ascii="Times New Roman" w:eastAsia="Times New Roman" w:hAnsi="Times New Roman"/>
        <w:i/>
        <w:color w:val="000000"/>
        <w:sz w:val="24"/>
        <w:szCs w:val="24"/>
      </w:rPr>
    </w:pPr>
    <w:r>
      <w:rPr>
        <w:rFonts w:ascii="Cambria" w:eastAsia="Cambria" w:hAnsi="Cambria" w:cs="Cambria"/>
        <w:i/>
        <w:color w:val="000000"/>
        <w:sz w:val="18"/>
        <w:szCs w:val="18"/>
      </w:rPr>
      <w:t xml:space="preserve">LiNGUA </w:t>
    </w:r>
    <w:r>
      <w:rPr>
        <w:rFonts w:ascii="Cambria" w:eastAsia="Cambria" w:hAnsi="Cambria" w:cs="Cambria"/>
        <w:i/>
        <w:color w:val="000000"/>
        <w:sz w:val="18"/>
        <w:szCs w:val="18"/>
      </w:rPr>
      <w:t xml:space="preserve">Vol. x, No. y, Month Year </w:t>
    </w:r>
    <w:r>
      <w:rPr>
        <w:rFonts w:ascii="Cambria" w:eastAsia="Cambria" w:hAnsi="Cambria" w:cs="Cambria"/>
        <w:i/>
        <w:color w:val="000000"/>
        <w:sz w:val="16"/>
        <w:szCs w:val="16"/>
      </w:rPr>
      <w:t>•</w:t>
    </w:r>
    <w:r>
      <w:rPr>
        <w:rFonts w:ascii="Cambria" w:eastAsia="Cambria" w:hAnsi="Cambria" w:cs="Cambria"/>
        <w:i/>
        <w:color w:val="000000"/>
        <w:sz w:val="18"/>
        <w:szCs w:val="18"/>
      </w:rPr>
      <w:t xml:space="preserve"> ISSN 1693-4725 </w:t>
    </w:r>
    <w:r>
      <w:rPr>
        <w:rFonts w:ascii="Cambria" w:eastAsia="Cambria" w:hAnsi="Cambria" w:cs="Cambria"/>
        <w:i/>
        <w:color w:val="000000"/>
        <w:sz w:val="16"/>
        <w:szCs w:val="16"/>
      </w:rPr>
      <w:t>• e-ISSN 2442-3823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B566A"/>
    <w:multiLevelType w:val="hybridMultilevel"/>
    <w:tmpl w:val="B72A3F3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7C4F235D"/>
    <w:multiLevelType w:val="hybridMultilevel"/>
    <w:tmpl w:val="E104DB8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403651707">
    <w:abstractNumId w:val="1"/>
  </w:num>
  <w:num w:numId="2" w16cid:durableId="116034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F54"/>
    <w:rsid w:val="0028282F"/>
    <w:rsid w:val="002C3228"/>
    <w:rsid w:val="004B2BB4"/>
    <w:rsid w:val="00502C25"/>
    <w:rsid w:val="00596522"/>
    <w:rsid w:val="005B6F54"/>
    <w:rsid w:val="00926697"/>
    <w:rsid w:val="00947661"/>
    <w:rsid w:val="00983A25"/>
    <w:rsid w:val="00A5191D"/>
    <w:rsid w:val="00B00BEB"/>
    <w:rsid w:val="00D11E65"/>
    <w:rsid w:val="00D96AFD"/>
    <w:rsid w:val="00F564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CA75D"/>
  <w15:docId w15:val="{7A89DB98-9640-4F37-A140-69EDA877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91F"/>
    <w:rPr>
      <w:rFonts w:cs="Times New Roman"/>
    </w:rPr>
  </w:style>
  <w:style w:type="paragraph" w:styleId="Heading1">
    <w:name w:val="heading 1"/>
    <w:basedOn w:val="Normal"/>
    <w:next w:val="Normal"/>
    <w:link w:val="Heading1Char"/>
    <w:uiPriority w:val="9"/>
    <w:qFormat/>
    <w:rsid w:val="0005091F"/>
    <w:pPr>
      <w:keepNext/>
      <w:spacing w:line="480" w:lineRule="auto"/>
      <w:outlineLvl w:val="0"/>
    </w:pPr>
    <w:rPr>
      <w:rFonts w:ascii="Times New Roman" w:eastAsia="Times New Roman" w:hAnsi="Times New Roman"/>
      <w:b/>
      <w:bCs/>
      <w:i/>
      <w:iCs/>
      <w:sz w:val="24"/>
      <w:szCs w:val="24"/>
      <w:lang w:val="en-US"/>
    </w:rPr>
  </w:style>
  <w:style w:type="paragraph" w:styleId="Heading2">
    <w:name w:val="heading 2"/>
    <w:basedOn w:val="Normal"/>
    <w:next w:val="Normal"/>
    <w:link w:val="Heading2Char"/>
    <w:uiPriority w:val="9"/>
    <w:semiHidden/>
    <w:unhideWhenUsed/>
    <w:qFormat/>
    <w:rsid w:val="0005091F"/>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05091F"/>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05091F"/>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05091F"/>
    <w:p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05091F"/>
    <w:pPr>
      <w:spacing w:before="240" w:after="60"/>
      <w:outlineLvl w:val="5"/>
    </w:pPr>
    <w:rPr>
      <w:rFonts w:eastAsia="Times New Roman"/>
      <w:b/>
      <w:bCs/>
    </w:rPr>
  </w:style>
  <w:style w:type="paragraph" w:styleId="Heading7">
    <w:name w:val="heading 7"/>
    <w:basedOn w:val="Normal"/>
    <w:next w:val="Normal"/>
    <w:link w:val="Heading7Char"/>
    <w:unhideWhenUsed/>
    <w:qFormat/>
    <w:rsid w:val="0005091F"/>
    <w:pPr>
      <w:spacing w:before="240" w:after="60"/>
      <w:outlineLvl w:val="6"/>
    </w:pPr>
    <w:rPr>
      <w:rFonts w:eastAsia="Times New Roman"/>
      <w:sz w:val="24"/>
      <w:szCs w:val="24"/>
    </w:rPr>
  </w:style>
  <w:style w:type="paragraph" w:styleId="Heading8">
    <w:name w:val="heading 8"/>
    <w:basedOn w:val="Normal"/>
    <w:next w:val="Normal"/>
    <w:link w:val="Heading8Char"/>
    <w:qFormat/>
    <w:rsid w:val="0005091F"/>
    <w:pPr>
      <w:keepNext/>
      <w:spacing w:line="480" w:lineRule="auto"/>
      <w:jc w:val="center"/>
      <w:outlineLvl w:val="7"/>
    </w:pPr>
    <w:rPr>
      <w:rFonts w:ascii="Times New Roman" w:eastAsia="Times New Roman" w:hAnsi="Times New Roman"/>
      <w:b/>
      <w:bCs/>
      <w:sz w:val="24"/>
      <w:szCs w:val="24"/>
      <w:lang w:val="en-US"/>
    </w:rPr>
  </w:style>
  <w:style w:type="paragraph" w:styleId="Heading9">
    <w:name w:val="heading 9"/>
    <w:basedOn w:val="Normal"/>
    <w:next w:val="Normal"/>
    <w:link w:val="Heading9Char"/>
    <w:unhideWhenUsed/>
    <w:qFormat/>
    <w:rsid w:val="0005091F"/>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5091F"/>
    <w:pPr>
      <w:spacing w:line="480" w:lineRule="auto"/>
      <w:jc w:val="center"/>
    </w:pPr>
    <w:rPr>
      <w:rFonts w:ascii="Times New Roman" w:eastAsia="Times New Roman" w:hAnsi="Times New Roman"/>
      <w:b/>
      <w:bCs/>
      <w:sz w:val="28"/>
      <w:szCs w:val="28"/>
      <w:lang w:val="en-US"/>
    </w:rPr>
  </w:style>
  <w:style w:type="character" w:customStyle="1" w:styleId="Heading1Char">
    <w:name w:val="Heading 1 Char"/>
    <w:basedOn w:val="DefaultParagraphFont"/>
    <w:link w:val="Heading1"/>
    <w:rsid w:val="0005091F"/>
    <w:rPr>
      <w:rFonts w:ascii="Times New Roman" w:eastAsia="Times New Roman" w:hAnsi="Times New Roman" w:cs="Times New Roman"/>
      <w:b/>
      <w:bCs/>
      <w:i/>
      <w:iCs/>
      <w:sz w:val="24"/>
      <w:szCs w:val="24"/>
      <w:lang w:val="en-US"/>
    </w:rPr>
  </w:style>
  <w:style w:type="character" w:customStyle="1" w:styleId="Heading2Char">
    <w:name w:val="Heading 2 Char"/>
    <w:basedOn w:val="DefaultParagraphFont"/>
    <w:link w:val="Heading2"/>
    <w:rsid w:val="0005091F"/>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05091F"/>
    <w:rPr>
      <w:rFonts w:ascii="Cambria" w:eastAsia="Times New Roman" w:hAnsi="Cambria" w:cs="Times New Roman"/>
      <w:b/>
      <w:bCs/>
      <w:sz w:val="26"/>
      <w:szCs w:val="26"/>
    </w:rPr>
  </w:style>
  <w:style w:type="character" w:customStyle="1" w:styleId="Heading4Char">
    <w:name w:val="Heading 4 Char"/>
    <w:basedOn w:val="DefaultParagraphFont"/>
    <w:link w:val="Heading4"/>
    <w:rsid w:val="0005091F"/>
    <w:rPr>
      <w:rFonts w:ascii="Calibri" w:eastAsia="Times New Roman" w:hAnsi="Calibri" w:cs="Times New Roman"/>
      <w:b/>
      <w:bCs/>
      <w:sz w:val="28"/>
      <w:szCs w:val="28"/>
    </w:rPr>
  </w:style>
  <w:style w:type="character" w:customStyle="1" w:styleId="Heading5Char">
    <w:name w:val="Heading 5 Char"/>
    <w:basedOn w:val="DefaultParagraphFont"/>
    <w:link w:val="Heading5"/>
    <w:rsid w:val="0005091F"/>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05091F"/>
    <w:rPr>
      <w:rFonts w:ascii="Calibri" w:eastAsia="Times New Roman" w:hAnsi="Calibri" w:cs="Times New Roman"/>
      <w:b/>
      <w:bCs/>
    </w:rPr>
  </w:style>
  <w:style w:type="character" w:customStyle="1" w:styleId="Heading7Char">
    <w:name w:val="Heading 7 Char"/>
    <w:basedOn w:val="DefaultParagraphFont"/>
    <w:link w:val="Heading7"/>
    <w:rsid w:val="0005091F"/>
    <w:rPr>
      <w:rFonts w:ascii="Calibri" w:eastAsia="Times New Roman" w:hAnsi="Calibri" w:cs="Times New Roman"/>
      <w:sz w:val="24"/>
      <w:szCs w:val="24"/>
    </w:rPr>
  </w:style>
  <w:style w:type="character" w:customStyle="1" w:styleId="Heading8Char">
    <w:name w:val="Heading 8 Char"/>
    <w:basedOn w:val="DefaultParagraphFont"/>
    <w:link w:val="Heading8"/>
    <w:rsid w:val="0005091F"/>
    <w:rPr>
      <w:rFonts w:ascii="Times New Roman" w:eastAsia="Times New Roman" w:hAnsi="Times New Roman" w:cs="Times New Roman"/>
      <w:b/>
      <w:bCs/>
      <w:sz w:val="24"/>
      <w:szCs w:val="24"/>
      <w:lang w:val="en-US"/>
    </w:rPr>
  </w:style>
  <w:style w:type="character" w:customStyle="1" w:styleId="Heading9Char">
    <w:name w:val="Heading 9 Char"/>
    <w:basedOn w:val="DefaultParagraphFont"/>
    <w:link w:val="Heading9"/>
    <w:rsid w:val="0005091F"/>
    <w:rPr>
      <w:rFonts w:ascii="Cambria" w:eastAsia="Times New Roman" w:hAnsi="Cambria" w:cs="Times New Roman"/>
    </w:rPr>
  </w:style>
  <w:style w:type="paragraph" w:styleId="BodyText3">
    <w:name w:val="Body Text 3"/>
    <w:basedOn w:val="Normal"/>
    <w:link w:val="BodyText3Char"/>
    <w:unhideWhenUsed/>
    <w:rsid w:val="0005091F"/>
    <w:pPr>
      <w:spacing w:after="120"/>
      <w:jc w:val="left"/>
    </w:pPr>
    <w:rPr>
      <w:rFonts w:ascii="Times New Roman" w:eastAsia="MS Mincho" w:hAnsi="Times New Roman"/>
      <w:sz w:val="16"/>
      <w:szCs w:val="16"/>
      <w:lang w:val="en-US" w:eastAsia="ja-JP"/>
    </w:rPr>
  </w:style>
  <w:style w:type="character" w:customStyle="1" w:styleId="BodyText3Char">
    <w:name w:val="Body Text 3 Char"/>
    <w:basedOn w:val="DefaultParagraphFont"/>
    <w:link w:val="BodyText3"/>
    <w:rsid w:val="0005091F"/>
    <w:rPr>
      <w:rFonts w:ascii="Times New Roman" w:eastAsia="MS Mincho" w:hAnsi="Times New Roman" w:cs="Times New Roman"/>
      <w:sz w:val="16"/>
      <w:szCs w:val="16"/>
      <w:lang w:val="en-US" w:eastAsia="ja-JP"/>
    </w:rPr>
  </w:style>
  <w:style w:type="paragraph" w:styleId="ListParagraph">
    <w:name w:val="List Paragraph"/>
    <w:basedOn w:val="Normal"/>
    <w:link w:val="ListParagraphChar"/>
    <w:uiPriority w:val="34"/>
    <w:qFormat/>
    <w:rsid w:val="0005091F"/>
    <w:pPr>
      <w:ind w:left="720"/>
      <w:jc w:val="left"/>
    </w:pPr>
    <w:rPr>
      <w:rFonts w:ascii="Times New Roman" w:eastAsia="Times New Roman" w:hAnsi="Times New Roman"/>
      <w:sz w:val="24"/>
      <w:szCs w:val="24"/>
      <w:lang w:val="en-US"/>
    </w:rPr>
  </w:style>
  <w:style w:type="character" w:customStyle="1" w:styleId="ListParagraphChar">
    <w:name w:val="List Paragraph Char"/>
    <w:link w:val="ListParagraph"/>
    <w:uiPriority w:val="34"/>
    <w:locked/>
    <w:rsid w:val="00C7622B"/>
    <w:rPr>
      <w:rFonts w:ascii="Times New Roman" w:eastAsia="Times New Roman" w:hAnsi="Times New Roman" w:cs="Times New Roman"/>
      <w:sz w:val="24"/>
      <w:szCs w:val="24"/>
      <w:lang w:val="en-US"/>
    </w:rPr>
  </w:style>
  <w:style w:type="character" w:styleId="Hyperlink">
    <w:name w:val="Hyperlink"/>
    <w:basedOn w:val="DefaultParagraphFont"/>
    <w:unhideWhenUsed/>
    <w:rsid w:val="0005091F"/>
    <w:rPr>
      <w:color w:val="0000FF"/>
      <w:u w:val="single"/>
    </w:rPr>
  </w:style>
  <w:style w:type="character" w:customStyle="1" w:styleId="TitleChar">
    <w:name w:val="Title Char"/>
    <w:basedOn w:val="DefaultParagraphFont"/>
    <w:link w:val="Title"/>
    <w:uiPriority w:val="10"/>
    <w:rsid w:val="0005091F"/>
    <w:rPr>
      <w:rFonts w:ascii="Times New Roman" w:eastAsia="Times New Roman" w:hAnsi="Times New Roman" w:cs="Times New Roman"/>
      <w:b/>
      <w:bCs/>
      <w:sz w:val="28"/>
      <w:szCs w:val="28"/>
      <w:lang w:val="en-US"/>
    </w:rPr>
  </w:style>
  <w:style w:type="paragraph" w:styleId="Subtitle">
    <w:name w:val="Subtitle"/>
    <w:basedOn w:val="Normal"/>
    <w:next w:val="Normal"/>
    <w:link w:val="SubtitleChar"/>
    <w:uiPriority w:val="11"/>
    <w:qFormat/>
    <w:pPr>
      <w:tabs>
        <w:tab w:val="left" w:pos="900"/>
        <w:tab w:val="left" w:pos="7230"/>
        <w:tab w:val="right" w:pos="7797"/>
      </w:tabs>
      <w:spacing w:line="480" w:lineRule="auto"/>
      <w:ind w:left="900" w:hanging="900"/>
      <w:jc w:val="left"/>
    </w:pPr>
    <w:rPr>
      <w:rFonts w:ascii="Times New Roman" w:eastAsia="Times New Roman" w:hAnsi="Times New Roman"/>
      <w:b/>
      <w:sz w:val="24"/>
      <w:szCs w:val="24"/>
    </w:rPr>
  </w:style>
  <w:style w:type="character" w:customStyle="1" w:styleId="SubtitleChar">
    <w:name w:val="Subtitle Char"/>
    <w:basedOn w:val="DefaultParagraphFont"/>
    <w:link w:val="Subtitle"/>
    <w:rsid w:val="0005091F"/>
    <w:rPr>
      <w:rFonts w:ascii="Times New Roman" w:eastAsia="Times New Roman" w:hAnsi="Times New Roman" w:cs="Times New Roman"/>
      <w:b/>
      <w:bCs/>
      <w:sz w:val="24"/>
      <w:szCs w:val="24"/>
      <w:lang w:val="en-US"/>
    </w:rPr>
  </w:style>
  <w:style w:type="paragraph" w:styleId="BodyText">
    <w:name w:val="Body Text"/>
    <w:basedOn w:val="Normal"/>
    <w:link w:val="BodyTextChar"/>
    <w:unhideWhenUsed/>
    <w:rsid w:val="0005091F"/>
    <w:pPr>
      <w:spacing w:after="120"/>
    </w:pPr>
  </w:style>
  <w:style w:type="character" w:customStyle="1" w:styleId="BodyTextChar">
    <w:name w:val="Body Text Char"/>
    <w:basedOn w:val="DefaultParagraphFont"/>
    <w:link w:val="BodyText"/>
    <w:rsid w:val="0005091F"/>
    <w:rPr>
      <w:rFonts w:ascii="Calibri" w:eastAsia="Calibri" w:hAnsi="Calibri" w:cs="Times New Roman"/>
    </w:rPr>
  </w:style>
  <w:style w:type="paragraph" w:styleId="BodyTextIndent">
    <w:name w:val="Body Text Indent"/>
    <w:basedOn w:val="Normal"/>
    <w:link w:val="BodyTextIndentChar"/>
    <w:unhideWhenUsed/>
    <w:rsid w:val="0005091F"/>
    <w:pPr>
      <w:spacing w:after="120"/>
      <w:ind w:left="360"/>
    </w:pPr>
  </w:style>
  <w:style w:type="character" w:customStyle="1" w:styleId="BodyTextIndentChar">
    <w:name w:val="Body Text Indent Char"/>
    <w:basedOn w:val="DefaultParagraphFont"/>
    <w:link w:val="BodyTextIndent"/>
    <w:rsid w:val="0005091F"/>
    <w:rPr>
      <w:rFonts w:ascii="Calibri" w:eastAsia="Calibri" w:hAnsi="Calibri" w:cs="Times New Roman"/>
    </w:rPr>
  </w:style>
  <w:style w:type="paragraph" w:styleId="BodyTextIndent2">
    <w:name w:val="Body Text Indent 2"/>
    <w:basedOn w:val="Normal"/>
    <w:link w:val="BodyTextIndent2Char"/>
    <w:unhideWhenUsed/>
    <w:rsid w:val="0005091F"/>
    <w:pPr>
      <w:spacing w:after="120" w:line="480" w:lineRule="auto"/>
      <w:ind w:left="360"/>
    </w:pPr>
  </w:style>
  <w:style w:type="character" w:customStyle="1" w:styleId="BodyTextIndent2Char">
    <w:name w:val="Body Text Indent 2 Char"/>
    <w:basedOn w:val="DefaultParagraphFont"/>
    <w:link w:val="BodyTextIndent2"/>
    <w:rsid w:val="0005091F"/>
    <w:rPr>
      <w:rFonts w:ascii="Calibri" w:eastAsia="Calibri" w:hAnsi="Calibri" w:cs="Times New Roman"/>
    </w:rPr>
  </w:style>
  <w:style w:type="paragraph" w:styleId="BodyTextIndent3">
    <w:name w:val="Body Text Indent 3"/>
    <w:basedOn w:val="Normal"/>
    <w:link w:val="BodyTextIndent3Char"/>
    <w:unhideWhenUsed/>
    <w:rsid w:val="0005091F"/>
    <w:pPr>
      <w:spacing w:after="120"/>
      <w:ind w:left="360"/>
    </w:pPr>
    <w:rPr>
      <w:sz w:val="16"/>
      <w:szCs w:val="16"/>
    </w:rPr>
  </w:style>
  <w:style w:type="character" w:customStyle="1" w:styleId="BodyTextIndent3Char">
    <w:name w:val="Body Text Indent 3 Char"/>
    <w:basedOn w:val="DefaultParagraphFont"/>
    <w:link w:val="BodyTextIndent3"/>
    <w:rsid w:val="0005091F"/>
    <w:rPr>
      <w:rFonts w:ascii="Calibri" w:eastAsia="Calibri" w:hAnsi="Calibri" w:cs="Times New Roman"/>
      <w:sz w:val="16"/>
      <w:szCs w:val="16"/>
    </w:rPr>
  </w:style>
  <w:style w:type="paragraph" w:styleId="BodyText2">
    <w:name w:val="Body Text 2"/>
    <w:basedOn w:val="Normal"/>
    <w:link w:val="BodyText2Char"/>
    <w:rsid w:val="0005091F"/>
    <w:pPr>
      <w:spacing w:line="480" w:lineRule="auto"/>
      <w:jc w:val="center"/>
    </w:pPr>
    <w:rPr>
      <w:rFonts w:ascii="Times New Roman" w:eastAsia="Times New Roman" w:hAnsi="Times New Roman"/>
      <w:b/>
      <w:bCs/>
      <w:sz w:val="24"/>
      <w:szCs w:val="24"/>
      <w:lang w:val="en-US"/>
    </w:rPr>
  </w:style>
  <w:style w:type="character" w:customStyle="1" w:styleId="BodyText2Char">
    <w:name w:val="Body Text 2 Char"/>
    <w:basedOn w:val="DefaultParagraphFont"/>
    <w:link w:val="BodyText2"/>
    <w:rsid w:val="0005091F"/>
    <w:rPr>
      <w:rFonts w:ascii="Times New Roman" w:eastAsia="Times New Roman" w:hAnsi="Times New Roman" w:cs="Times New Roman"/>
      <w:b/>
      <w:bCs/>
      <w:sz w:val="24"/>
      <w:szCs w:val="24"/>
      <w:lang w:val="en-US"/>
    </w:rPr>
  </w:style>
  <w:style w:type="paragraph" w:styleId="Header">
    <w:name w:val="header"/>
    <w:basedOn w:val="Normal"/>
    <w:link w:val="HeaderChar"/>
    <w:rsid w:val="0005091F"/>
    <w:pPr>
      <w:tabs>
        <w:tab w:val="center" w:pos="4320"/>
        <w:tab w:val="right" w:pos="8640"/>
      </w:tabs>
      <w:jc w:val="left"/>
    </w:pPr>
    <w:rPr>
      <w:rFonts w:ascii="Times New Roman" w:eastAsia="Times New Roman" w:hAnsi="Times New Roman"/>
      <w:sz w:val="24"/>
      <w:szCs w:val="24"/>
      <w:lang w:val="en-US"/>
    </w:rPr>
  </w:style>
  <w:style w:type="character" w:customStyle="1" w:styleId="HeaderChar">
    <w:name w:val="Header Char"/>
    <w:basedOn w:val="DefaultParagraphFont"/>
    <w:link w:val="Header"/>
    <w:rsid w:val="0005091F"/>
    <w:rPr>
      <w:rFonts w:ascii="Times New Roman" w:eastAsia="Times New Roman" w:hAnsi="Times New Roman" w:cs="Times New Roman"/>
      <w:sz w:val="24"/>
      <w:szCs w:val="24"/>
      <w:lang w:val="en-US"/>
    </w:rPr>
  </w:style>
  <w:style w:type="paragraph" w:styleId="BlockText">
    <w:name w:val="Block Text"/>
    <w:basedOn w:val="Normal"/>
    <w:rsid w:val="0005091F"/>
    <w:pPr>
      <w:ind w:left="720" w:right="738" w:firstLine="540"/>
    </w:pPr>
    <w:rPr>
      <w:rFonts w:ascii="Times New Roman" w:eastAsia="Times New Roman" w:hAnsi="Times New Roman"/>
      <w:sz w:val="24"/>
      <w:szCs w:val="24"/>
      <w:lang w:val="en-US"/>
    </w:rPr>
  </w:style>
  <w:style w:type="paragraph" w:styleId="Footer">
    <w:name w:val="footer"/>
    <w:basedOn w:val="Normal"/>
    <w:link w:val="FooterChar"/>
    <w:uiPriority w:val="99"/>
    <w:rsid w:val="0005091F"/>
    <w:pPr>
      <w:tabs>
        <w:tab w:val="center" w:pos="4320"/>
        <w:tab w:val="right" w:pos="8640"/>
      </w:tabs>
      <w:jc w:val="left"/>
    </w:pPr>
    <w:rPr>
      <w:rFonts w:ascii="Times New Roman" w:eastAsia="Times New Roman" w:hAnsi="Times New Roman"/>
      <w:sz w:val="24"/>
      <w:szCs w:val="24"/>
      <w:lang w:val="en-US"/>
    </w:rPr>
  </w:style>
  <w:style w:type="character" w:customStyle="1" w:styleId="FooterChar">
    <w:name w:val="Footer Char"/>
    <w:basedOn w:val="DefaultParagraphFont"/>
    <w:link w:val="Footer"/>
    <w:uiPriority w:val="99"/>
    <w:rsid w:val="0005091F"/>
    <w:rPr>
      <w:rFonts w:ascii="Times New Roman" w:eastAsia="Times New Roman" w:hAnsi="Times New Roman" w:cs="Times New Roman"/>
      <w:sz w:val="24"/>
      <w:szCs w:val="24"/>
      <w:lang w:val="en-US"/>
    </w:rPr>
  </w:style>
  <w:style w:type="character" w:styleId="PageNumber">
    <w:name w:val="page number"/>
    <w:basedOn w:val="DefaultParagraphFont"/>
    <w:rsid w:val="0005091F"/>
  </w:style>
  <w:style w:type="paragraph" w:customStyle="1" w:styleId="yiv6048669252msonormal">
    <w:name w:val="yiv6048669252msonormal"/>
    <w:basedOn w:val="Normal"/>
    <w:rsid w:val="0005091F"/>
    <w:pPr>
      <w:spacing w:before="100" w:beforeAutospacing="1" w:after="100" w:afterAutospacing="1"/>
      <w:jc w:val="left"/>
    </w:pPr>
    <w:rPr>
      <w:rFonts w:ascii="Times New Roman" w:eastAsia="Times New Roman" w:hAnsi="Times New Roman"/>
      <w:sz w:val="24"/>
      <w:szCs w:val="24"/>
      <w:lang w:eastAsia="id-ID"/>
    </w:rPr>
  </w:style>
  <w:style w:type="character" w:customStyle="1" w:styleId="apple-converted-space">
    <w:name w:val="apple-converted-space"/>
    <w:basedOn w:val="DefaultParagraphFont"/>
    <w:rsid w:val="0005091F"/>
  </w:style>
  <w:style w:type="paragraph" w:customStyle="1" w:styleId="day">
    <w:name w:val="day"/>
    <w:basedOn w:val="Normal"/>
    <w:rsid w:val="0005091F"/>
    <w:pPr>
      <w:spacing w:before="100" w:beforeAutospacing="1" w:after="100" w:afterAutospacing="1"/>
      <w:jc w:val="left"/>
    </w:pPr>
    <w:rPr>
      <w:rFonts w:ascii="Times New Roman" w:eastAsia="Times New Roman" w:hAnsi="Times New Roman"/>
      <w:sz w:val="24"/>
      <w:szCs w:val="24"/>
      <w:lang w:val="en-US"/>
    </w:rPr>
  </w:style>
  <w:style w:type="paragraph" w:customStyle="1" w:styleId="author">
    <w:name w:val="author"/>
    <w:basedOn w:val="Normal"/>
    <w:rsid w:val="0005091F"/>
    <w:pPr>
      <w:spacing w:before="100" w:beforeAutospacing="1" w:after="100" w:afterAutospacing="1"/>
      <w:jc w:val="left"/>
    </w:pPr>
    <w:rPr>
      <w:rFonts w:ascii="Times New Roman" w:eastAsia="Times New Roman" w:hAnsi="Times New Roman"/>
      <w:sz w:val="24"/>
      <w:szCs w:val="24"/>
      <w:lang w:val="en-US"/>
    </w:rPr>
  </w:style>
  <w:style w:type="paragraph" w:styleId="NormalWeb">
    <w:name w:val="Normal (Web)"/>
    <w:basedOn w:val="Normal"/>
    <w:uiPriority w:val="99"/>
    <w:unhideWhenUsed/>
    <w:rsid w:val="0005091F"/>
    <w:pPr>
      <w:spacing w:before="100" w:beforeAutospacing="1" w:after="100" w:afterAutospacing="1"/>
      <w:jc w:val="left"/>
    </w:pPr>
    <w:rPr>
      <w:rFonts w:ascii="Times New Roman" w:eastAsia="Times New Roman" w:hAnsi="Times New Roman"/>
      <w:sz w:val="24"/>
      <w:szCs w:val="24"/>
      <w:lang w:val="en-US"/>
    </w:rPr>
  </w:style>
  <w:style w:type="character" w:styleId="Strong">
    <w:name w:val="Strong"/>
    <w:basedOn w:val="DefaultParagraphFont"/>
    <w:uiPriority w:val="22"/>
    <w:qFormat/>
    <w:rsid w:val="0005091F"/>
    <w:rPr>
      <w:b/>
      <w:bCs/>
    </w:rPr>
  </w:style>
  <w:style w:type="character" w:styleId="Emphasis">
    <w:name w:val="Emphasis"/>
    <w:basedOn w:val="DefaultParagraphFont"/>
    <w:uiPriority w:val="20"/>
    <w:qFormat/>
    <w:rsid w:val="0005091F"/>
    <w:rPr>
      <w:i/>
      <w:iCs/>
    </w:rPr>
  </w:style>
  <w:style w:type="paragraph" w:styleId="FootnoteText">
    <w:name w:val="footnote text"/>
    <w:basedOn w:val="Normal"/>
    <w:link w:val="FootnoteTextChar"/>
    <w:uiPriority w:val="99"/>
    <w:unhideWhenUsed/>
    <w:rsid w:val="0005091F"/>
    <w:pPr>
      <w:jc w:val="left"/>
    </w:pPr>
    <w:rPr>
      <w:rFonts w:cs="Arial"/>
      <w:sz w:val="20"/>
      <w:szCs w:val="20"/>
      <w:lang w:val="en-US"/>
    </w:rPr>
  </w:style>
  <w:style w:type="character" w:customStyle="1" w:styleId="FootnoteTextChar">
    <w:name w:val="Footnote Text Char"/>
    <w:basedOn w:val="DefaultParagraphFont"/>
    <w:link w:val="FootnoteText"/>
    <w:uiPriority w:val="99"/>
    <w:rsid w:val="0005091F"/>
    <w:rPr>
      <w:rFonts w:ascii="Calibri" w:eastAsia="Calibri" w:hAnsi="Calibri" w:cs="Arial"/>
      <w:sz w:val="20"/>
      <w:szCs w:val="20"/>
      <w:lang w:val="en-US"/>
    </w:rPr>
  </w:style>
  <w:style w:type="character" w:styleId="FootnoteReference">
    <w:name w:val="footnote reference"/>
    <w:basedOn w:val="DefaultParagraphFont"/>
    <w:uiPriority w:val="99"/>
    <w:semiHidden/>
    <w:unhideWhenUsed/>
    <w:rsid w:val="0005091F"/>
    <w:rPr>
      <w:vertAlign w:val="superscript"/>
    </w:rPr>
  </w:style>
  <w:style w:type="character" w:styleId="LineNumber">
    <w:name w:val="line number"/>
    <w:basedOn w:val="DefaultParagraphFont"/>
    <w:uiPriority w:val="99"/>
    <w:semiHidden/>
    <w:unhideWhenUsed/>
    <w:rsid w:val="0005091F"/>
  </w:style>
  <w:style w:type="character" w:customStyle="1" w:styleId="gen">
    <w:name w:val="gen"/>
    <w:basedOn w:val="DefaultParagraphFont"/>
    <w:rsid w:val="0005091F"/>
  </w:style>
  <w:style w:type="paragraph" w:styleId="BalloonText">
    <w:name w:val="Balloon Text"/>
    <w:basedOn w:val="Normal"/>
    <w:link w:val="BalloonTextChar"/>
    <w:uiPriority w:val="99"/>
    <w:semiHidden/>
    <w:unhideWhenUsed/>
    <w:rsid w:val="0005091F"/>
    <w:rPr>
      <w:rFonts w:ascii="Tahoma" w:hAnsi="Tahoma" w:cs="Tahoma"/>
      <w:sz w:val="16"/>
      <w:szCs w:val="16"/>
    </w:rPr>
  </w:style>
  <w:style w:type="character" w:customStyle="1" w:styleId="BalloonTextChar">
    <w:name w:val="Balloon Text Char"/>
    <w:basedOn w:val="DefaultParagraphFont"/>
    <w:link w:val="BalloonText"/>
    <w:uiPriority w:val="99"/>
    <w:semiHidden/>
    <w:rsid w:val="0005091F"/>
    <w:rPr>
      <w:rFonts w:ascii="Tahoma" w:eastAsia="Calibri" w:hAnsi="Tahoma" w:cs="Tahoma"/>
      <w:sz w:val="16"/>
      <w:szCs w:val="16"/>
    </w:rPr>
  </w:style>
  <w:style w:type="paragraph" w:customStyle="1" w:styleId="Default">
    <w:name w:val="Default"/>
    <w:rsid w:val="0005091F"/>
    <w:pPr>
      <w:autoSpaceDE w:val="0"/>
      <w:autoSpaceDN w:val="0"/>
      <w:adjustRightInd w:val="0"/>
    </w:pPr>
    <w:rPr>
      <w:rFonts w:ascii="Times New Roman" w:eastAsia="Times New Roman" w:hAnsi="Times New Roman" w:cs="Times New Roman"/>
      <w:color w:val="000000"/>
      <w:sz w:val="24"/>
      <w:szCs w:val="24"/>
    </w:rPr>
  </w:style>
  <w:style w:type="character" w:customStyle="1" w:styleId="citation">
    <w:name w:val="citation"/>
    <w:rsid w:val="0005091F"/>
  </w:style>
  <w:style w:type="paragraph" w:customStyle="1" w:styleId="Style">
    <w:name w:val="Style"/>
    <w:uiPriority w:val="99"/>
    <w:rsid w:val="0005091F"/>
    <w:pPr>
      <w:widowControl w:val="0"/>
      <w:autoSpaceDE w:val="0"/>
      <w:autoSpaceDN w:val="0"/>
      <w:adjustRightInd w:val="0"/>
    </w:pPr>
    <w:rPr>
      <w:rFonts w:eastAsia="Times New Roman" w:cs="Times New Roman"/>
      <w:sz w:val="24"/>
      <w:szCs w:val="24"/>
      <w:lang w:val="en-US"/>
    </w:rPr>
  </w:style>
  <w:style w:type="paragraph" w:styleId="NoSpacing">
    <w:name w:val="No Spacing"/>
    <w:qFormat/>
    <w:rsid w:val="0005091F"/>
    <w:rPr>
      <w:rFonts w:eastAsia="Times New Roman" w:cs="Times New Roman"/>
      <w:lang w:val="en-US"/>
    </w:rPr>
  </w:style>
  <w:style w:type="character" w:customStyle="1" w:styleId="definition">
    <w:name w:val="definition"/>
    <w:basedOn w:val="DefaultParagraphFont"/>
    <w:rsid w:val="0005091F"/>
    <w:rPr>
      <w:rFonts w:cs="Times New Roman"/>
    </w:rPr>
  </w:style>
  <w:style w:type="paragraph" w:styleId="EndnoteText">
    <w:name w:val="endnote text"/>
    <w:basedOn w:val="Normal"/>
    <w:link w:val="EndnoteTextChar"/>
    <w:uiPriority w:val="99"/>
    <w:semiHidden/>
    <w:unhideWhenUsed/>
    <w:rsid w:val="0038284B"/>
    <w:rPr>
      <w:sz w:val="20"/>
      <w:szCs w:val="20"/>
    </w:rPr>
  </w:style>
  <w:style w:type="character" w:customStyle="1" w:styleId="EndnoteTextChar">
    <w:name w:val="Endnote Text Char"/>
    <w:basedOn w:val="DefaultParagraphFont"/>
    <w:link w:val="EndnoteText"/>
    <w:uiPriority w:val="99"/>
    <w:semiHidden/>
    <w:rsid w:val="0038284B"/>
    <w:rPr>
      <w:rFonts w:ascii="Calibri" w:eastAsia="Calibri" w:hAnsi="Calibri" w:cs="Times New Roman"/>
      <w:sz w:val="20"/>
      <w:szCs w:val="20"/>
    </w:rPr>
  </w:style>
  <w:style w:type="character" w:styleId="EndnoteReference">
    <w:name w:val="endnote reference"/>
    <w:basedOn w:val="DefaultParagraphFont"/>
    <w:uiPriority w:val="99"/>
    <w:semiHidden/>
    <w:unhideWhenUsed/>
    <w:rsid w:val="0038284B"/>
    <w:rPr>
      <w:vertAlign w:val="superscript"/>
    </w:rPr>
  </w:style>
  <w:style w:type="paragraph" w:customStyle="1" w:styleId="JudulArtikel">
    <w:name w:val="Judul Artikel"/>
    <w:basedOn w:val="Normal"/>
    <w:qFormat/>
    <w:rsid w:val="004400E7"/>
    <w:pPr>
      <w:jc w:val="center"/>
    </w:pPr>
    <w:rPr>
      <w:rFonts w:ascii="Cambria" w:hAnsi="Cambria"/>
      <w:b/>
      <w:sz w:val="24"/>
      <w:szCs w:val="24"/>
    </w:rPr>
  </w:style>
  <w:style w:type="paragraph" w:customStyle="1" w:styleId="Penulis">
    <w:name w:val="Penulis"/>
    <w:basedOn w:val="Normal"/>
    <w:qFormat/>
    <w:rsid w:val="00A43E59"/>
    <w:pPr>
      <w:jc w:val="center"/>
    </w:pPr>
    <w:rPr>
      <w:rFonts w:ascii="Cambria" w:hAnsi="Cambria"/>
      <w:b/>
      <w:bCs/>
      <w:i/>
    </w:rPr>
  </w:style>
  <w:style w:type="paragraph" w:customStyle="1" w:styleId="Korespondensi">
    <w:name w:val="Korespondensi"/>
    <w:basedOn w:val="Normal"/>
    <w:qFormat/>
    <w:rsid w:val="00A43E59"/>
    <w:pPr>
      <w:jc w:val="center"/>
    </w:pPr>
    <w:rPr>
      <w:rFonts w:ascii="Cambria" w:hAnsi="Cambria"/>
    </w:rPr>
  </w:style>
  <w:style w:type="paragraph" w:customStyle="1" w:styleId="Abstrak">
    <w:name w:val="Abstrak"/>
    <w:basedOn w:val="Normal"/>
    <w:qFormat/>
    <w:rsid w:val="00A43E59"/>
    <w:pPr>
      <w:ind w:left="567" w:right="567"/>
    </w:pPr>
    <w:rPr>
      <w:rFonts w:ascii="Cambria" w:hAnsi="Cambria"/>
      <w:iCs/>
    </w:rPr>
  </w:style>
  <w:style w:type="paragraph" w:customStyle="1" w:styleId="JudulLevel1">
    <w:name w:val="Judul Level 1"/>
    <w:basedOn w:val="Normal"/>
    <w:qFormat/>
    <w:rsid w:val="00A43E59"/>
    <w:rPr>
      <w:rFonts w:ascii="Cambria" w:hAnsi="Cambria"/>
      <w:b/>
    </w:rPr>
  </w:style>
  <w:style w:type="paragraph" w:customStyle="1" w:styleId="BodyArtikel">
    <w:name w:val="Body Artikel"/>
    <w:basedOn w:val="Normal"/>
    <w:qFormat/>
    <w:rsid w:val="00A43E59"/>
    <w:pPr>
      <w:ind w:firstLine="567"/>
    </w:pPr>
    <w:rPr>
      <w:rFonts w:ascii="Cambria" w:hAnsi="Cambria"/>
    </w:rPr>
  </w:style>
  <w:style w:type="paragraph" w:customStyle="1" w:styleId="JudulLevel2">
    <w:name w:val="Judul Level 2"/>
    <w:basedOn w:val="Normal"/>
    <w:qFormat/>
    <w:rsid w:val="00A43E59"/>
    <w:rPr>
      <w:rFonts w:ascii="Cambria" w:hAnsi="Cambria"/>
      <w:b/>
    </w:rPr>
  </w:style>
  <w:style w:type="paragraph" w:customStyle="1" w:styleId="DaftarPustaka">
    <w:name w:val="Daftar Pustaka"/>
    <w:basedOn w:val="Normal"/>
    <w:autoRedefine/>
    <w:qFormat/>
    <w:rsid w:val="00C849E4"/>
    <w:pPr>
      <w:spacing w:after="240"/>
      <w:ind w:left="567" w:hanging="567"/>
    </w:pPr>
    <w:rPr>
      <w:rFonts w:ascii="Cambria" w:hAnsi="Cambria" w:cs="Traditional Arabic"/>
      <w:szCs w:val="24"/>
    </w:rPr>
  </w:style>
  <w:style w:type="table" w:styleId="TableGrid">
    <w:name w:val="Table Grid"/>
    <w:basedOn w:val="TableNormal"/>
    <w:rsid w:val="00E80675"/>
    <w:rPr>
      <w:rFonts w:ascii="Times New Roman" w:eastAsia="Times New Roman" w:hAnsi="Times New Roman"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0">
    <w:name w:val="bodytext"/>
    <w:basedOn w:val="Normal"/>
    <w:rsid w:val="00E80675"/>
    <w:pPr>
      <w:spacing w:before="100" w:beforeAutospacing="1" w:after="100" w:afterAutospacing="1"/>
      <w:jc w:val="left"/>
    </w:pPr>
    <w:rPr>
      <w:rFonts w:ascii="Verdana" w:eastAsia="Times New Roman" w:hAnsi="Verdana"/>
      <w:color w:val="000000"/>
      <w:lang w:val="en-US"/>
    </w:rPr>
  </w:style>
  <w:style w:type="paragraph" w:customStyle="1" w:styleId="JudulTabel">
    <w:name w:val="Judul Tabel"/>
    <w:basedOn w:val="Normal"/>
    <w:qFormat/>
    <w:rsid w:val="00753752"/>
    <w:pPr>
      <w:jc w:val="center"/>
    </w:pPr>
    <w:rPr>
      <w:rFonts w:ascii="Cambria" w:hAnsi="Cambria"/>
      <w:sz w:val="20"/>
      <w:szCs w:val="24"/>
    </w:rPr>
  </w:style>
  <w:style w:type="paragraph" w:customStyle="1" w:styleId="WW-BodyTextIndent3">
    <w:name w:val="WW-Body Text Indent 3"/>
    <w:basedOn w:val="Normal"/>
    <w:rsid w:val="00C7622B"/>
    <w:pPr>
      <w:suppressAutoHyphens/>
      <w:spacing w:line="360" w:lineRule="auto"/>
      <w:ind w:firstLine="720"/>
    </w:pPr>
    <w:rPr>
      <w:rFonts w:ascii="Times New Roman" w:eastAsia="Times New Roman" w:hAnsi="Times New Roman"/>
      <w:sz w:val="24"/>
      <w:szCs w:val="24"/>
      <w:lang w:val="en-US" w:eastAsia="ar-SA"/>
    </w:rPr>
  </w:style>
  <w:style w:type="paragraph" w:customStyle="1" w:styleId="yiv1654703845">
    <w:name w:val="yiv1654703845"/>
    <w:basedOn w:val="Normal"/>
    <w:rsid w:val="00C7622B"/>
    <w:pPr>
      <w:spacing w:before="100" w:beforeAutospacing="1" w:after="100" w:afterAutospacing="1"/>
      <w:jc w:val="left"/>
    </w:pPr>
    <w:rPr>
      <w:rFonts w:ascii="Times New Roman" w:eastAsia="Times New Roman" w:hAnsi="Times New Roman"/>
      <w:sz w:val="24"/>
      <w:szCs w:val="24"/>
      <w:lang w:val="en-US"/>
    </w:rPr>
  </w:style>
  <w:style w:type="paragraph" w:customStyle="1" w:styleId="Normal1">
    <w:name w:val="Normal1"/>
    <w:rsid w:val="00C7622B"/>
    <w:rPr>
      <w:rFonts w:ascii="Times New Roman" w:eastAsia="Times New Roman" w:hAnsi="Times New Roman" w:cs="Times New Roman"/>
      <w:color w:val="000000"/>
      <w:sz w:val="24"/>
      <w:lang w:val="en-US"/>
    </w:rPr>
  </w:style>
  <w:style w:type="character" w:customStyle="1" w:styleId="a">
    <w:name w:val="a"/>
    <w:basedOn w:val="DefaultParagraphFont"/>
    <w:rsid w:val="006464F0"/>
  </w:style>
  <w:style w:type="character" w:customStyle="1" w:styleId="l6">
    <w:name w:val="l6"/>
    <w:basedOn w:val="DefaultParagraphFont"/>
    <w:rsid w:val="006464F0"/>
  </w:style>
  <w:style w:type="character" w:customStyle="1" w:styleId="l7">
    <w:name w:val="l7"/>
    <w:basedOn w:val="DefaultParagraphFont"/>
    <w:rsid w:val="006464F0"/>
  </w:style>
  <w:style w:type="character" w:customStyle="1" w:styleId="l8">
    <w:name w:val="l8"/>
    <w:basedOn w:val="DefaultParagraphFont"/>
    <w:rsid w:val="006464F0"/>
  </w:style>
  <w:style w:type="character" w:styleId="CommentReference">
    <w:name w:val="annotation reference"/>
    <w:uiPriority w:val="99"/>
    <w:semiHidden/>
    <w:unhideWhenUsed/>
    <w:rsid w:val="00830416"/>
    <w:rPr>
      <w:sz w:val="16"/>
      <w:szCs w:val="16"/>
    </w:rPr>
  </w:style>
  <w:style w:type="paragraph" w:styleId="CommentText">
    <w:name w:val="annotation text"/>
    <w:basedOn w:val="Normal"/>
    <w:link w:val="CommentTextChar"/>
    <w:uiPriority w:val="99"/>
    <w:semiHidden/>
    <w:unhideWhenUsed/>
    <w:rsid w:val="00830416"/>
    <w:pPr>
      <w:spacing w:after="200" w:line="276" w:lineRule="auto"/>
      <w:jc w:val="left"/>
    </w:pPr>
    <w:rPr>
      <w:sz w:val="20"/>
      <w:szCs w:val="20"/>
      <w:lang w:val="en-US"/>
    </w:rPr>
  </w:style>
  <w:style w:type="character" w:customStyle="1" w:styleId="CommentTextChar">
    <w:name w:val="Comment Text Char"/>
    <w:basedOn w:val="DefaultParagraphFont"/>
    <w:link w:val="CommentText"/>
    <w:uiPriority w:val="99"/>
    <w:semiHidden/>
    <w:rsid w:val="00830416"/>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30416"/>
    <w:rPr>
      <w:b/>
      <w:bCs/>
    </w:rPr>
  </w:style>
  <w:style w:type="character" w:customStyle="1" w:styleId="CommentSubjectChar">
    <w:name w:val="Comment Subject Char"/>
    <w:basedOn w:val="CommentTextChar"/>
    <w:link w:val="CommentSubject"/>
    <w:uiPriority w:val="99"/>
    <w:semiHidden/>
    <w:rsid w:val="00830416"/>
    <w:rPr>
      <w:rFonts w:ascii="Calibri" w:eastAsia="Calibri" w:hAnsi="Calibri" w:cs="Times New Roman"/>
      <w:b/>
      <w:bCs/>
      <w:sz w:val="20"/>
      <w:szCs w:val="20"/>
      <w:lang w:val="en-US"/>
    </w:rPr>
  </w:style>
  <w:style w:type="paragraph" w:styleId="Quote">
    <w:name w:val="Quote"/>
    <w:basedOn w:val="Normal"/>
    <w:next w:val="Normal"/>
    <w:link w:val="QuoteChar"/>
    <w:uiPriority w:val="29"/>
    <w:qFormat/>
    <w:rsid w:val="00881BED"/>
    <w:rPr>
      <w:i/>
      <w:iCs/>
      <w:color w:val="000000" w:themeColor="text1"/>
    </w:rPr>
  </w:style>
  <w:style w:type="character" w:customStyle="1" w:styleId="QuoteChar">
    <w:name w:val="Quote Char"/>
    <w:basedOn w:val="DefaultParagraphFont"/>
    <w:link w:val="Quote"/>
    <w:uiPriority w:val="29"/>
    <w:rsid w:val="00881BED"/>
    <w:rPr>
      <w:rFonts w:ascii="Calibri" w:eastAsia="Calibri" w:hAnsi="Calibri" w:cs="Times New Roman"/>
      <w:i/>
      <w:iCs/>
      <w:color w:val="000000" w:themeColor="text1"/>
    </w:rPr>
  </w:style>
  <w:style w:type="paragraph" w:styleId="Caption">
    <w:name w:val="caption"/>
    <w:basedOn w:val="Normal"/>
    <w:next w:val="Normal"/>
    <w:uiPriority w:val="35"/>
    <w:unhideWhenUsed/>
    <w:qFormat/>
    <w:rsid w:val="002F2691"/>
    <w:pPr>
      <w:spacing w:after="200"/>
    </w:pPr>
    <w:rPr>
      <w:b/>
      <w:bCs/>
      <w:color w:val="5B9BD5" w:themeColor="accent1"/>
      <w:sz w:val="18"/>
      <w:szCs w:val="18"/>
    </w:rPr>
  </w:style>
  <w:style w:type="paragraph" w:customStyle="1" w:styleId="Table">
    <w:name w:val="Table"/>
    <w:basedOn w:val="Normal"/>
    <w:rsid w:val="00176455"/>
    <w:pPr>
      <w:widowControl w:val="0"/>
    </w:pPr>
    <w:rPr>
      <w:rFonts w:ascii="Times New Roman" w:eastAsia="MS Mincho" w:hAnsi="Times New Roman"/>
      <w:kern w:val="2"/>
      <w:sz w:val="18"/>
      <w:szCs w:val="24"/>
      <w:lang w:val="en-US" w:eastAsia="ja-JP"/>
    </w:rPr>
  </w:style>
  <w:style w:type="character" w:styleId="UnresolvedMention">
    <w:name w:val="Unresolved Mention"/>
    <w:basedOn w:val="DefaultParagraphFont"/>
    <w:uiPriority w:val="99"/>
    <w:rsid w:val="00806478"/>
    <w:rPr>
      <w:color w:val="605E5C"/>
      <w:shd w:val="clear" w:color="auto" w:fill="E1DFDD"/>
    </w:rPr>
  </w:style>
  <w:style w:type="table" w:customStyle="1" w:styleId="a0">
    <w:basedOn w:val="TableNormal"/>
    <w:tblPr>
      <w:tblStyleRowBandSize w:val="1"/>
      <w:tblStyleColBandSize w:val="1"/>
      <w:tblCellMar>
        <w:left w:w="115" w:type="dxa"/>
        <w:right w:w="115" w:type="dxa"/>
      </w:tblCellMar>
    </w:tblPr>
  </w:style>
  <w:style w:type="paragraph" w:customStyle="1" w:styleId="Standard">
    <w:name w:val="Standard"/>
    <w:rsid w:val="00983A25"/>
    <w:pPr>
      <w:suppressAutoHyphens/>
      <w:autoSpaceDN w:val="0"/>
      <w:spacing w:after="160" w:line="256" w:lineRule="auto"/>
      <w:jc w:val="left"/>
      <w:textAlignment w:val="top"/>
      <w:outlineLvl w:val="0"/>
    </w:pPr>
    <w:rPr>
      <w:kern w:val="3"/>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02/9780470690765" TargetMode="External"/><Relationship Id="rId21" Type="http://schemas.openxmlformats.org/officeDocument/2006/relationships/hyperlink" Target="https://doi.org/10.1017/S026144480800551X" TargetMode="External"/><Relationship Id="rId42" Type="http://schemas.openxmlformats.org/officeDocument/2006/relationships/hyperlink" Target="https://doi.org/10.47776/MJPRS.002.02.02" TargetMode="External"/><Relationship Id="rId47" Type="http://schemas.openxmlformats.org/officeDocument/2006/relationships/hyperlink" Target="https://doi.org/10.1111/j.1467-971X.2003.00317.x" TargetMode="External"/><Relationship Id="rId63" Type="http://schemas.openxmlformats.org/officeDocument/2006/relationships/hyperlink" Target="https://doi.org/10.61942/msj.v2i1.76" TargetMode="External"/><Relationship Id="rId68" Type="http://schemas.openxmlformats.org/officeDocument/2006/relationships/hyperlink" Target="https://doi.org/10.24071/llt.v23i2.2574" TargetMode="External"/><Relationship Id="rId84" Type="http://schemas.openxmlformats.org/officeDocument/2006/relationships/hyperlink" Target="https://doi.org/10.3390/ijerph182312754" TargetMode="External"/><Relationship Id="rId89" Type="http://schemas.openxmlformats.org/officeDocument/2006/relationships/hyperlink" Target="https://doi.org/10.1109/ICOT.2017.8336109" TargetMode="External"/><Relationship Id="rId16" Type="http://schemas.openxmlformats.org/officeDocument/2006/relationships/hyperlink" Target="https://doi.org/10.1111/weng.12299" TargetMode="External"/><Relationship Id="rId11" Type="http://schemas.openxmlformats.org/officeDocument/2006/relationships/hyperlink" Target="https://doi.org/10.56910/pustaka.v3i4.729" TargetMode="External"/><Relationship Id="rId32" Type="http://schemas.openxmlformats.org/officeDocument/2006/relationships/hyperlink" Target="https://doi.org/10.1007/978-94-007-4578-0_5" TargetMode="External"/><Relationship Id="rId37" Type="http://schemas.openxmlformats.org/officeDocument/2006/relationships/hyperlink" Target="https://doi.org/10.1080/13488678.2021.1949779" TargetMode="External"/><Relationship Id="rId53" Type="http://schemas.openxmlformats.org/officeDocument/2006/relationships/hyperlink" Target="https://doi.org/10.4324/9780203348802" TargetMode="External"/><Relationship Id="rId58" Type="http://schemas.openxmlformats.org/officeDocument/2006/relationships/hyperlink" Target="https://doi.org/10.1007/978-3-319-06127-6_1" TargetMode="External"/><Relationship Id="rId74" Type="http://schemas.openxmlformats.org/officeDocument/2006/relationships/hyperlink" Target="https://doi.org/10.26499/rnh.v12i2.6840" TargetMode="External"/><Relationship Id="rId79" Type="http://schemas.openxmlformats.org/officeDocument/2006/relationships/hyperlink" Target="https://doi.org/10.1080/03004279.2019.1680721" TargetMode="External"/><Relationship Id="rId5" Type="http://schemas.openxmlformats.org/officeDocument/2006/relationships/webSettings" Target="webSettings.xml"/><Relationship Id="rId90" Type="http://schemas.openxmlformats.org/officeDocument/2006/relationships/hyperlink" Target="https://doi.org/10.47435/jle.v5i1.2692" TargetMode="External"/><Relationship Id="rId95" Type="http://schemas.openxmlformats.org/officeDocument/2006/relationships/hyperlink" Target="https://doi.org/10.1007/978-3-030-52225-4_13" TargetMode="External"/><Relationship Id="rId22" Type="http://schemas.openxmlformats.org/officeDocument/2006/relationships/hyperlink" Target="https://doi.org/10.1177/0033688217750642" TargetMode="External"/><Relationship Id="rId27" Type="http://schemas.openxmlformats.org/officeDocument/2006/relationships/hyperlink" Target="https://doi.org/10.1080/13488678.2022.2076027" TargetMode="External"/><Relationship Id="rId43" Type="http://schemas.openxmlformats.org/officeDocument/2006/relationships/hyperlink" Target="https://doi.org/10.21462/jeltl.v8i3.1153" TargetMode="External"/><Relationship Id="rId48" Type="http://schemas.openxmlformats.org/officeDocument/2006/relationships/hyperlink" Target="https://doi.org/10.1002/tesq.202" TargetMode="External"/><Relationship Id="rId64" Type="http://schemas.openxmlformats.org/officeDocument/2006/relationships/hyperlink" Target="https://doi.org/10.4324/9780203006344" TargetMode="External"/><Relationship Id="rId69" Type="http://schemas.openxmlformats.org/officeDocument/2006/relationships/hyperlink" Target="https://doi.org/10.33369/jeet.7.4.1071-1084" TargetMode="External"/><Relationship Id="rId80" Type="http://schemas.openxmlformats.org/officeDocument/2006/relationships/hyperlink" Target="https://doi.org/10.1177/14705958231180044" TargetMode="External"/><Relationship Id="rId85" Type="http://schemas.openxmlformats.org/officeDocument/2006/relationships/hyperlink" Target="https://doi.org/10.1093/elt/cci081" TargetMode="External"/><Relationship Id="rId3" Type="http://schemas.openxmlformats.org/officeDocument/2006/relationships/styles" Target="styles.xml"/><Relationship Id="rId12" Type="http://schemas.openxmlformats.org/officeDocument/2006/relationships/hyperlink" Target="https://doi.org/10.1121/1.4789864" TargetMode="External"/><Relationship Id="rId17" Type="http://schemas.openxmlformats.org/officeDocument/2006/relationships/hyperlink" Target="https://doi.org/10.1111/weng.12620" TargetMode="External"/><Relationship Id="rId25" Type="http://schemas.openxmlformats.org/officeDocument/2006/relationships/hyperlink" Target="https://doi.org/10.17509/ijal.v10i1.24993" TargetMode="External"/><Relationship Id="rId33" Type="http://schemas.openxmlformats.org/officeDocument/2006/relationships/hyperlink" Target="https://doi.org/10.1007/978-3-031-07088-4_3" TargetMode="External"/><Relationship Id="rId38" Type="http://schemas.openxmlformats.org/officeDocument/2006/relationships/hyperlink" Target="https://doi.org/10.1515/cercles-2023-2020" TargetMode="External"/><Relationship Id="rId46" Type="http://schemas.openxmlformats.org/officeDocument/2006/relationships/hyperlink" Target="https://doi.org/10.1093/applin/amu045" TargetMode="External"/><Relationship Id="rId59" Type="http://schemas.openxmlformats.org/officeDocument/2006/relationships/hyperlink" Target="https://doi.org/10.1177/0033688217753489" TargetMode="External"/><Relationship Id="rId67" Type="http://schemas.openxmlformats.org/officeDocument/2006/relationships/hyperlink" Target="https://doi.org/10.25134/ijli.v7i1.9553" TargetMode="External"/><Relationship Id="rId20" Type="http://schemas.openxmlformats.org/officeDocument/2006/relationships/hyperlink" Target="https://doi.org/10.1017/S0267190514000191" TargetMode="External"/><Relationship Id="rId41" Type="http://schemas.openxmlformats.org/officeDocument/2006/relationships/hyperlink" Target="https://doi.org/10.1177/0261927X09341950" TargetMode="External"/><Relationship Id="rId54" Type="http://schemas.openxmlformats.org/officeDocument/2006/relationships/hyperlink" Target="https://doi.org/10.1111/j.1467-971X.1991.tb00146.x" TargetMode="External"/><Relationship Id="rId62" Type="http://schemas.openxmlformats.org/officeDocument/2006/relationships/hyperlink" Target="https://doi.org/10.1017/S0261444817000325" TargetMode="External"/><Relationship Id="rId70" Type="http://schemas.openxmlformats.org/officeDocument/2006/relationships/hyperlink" Target="https://doi.org/10.1080/15427587.2013.788377" TargetMode="External"/><Relationship Id="rId75" Type="http://schemas.openxmlformats.org/officeDocument/2006/relationships/hyperlink" Target="https://doi.org/10.1080/15427587.2006.9650844" TargetMode="External"/><Relationship Id="rId83" Type="http://schemas.openxmlformats.org/officeDocument/2006/relationships/hyperlink" Target="https://doi.org/10.3390/languages9060222" TargetMode="External"/><Relationship Id="rId88" Type="http://schemas.openxmlformats.org/officeDocument/2006/relationships/hyperlink" Target="https://doi.org/10.30762/jeels.v10i1.1082" TargetMode="External"/><Relationship Id="rId91" Type="http://schemas.openxmlformats.org/officeDocument/2006/relationships/hyperlink" Target="https://doi.org/10.1002/tesj.499"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7/CBO9780511845307" TargetMode="External"/><Relationship Id="rId23" Type="http://schemas.openxmlformats.org/officeDocument/2006/relationships/hyperlink" Target="https://doi.org/10.1080/14790718.2016.1155592" TargetMode="External"/><Relationship Id="rId28" Type="http://schemas.openxmlformats.org/officeDocument/2006/relationships/hyperlink" Target="https://doi.org/10.17763/0017-8055.85.2.149" TargetMode="External"/><Relationship Id="rId36" Type="http://schemas.openxmlformats.org/officeDocument/2006/relationships/hyperlink" Target="https://doi.org/10.1057/9781137463500_2" TargetMode="External"/><Relationship Id="rId49" Type="http://schemas.openxmlformats.org/officeDocument/2006/relationships/hyperlink" Target="https://doi.org/10.24071/llt.v21iSuppl.1184" TargetMode="External"/><Relationship Id="rId57" Type="http://schemas.openxmlformats.org/officeDocument/2006/relationships/hyperlink" Target="https://doi.org/10.4312/vestnik.16.385-402" TargetMode="External"/><Relationship Id="rId10" Type="http://schemas.openxmlformats.org/officeDocument/2006/relationships/hyperlink" Target="https://doi.org/10.17509/ijal.v14i3.73641" TargetMode="External"/><Relationship Id="rId31" Type="http://schemas.openxmlformats.org/officeDocument/2006/relationships/hyperlink" Target="https://doi.org/10.1080/19313150903500978" TargetMode="External"/><Relationship Id="rId44" Type="http://schemas.openxmlformats.org/officeDocument/2006/relationships/hyperlink" Target="https://doi.org/10.1080/01434632.2012.661433" TargetMode="External"/><Relationship Id="rId52" Type="http://schemas.openxmlformats.org/officeDocument/2006/relationships/hyperlink" Target="https://doi.org/10.1017/S0047404502020286" TargetMode="External"/><Relationship Id="rId60" Type="http://schemas.openxmlformats.org/officeDocument/2006/relationships/hyperlink" Target="https://doi.org/10.1017/CBO9780511794407" TargetMode="External"/><Relationship Id="rId65" Type="http://schemas.openxmlformats.org/officeDocument/2006/relationships/hyperlink" Target="https://doi.org/10.4324/9780203088807" TargetMode="External"/><Relationship Id="rId73" Type="http://schemas.openxmlformats.org/officeDocument/2006/relationships/hyperlink" Target="https://doi.org/10.1017/9781108656726" TargetMode="External"/><Relationship Id="rId78" Type="http://schemas.openxmlformats.org/officeDocument/2006/relationships/hyperlink" Target="https://doi.org/10.25134/erjee.v12i2.9033" TargetMode="External"/><Relationship Id="rId81" Type="http://schemas.openxmlformats.org/officeDocument/2006/relationships/hyperlink" Target="https://doi.org/10.1093/oso/9780190855734.001.0001" TargetMode="External"/><Relationship Id="rId86" Type="http://schemas.openxmlformats.org/officeDocument/2006/relationships/hyperlink" Target="https://doi.org/10.4324/9781315192932" TargetMode="External"/><Relationship Id="rId94" Type="http://schemas.openxmlformats.org/officeDocument/2006/relationships/hyperlink" Target="https://doi.org/10.21832/ZENTZ8460" TargetMode="External"/><Relationship Id="rId9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i.org/10.4324/9780203820551" TargetMode="External"/><Relationship Id="rId18" Type="http://schemas.openxmlformats.org/officeDocument/2006/relationships/hyperlink" Target="https://doi.org/10.17509/ijal.v10i2.28592" TargetMode="External"/><Relationship Id="rId39" Type="http://schemas.openxmlformats.org/officeDocument/2006/relationships/hyperlink" Target="https://doi.org/10.1111/j.1467-971X.2009.01582.x" TargetMode="External"/><Relationship Id="rId34" Type="http://schemas.openxmlformats.org/officeDocument/2006/relationships/hyperlink" Target="https://doi.org/10.4324/9781315209449" TargetMode="External"/><Relationship Id="rId50" Type="http://schemas.openxmlformats.org/officeDocument/2006/relationships/hyperlink" Target="https://doi.org/10.1080/14790718.2017.1321651" TargetMode="External"/><Relationship Id="rId55" Type="http://schemas.openxmlformats.org/officeDocument/2006/relationships/hyperlink" Target="https://doi.org/10.1111/1467-971X.00261" TargetMode="External"/><Relationship Id="rId76" Type="http://schemas.openxmlformats.org/officeDocument/2006/relationships/hyperlink" Target="https://doi.org/10.1093/applin/amx034" TargetMode="External"/><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doi.org/10.1002/tesq.195" TargetMode="External"/><Relationship Id="rId92" Type="http://schemas.openxmlformats.org/officeDocument/2006/relationships/hyperlink" Target="https://doi.org/10.21512/lc.v13i1.5362" TargetMode="External"/><Relationship Id="rId2" Type="http://schemas.openxmlformats.org/officeDocument/2006/relationships/numbering" Target="numbering.xml"/><Relationship Id="rId29" Type="http://schemas.openxmlformats.org/officeDocument/2006/relationships/hyperlink" Target="https://doi.org/10.58837/CHULA.PASAA.59.1.1" TargetMode="External"/><Relationship Id="rId24" Type="http://schemas.openxmlformats.org/officeDocument/2006/relationships/hyperlink" Target="https://doi.org/10.1080/14790718.2016.1155592" TargetMode="External"/><Relationship Id="rId40" Type="http://schemas.openxmlformats.org/officeDocument/2006/relationships/hyperlink" Target="https://doi.org/10.1017/S0261444800006583" TargetMode="External"/><Relationship Id="rId45" Type="http://schemas.openxmlformats.org/officeDocument/2006/relationships/hyperlink" Target="https://doi.org/10.1007/978-3-319-92010-8" TargetMode="External"/><Relationship Id="rId66" Type="http://schemas.openxmlformats.org/officeDocument/2006/relationships/hyperlink" Target="https://doi.org/10.4324/9781315457574" TargetMode="External"/><Relationship Id="rId87" Type="http://schemas.openxmlformats.org/officeDocument/2006/relationships/hyperlink" Target="https://doi.org/10.1057/9781137461223_1" TargetMode="External"/><Relationship Id="rId61" Type="http://schemas.openxmlformats.org/officeDocument/2006/relationships/hyperlink" Target="https://doi.org/10.1017/CBO9780511612862" TargetMode="External"/><Relationship Id="rId82" Type="http://schemas.openxmlformats.org/officeDocument/2006/relationships/hyperlink" Target="https://doi.org/10.4324/9780203120323" TargetMode="External"/><Relationship Id="rId19" Type="http://schemas.openxmlformats.org/officeDocument/2006/relationships/hyperlink" Target="https://doi.org/10.4324/9780203073889" TargetMode="External"/><Relationship Id="rId14" Type="http://schemas.openxmlformats.org/officeDocument/2006/relationships/hyperlink" Target="https://doi.org/10.2307/524049" TargetMode="External"/><Relationship Id="rId30" Type="http://schemas.openxmlformats.org/officeDocument/2006/relationships/hyperlink" Target="https://doi.org/10.24815/siele.v9i1.21911" TargetMode="External"/><Relationship Id="rId35" Type="http://schemas.openxmlformats.org/officeDocument/2006/relationships/hyperlink" Target="https://doi.org/10.1093/elt/ccl030" TargetMode="External"/><Relationship Id="rId56" Type="http://schemas.openxmlformats.org/officeDocument/2006/relationships/hyperlink" Target="https://doi.org/10.2307/jj.27939678" TargetMode="External"/><Relationship Id="rId77" Type="http://schemas.openxmlformats.org/officeDocument/2006/relationships/hyperlink" Target="https://doi.org/10.21460/saga.2020.21.62" TargetMode="External"/><Relationship Id="rId100"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doi.org/10.2167/beb493.0" TargetMode="External"/><Relationship Id="rId72" Type="http://schemas.openxmlformats.org/officeDocument/2006/relationships/hyperlink" Target="https://doi.org/10.1017/CBO9780511618901" TargetMode="External"/><Relationship Id="rId93" Type="http://schemas.openxmlformats.org/officeDocument/2006/relationships/hyperlink" Target="https://doi.org/10.1017/S0261444820000208" TargetMode="External"/><Relationship Id="rId9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B103AD93914C22BEFB772B570AAC0B"/>
        <w:category>
          <w:name w:val="General"/>
          <w:gallery w:val="placeholder"/>
        </w:category>
        <w:types>
          <w:type w:val="bbPlcHdr"/>
        </w:types>
        <w:behaviors>
          <w:behavior w:val="content"/>
        </w:behaviors>
        <w:guid w:val="{5A978537-709A-44E9-A8C7-47113B4D9567}"/>
      </w:docPartPr>
      <w:docPartBody>
        <w:p w:rsidR="002C2DCC" w:rsidRDefault="00001C30" w:rsidP="00001C30">
          <w:pPr>
            <w:pStyle w:val="7AB103AD93914C22BEFB772B570AAC0B"/>
          </w:pPr>
          <w:r w:rsidRPr="00D44368">
            <w:rPr>
              <w:rStyle w:val="PlaceholderText"/>
            </w:rPr>
            <w:t>Click or tap here to enter text.</w:t>
          </w:r>
        </w:p>
      </w:docPartBody>
    </w:docPart>
    <w:docPart>
      <w:docPartPr>
        <w:name w:val="29A85C46133B4ECD9017760981A11CB5"/>
        <w:category>
          <w:name w:val="General"/>
          <w:gallery w:val="placeholder"/>
        </w:category>
        <w:types>
          <w:type w:val="bbPlcHdr"/>
        </w:types>
        <w:behaviors>
          <w:behavior w:val="content"/>
        </w:behaviors>
        <w:guid w:val="{8AE4E3C8-5689-4F34-BF2F-8611ED1FA978}"/>
      </w:docPartPr>
      <w:docPartBody>
        <w:p w:rsidR="002C2DCC" w:rsidRDefault="00001C30" w:rsidP="00001C30">
          <w:pPr>
            <w:pStyle w:val="29A85C46133B4ECD9017760981A11CB5"/>
          </w:pPr>
          <w:r w:rsidRPr="00D4436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30"/>
    <w:rsid w:val="00001C30"/>
    <w:rsid w:val="000F2B2A"/>
    <w:rsid w:val="002C2DCC"/>
    <w:rsid w:val="002C3228"/>
    <w:rsid w:val="00942E62"/>
    <w:rsid w:val="00A519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1C30"/>
    <w:rPr>
      <w:color w:val="666666"/>
    </w:rPr>
  </w:style>
  <w:style w:type="paragraph" w:customStyle="1" w:styleId="7AB103AD93914C22BEFB772B570AAC0B">
    <w:name w:val="7AB103AD93914C22BEFB772B570AAC0B"/>
    <w:rsid w:val="00001C30"/>
  </w:style>
  <w:style w:type="paragraph" w:customStyle="1" w:styleId="29A85C46133B4ECD9017760981A11CB5">
    <w:name w:val="29A85C46133B4ECD9017760981A11CB5"/>
    <w:rsid w:val="00001C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SPMtAXv40Eq1J+l8qYgHaDKt8A==">CgMxLjA4AHIhMUlMR29rbW1aR25hNnNTOWZhSTQ4bzBiZFIzckJxTFRa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11845</Words>
  <Characters>67521</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Humaniora UIN Malang</dc:creator>
  <cp:lastModifiedBy>nuh yamin</cp:lastModifiedBy>
  <cp:revision>2</cp:revision>
  <dcterms:created xsi:type="dcterms:W3CDTF">2025-05-09T11:53:00Z</dcterms:created>
  <dcterms:modified xsi:type="dcterms:W3CDTF">2025-05-09T11:53:00Z</dcterms:modified>
</cp:coreProperties>
</file>