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rPr>
          <w:color w:val="0000ff"/>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-628645</wp:posOffset>
            </wp:positionH>
            <wp:positionV relativeFrom="paragraph">
              <wp:posOffset>0</wp:posOffset>
            </wp:positionV>
            <wp:extent cx="2220595" cy="1639570"/>
            <wp:effectExtent b="0" l="0" r="0" t="0"/>
            <wp:wrapNone/>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20595" cy="1639570"/>
                    </a:xfrm>
                    <a:prstGeom prst="rect"/>
                    <a:ln/>
                  </pic:spPr>
                </pic:pic>
              </a:graphicData>
            </a:graphic>
          </wp:anchor>
        </w:drawing>
      </w:r>
    </w:p>
    <w:p w:rsidR="00000000" w:rsidDel="00000000" w:rsidP="00000000" w:rsidRDefault="00000000" w:rsidRPr="00000000" w14:paraId="00000002">
      <w:pPr>
        <w:ind w:left="0" w:hanging="2"/>
        <w:rPr/>
      </w:pPr>
      <w:r w:rsidDel="00000000" w:rsidR="00000000" w:rsidRPr="00000000">
        <w:rPr>
          <w:b w:val="1"/>
          <w:rtl w:val="0"/>
        </w:rPr>
        <w:t xml:space="preserve"> </w:t>
        <w:tab/>
        <w:t xml:space="preserve">            </w:t>
      </w:r>
      <w:r w:rsidDel="00000000" w:rsidR="00000000" w:rsidRPr="00000000">
        <w:rPr>
          <w:rtl w:val="0"/>
        </w:rPr>
      </w:r>
    </w:p>
    <w:p w:rsidR="00000000" w:rsidDel="00000000" w:rsidP="00000000" w:rsidRDefault="00000000" w:rsidRPr="00000000" w14:paraId="00000003">
      <w:pPr>
        <w:ind w:left="0" w:hanging="2"/>
        <w:jc w:val="right"/>
        <w:rPr>
          <w:sz w:val="36"/>
          <w:szCs w:val="36"/>
        </w:rPr>
      </w:pPr>
      <w:r w:rsidDel="00000000" w:rsidR="00000000" w:rsidRPr="00000000">
        <w:rPr>
          <w:b w:val="1"/>
          <w:rtl w:val="0"/>
        </w:rPr>
        <w:tab/>
        <w:tab/>
        <w:tab/>
        <w:tab/>
        <w:t xml:space="preserve">SPECIAL EDUCATION DEPARTMENT</w:t>
      </w:r>
      <w:r w:rsidDel="00000000" w:rsidR="00000000" w:rsidRPr="00000000">
        <w:rPr>
          <w:rtl w:val="0"/>
        </w:rPr>
      </w:r>
    </w:p>
    <w:p w:rsidR="00000000" w:rsidDel="00000000" w:rsidP="00000000" w:rsidRDefault="00000000" w:rsidRPr="00000000" w14:paraId="00000004">
      <w:pPr>
        <w:ind w:left="0" w:hanging="2"/>
        <w:jc w:val="right"/>
        <w:rPr/>
      </w:pPr>
      <w:r w:rsidDel="00000000" w:rsidR="00000000" w:rsidRPr="00000000">
        <w:rPr>
          <w:rtl w:val="0"/>
        </w:rPr>
        <w:t xml:space="preserve">5735 47th Avenue </w:t>
      </w:r>
      <w:r w:rsidDel="00000000" w:rsidR="00000000" w:rsidRPr="00000000">
        <w:rPr>
          <w:sz w:val="16"/>
          <w:szCs w:val="16"/>
          <w:rtl w:val="0"/>
        </w:rPr>
        <w:t xml:space="preserve">● </w:t>
      </w:r>
      <w:r w:rsidDel="00000000" w:rsidR="00000000" w:rsidRPr="00000000">
        <w:rPr>
          <w:rtl w:val="0"/>
        </w:rPr>
        <w:t xml:space="preserve">Sacramento, CA 95824</w:t>
      </w:r>
    </w:p>
    <w:p w:rsidR="00000000" w:rsidDel="00000000" w:rsidP="00000000" w:rsidRDefault="00000000" w:rsidRPr="00000000" w14:paraId="00000005">
      <w:pPr>
        <w:ind w:left="0" w:hanging="2"/>
        <w:jc w:val="right"/>
        <w:rPr/>
      </w:pPr>
      <w:r w:rsidDel="00000000" w:rsidR="00000000" w:rsidRPr="00000000">
        <w:rPr>
          <w:rtl w:val="0"/>
        </w:rPr>
        <w:t xml:space="preserve">(916) 643-9174 </w:t>
      </w:r>
      <w:r w:rsidDel="00000000" w:rsidR="00000000" w:rsidRPr="00000000">
        <w:rPr>
          <w:sz w:val="16"/>
          <w:szCs w:val="16"/>
          <w:rtl w:val="0"/>
        </w:rPr>
        <w:t xml:space="preserve">● </w:t>
      </w:r>
      <w:r w:rsidDel="00000000" w:rsidR="00000000" w:rsidRPr="00000000">
        <w:rPr>
          <w:rtl w:val="0"/>
        </w:rPr>
        <w:t xml:space="preserve">FAX (916) 399-2019</w:t>
      </w:r>
    </w:p>
    <w:p w:rsidR="00000000" w:rsidDel="00000000" w:rsidP="00000000" w:rsidRDefault="00000000" w:rsidRPr="00000000" w14:paraId="00000006">
      <w:pPr>
        <w:ind w:left="0" w:hanging="2"/>
        <w:jc w:val="right"/>
        <w:rPr>
          <w:rFonts w:ascii="Arial" w:cs="Arial" w:eastAsia="Arial" w:hAnsi="Arial"/>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0</wp:posOffset>
                </wp:positionV>
                <wp:extent cx="3724275" cy="50800"/>
                <wp:effectExtent b="0" l="0" r="0" t="0"/>
                <wp:wrapNone/>
                <wp:docPr id="9" name=""/>
                <a:graphic>
                  <a:graphicData uri="http://schemas.microsoft.com/office/word/2010/wordprocessingShape">
                    <wps:wsp>
                      <wps:cNvCnPr/>
                      <wps:spPr>
                        <a:xfrm>
                          <a:off x="3502913" y="3779683"/>
                          <a:ext cx="3686175" cy="63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0</wp:posOffset>
                </wp:positionV>
                <wp:extent cx="3724275" cy="50800"/>
                <wp:effectExtent b="0" l="0" r="0" t="0"/>
                <wp:wrapNone/>
                <wp:docPr id="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724275" cy="50800"/>
                        </a:xfrm>
                        <a:prstGeom prst="rect"/>
                        <a:ln/>
                      </pic:spPr>
                    </pic:pic>
                  </a:graphicData>
                </a:graphic>
              </wp:anchor>
            </w:drawing>
          </mc:Fallback>
        </mc:AlternateContent>
      </w:r>
    </w:p>
    <w:p w:rsidR="00000000" w:rsidDel="00000000" w:rsidP="00000000" w:rsidRDefault="00000000" w:rsidRPr="00000000" w14:paraId="00000007">
      <w:pPr>
        <w:ind w:left="0" w:hanging="2"/>
        <w:jc w:val="right"/>
        <w:rPr>
          <w:rFonts w:ascii="Arial" w:cs="Arial" w:eastAsia="Arial" w:hAnsi="Arial"/>
          <w:sz w:val="16"/>
          <w:szCs w:val="16"/>
        </w:rPr>
      </w:pPr>
      <w:r w:rsidDel="00000000" w:rsidR="00000000" w:rsidRPr="00000000">
        <w:rPr>
          <w:rFonts w:ascii="Arial" w:cs="Arial" w:eastAsia="Arial" w:hAnsi="Arial"/>
          <w:i w:val="1"/>
          <w:sz w:val="16"/>
          <w:szCs w:val="16"/>
          <w:rtl w:val="0"/>
        </w:rPr>
        <w:t xml:space="preserve">       </w:t>
        <w:tab/>
        <w:tab/>
        <w:tab/>
        <w:t xml:space="preserve">Jorge A. Aguilar</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i w:val="1"/>
          <w:sz w:val="16"/>
          <w:szCs w:val="16"/>
          <w:rtl w:val="0"/>
        </w:rPr>
        <w:t xml:space="preserve">Superintendent</w:t>
      </w: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08">
      <w:pPr>
        <w:ind w:left="0" w:hanging="2"/>
        <w:jc w:val="right"/>
        <w:rPr>
          <w:rFonts w:ascii="Arial" w:cs="Arial" w:eastAsia="Arial" w:hAnsi="Arial"/>
          <w:i w:val="1"/>
          <w:sz w:val="16"/>
          <w:szCs w:val="16"/>
        </w:rPr>
      </w:pPr>
      <w:r w:rsidDel="00000000" w:rsidR="00000000" w:rsidRPr="00000000">
        <w:rPr>
          <w:rFonts w:ascii="Arial" w:cs="Arial" w:eastAsia="Arial" w:hAnsi="Arial"/>
          <w:i w:val="1"/>
          <w:sz w:val="16"/>
          <w:szCs w:val="16"/>
          <w:rtl w:val="0"/>
        </w:rPr>
        <w:tab/>
        <w:tab/>
        <w:tab/>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i w:val="1"/>
          <w:sz w:val="16"/>
          <w:szCs w:val="16"/>
          <w:rtl w:val="0"/>
        </w:rPr>
        <w:t xml:space="preserve">Christine Baeta,</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i w:val="1"/>
          <w:sz w:val="16"/>
          <w:szCs w:val="16"/>
          <w:rtl w:val="0"/>
        </w:rPr>
        <w:t xml:space="preserve">Chief Academic Officer</w:t>
      </w:r>
    </w:p>
    <w:p w:rsidR="00000000" w:rsidDel="00000000" w:rsidP="00000000" w:rsidRDefault="00000000" w:rsidRPr="00000000" w14:paraId="00000009">
      <w:pPr>
        <w:ind w:left="0" w:hanging="2"/>
        <w:jc w:val="right"/>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00A">
      <w:pPr>
        <w:ind w:left="0" w:hanging="2"/>
        <w:jc w:val="right"/>
        <w:rPr>
          <w:rFonts w:ascii="Arial" w:cs="Arial" w:eastAsia="Arial" w:hAnsi="Arial"/>
          <w:sz w:val="16"/>
          <w:szCs w:val="16"/>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000B">
      <w:pPr>
        <w:ind w:left="0" w:hanging="2"/>
        <w:rPr>
          <w:rFonts w:ascii="Arial" w:cs="Arial" w:eastAsia="Arial" w:hAnsi="Arial"/>
          <w:sz w:val="16"/>
          <w:szCs w:val="16"/>
        </w:rPr>
      </w:pPr>
      <w:r w:rsidDel="00000000" w:rsidR="00000000" w:rsidRPr="00000000">
        <w:rPr>
          <w:rFonts w:ascii="Arial" w:cs="Arial" w:eastAsia="Arial" w:hAnsi="Arial"/>
          <w:i w:val="1"/>
          <w:sz w:val="16"/>
          <w:szCs w:val="16"/>
          <w:rtl w:val="0"/>
        </w:rPr>
        <w:t xml:space="preserve"> </w:t>
        <w:tab/>
        <w:tab/>
        <w:tab/>
        <w:tab/>
        <w:tab/>
        <w:tab/>
        <w:t xml:space="preserve">                                                                                                                                                       </w:t>
      </w:r>
      <w:r w:rsidDel="00000000" w:rsidR="00000000" w:rsidRPr="00000000">
        <w:rPr>
          <w:rtl w:val="0"/>
        </w:rPr>
      </w:r>
    </w:p>
    <w:p w:rsidR="00000000" w:rsidDel="00000000" w:rsidP="00000000" w:rsidRDefault="00000000" w:rsidRPr="00000000" w14:paraId="0000000C">
      <w:pPr>
        <w:ind w:left="0" w:hanging="2"/>
        <w:jc w:val="both"/>
        <w:rPr>
          <w:sz w:val="22"/>
          <w:szCs w:val="22"/>
        </w:rPr>
      </w:pPr>
      <w:r w:rsidDel="00000000" w:rsidR="00000000" w:rsidRPr="00000000">
        <w:rPr>
          <w:sz w:val="22"/>
          <w:szCs w:val="22"/>
          <w:rtl w:val="0"/>
        </w:rPr>
        <w:tab/>
      </w:r>
    </w:p>
    <w:p w:rsidR="00000000" w:rsidDel="00000000" w:rsidP="00000000" w:rsidRDefault="00000000" w:rsidRPr="00000000" w14:paraId="0000000D">
      <w:pPr>
        <w:ind w:left="0" w:hanging="2"/>
        <w:jc w:val="both"/>
        <w:rPr/>
      </w:pPr>
      <w:r w:rsidDel="00000000" w:rsidR="00000000" w:rsidRPr="00000000">
        <w:rPr>
          <w:rtl w:val="0"/>
        </w:rPr>
        <w:t xml:space="preserve">May 14</w:t>
      </w:r>
      <w:r w:rsidDel="00000000" w:rsidR="00000000" w:rsidRPr="00000000">
        <w:rPr>
          <w:rtl w:val="0"/>
        </w:rPr>
        <w:t xml:space="preserve">, 2021</w:t>
      </w:r>
    </w:p>
    <w:p w:rsidR="00000000" w:rsidDel="00000000" w:rsidP="00000000" w:rsidRDefault="00000000" w:rsidRPr="00000000" w14:paraId="0000000E">
      <w:pPr>
        <w:ind w:left="0" w:hanging="2"/>
        <w:jc w:val="both"/>
        <w:rPr/>
      </w:pPr>
      <w:r w:rsidDel="00000000" w:rsidR="00000000" w:rsidRPr="00000000">
        <w:rPr>
          <w:rtl w:val="0"/>
        </w:rPr>
      </w:r>
    </w:p>
    <w:p w:rsidR="00000000" w:rsidDel="00000000" w:rsidP="00000000" w:rsidRDefault="00000000" w:rsidRPr="00000000" w14:paraId="0000000F">
      <w:pPr>
        <w:ind w:left="0" w:hanging="2"/>
        <w:jc w:val="both"/>
        <w:rPr/>
      </w:pPr>
      <w:r w:rsidDel="00000000" w:rsidR="00000000" w:rsidRPr="00000000">
        <w:rPr>
          <w:rtl w:val="0"/>
        </w:rPr>
      </w:r>
    </w:p>
    <w:p w:rsidR="00000000" w:rsidDel="00000000" w:rsidP="00000000" w:rsidRDefault="00000000" w:rsidRPr="00000000" w14:paraId="00000010">
      <w:pPr>
        <w:spacing w:line="276" w:lineRule="auto"/>
        <w:ind w:left="0" w:hanging="2"/>
        <w:jc w:val="both"/>
        <w:rPr/>
      </w:pPr>
      <w:r w:rsidDel="00000000" w:rsidR="00000000" w:rsidRPr="00000000">
        <w:rPr>
          <w:rtl w:val="0"/>
        </w:rPr>
        <w:t xml:space="preserve">Dear Sacramento City School District Family,</w:t>
      </w:r>
    </w:p>
    <w:p w:rsidR="00000000" w:rsidDel="00000000" w:rsidP="00000000" w:rsidRDefault="00000000" w:rsidRPr="00000000" w14:paraId="00000011">
      <w:pPr>
        <w:spacing w:line="276" w:lineRule="auto"/>
        <w:ind w:left="0" w:hanging="2"/>
        <w:jc w:val="both"/>
        <w:rPr/>
      </w:pPr>
      <w:r w:rsidDel="00000000" w:rsidR="00000000" w:rsidRPr="00000000">
        <w:rPr>
          <w:rtl w:val="0"/>
        </w:rPr>
      </w:r>
    </w:p>
    <w:p w:rsidR="00000000" w:rsidDel="00000000" w:rsidP="00000000" w:rsidRDefault="00000000" w:rsidRPr="00000000" w14:paraId="00000012">
      <w:pPr>
        <w:spacing w:line="276" w:lineRule="auto"/>
        <w:ind w:left="0" w:hanging="2"/>
        <w:jc w:val="both"/>
        <w:rPr/>
      </w:pPr>
      <w:r w:rsidDel="00000000" w:rsidR="00000000" w:rsidRPr="00000000">
        <w:rPr>
          <w:rtl w:val="0"/>
        </w:rPr>
        <w:t xml:space="preserve">According to SCUSD’s records, you have provided consent for your child to participate in special education assessments and the assessment(s) are incomplete. This letter is sent on behalf of the Sacramento City Unified School District (SCUSD) regarding the District’s continued efforts to resume critical special education assessments. The District is pleased to highlight that on May 4, 2021, SCUSD and SCTA reached an agreement to begin contracting with outside assessors to conduct special education assessments. As a result of this new agreement, the District is expanding the number of individuals who will be conducting special education assessments between now and August 31, 2021 with the goal of completing all outstanding assessments before the 2021-22 school year.  </w:t>
      </w:r>
    </w:p>
    <w:p w:rsidR="00000000" w:rsidDel="00000000" w:rsidP="00000000" w:rsidRDefault="00000000" w:rsidRPr="00000000" w14:paraId="00000013">
      <w:pPr>
        <w:spacing w:line="276" w:lineRule="auto"/>
        <w:ind w:left="0" w:hanging="2"/>
        <w:jc w:val="both"/>
        <w:rPr/>
      </w:pPr>
      <w:r w:rsidDel="00000000" w:rsidR="00000000" w:rsidRPr="00000000">
        <w:rPr>
          <w:rtl w:val="0"/>
        </w:rPr>
      </w:r>
    </w:p>
    <w:p w:rsidR="00000000" w:rsidDel="00000000" w:rsidP="00000000" w:rsidRDefault="00000000" w:rsidRPr="00000000" w14:paraId="00000014">
      <w:pPr>
        <w:spacing w:line="276" w:lineRule="auto"/>
        <w:ind w:left="0" w:hanging="2"/>
        <w:jc w:val="both"/>
        <w:rPr/>
      </w:pPr>
      <w:r w:rsidDel="00000000" w:rsidR="00000000" w:rsidRPr="00000000">
        <w:rPr>
          <w:rtl w:val="0"/>
        </w:rPr>
        <w:t xml:space="preserve">Students whose families have provided consent for special education assessment(s) and have been waiting the longest shall be prioritized. Assessments may be conducted in person at school sites and/or virtually, depending on the needs of the student and the professional discretion of the assessor. Please note: SCUSD takes the responsibility of providing special education assessments very seriously and will make every effort to reach its goal of completing all outstanding assessments before the 2021-22 school year. SCUSD will also be prepared to discuss compensatory education for students who qualify at the IEP meeting in which the assessment results are reviewed.    </w:t>
      </w:r>
    </w:p>
    <w:p w:rsidR="00000000" w:rsidDel="00000000" w:rsidP="00000000" w:rsidRDefault="00000000" w:rsidRPr="00000000" w14:paraId="00000015">
      <w:pPr>
        <w:spacing w:line="276" w:lineRule="auto"/>
        <w:ind w:left="0" w:hanging="2"/>
        <w:jc w:val="both"/>
        <w:rPr/>
      </w:pPr>
      <w:r w:rsidDel="00000000" w:rsidR="00000000" w:rsidRPr="00000000">
        <w:rPr>
          <w:rtl w:val="0"/>
        </w:rPr>
      </w:r>
    </w:p>
    <w:p w:rsidR="00000000" w:rsidDel="00000000" w:rsidP="00000000" w:rsidRDefault="00000000" w:rsidRPr="00000000" w14:paraId="00000016">
      <w:pPr>
        <w:spacing w:line="276" w:lineRule="auto"/>
        <w:ind w:left="0" w:hanging="2"/>
        <w:jc w:val="both"/>
        <w:rPr/>
      </w:pPr>
      <w:r w:rsidDel="00000000" w:rsidR="00000000" w:rsidRPr="00000000">
        <w:rPr>
          <w:rtl w:val="0"/>
        </w:rPr>
        <w:t xml:space="preserve">If you have questions or concerns regarding this process, please contact your child’s school site office.  </w:t>
      </w:r>
    </w:p>
    <w:p w:rsidR="00000000" w:rsidDel="00000000" w:rsidP="00000000" w:rsidRDefault="00000000" w:rsidRPr="00000000" w14:paraId="00000017">
      <w:pPr>
        <w:spacing w:line="276" w:lineRule="auto"/>
        <w:ind w:left="0" w:hanging="2"/>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18">
      <w:pPr>
        <w:spacing w:line="276" w:lineRule="auto"/>
        <w:ind w:left="0" w:hanging="2"/>
        <w:jc w:val="both"/>
        <w:rPr/>
      </w:pPr>
      <w:r w:rsidDel="00000000" w:rsidR="00000000" w:rsidRPr="00000000">
        <w:rPr>
          <w:rtl w:val="0"/>
        </w:rPr>
        <w:t xml:space="preserve">Regards,</w:t>
      </w:r>
    </w:p>
    <w:p w:rsidR="00000000" w:rsidDel="00000000" w:rsidP="00000000" w:rsidRDefault="00000000" w:rsidRPr="00000000" w14:paraId="00000019">
      <w:pPr>
        <w:ind w:left="0" w:hanging="2"/>
        <w:jc w:val="both"/>
        <w:rPr/>
      </w:pPr>
      <w:r w:rsidDel="00000000" w:rsidR="00000000" w:rsidRPr="00000000">
        <w:rPr>
          <w:rtl w:val="0"/>
        </w:rPr>
      </w:r>
    </w:p>
    <w:p w:rsidR="00000000" w:rsidDel="00000000" w:rsidP="00000000" w:rsidRDefault="00000000" w:rsidRPr="00000000" w14:paraId="0000001A">
      <w:pPr>
        <w:ind w:left="2" w:hanging="2"/>
        <w:jc w:val="both"/>
        <w:rPr>
          <w:i w:val="1"/>
        </w:rPr>
      </w:pPr>
      <w:r w:rsidDel="00000000" w:rsidR="00000000" w:rsidRPr="00000000">
        <w:rPr>
          <w:i w:val="1"/>
          <w:rtl w:val="0"/>
        </w:rPr>
        <w:t xml:space="preserve">Dr. Sadie Hedegard</w:t>
      </w:r>
    </w:p>
    <w:p w:rsidR="00000000" w:rsidDel="00000000" w:rsidP="00000000" w:rsidRDefault="00000000" w:rsidRPr="00000000" w14:paraId="0000001B">
      <w:pPr>
        <w:ind w:left="0" w:hanging="2"/>
        <w:jc w:val="both"/>
        <w:rPr/>
      </w:pPr>
      <w:r w:rsidDel="00000000" w:rsidR="00000000" w:rsidRPr="00000000">
        <w:rPr>
          <w:rtl w:val="0"/>
        </w:rPr>
      </w:r>
    </w:p>
    <w:p w:rsidR="00000000" w:rsidDel="00000000" w:rsidP="00000000" w:rsidRDefault="00000000" w:rsidRPr="00000000" w14:paraId="0000001C">
      <w:pPr>
        <w:ind w:left="0" w:hanging="2"/>
        <w:jc w:val="both"/>
        <w:rPr/>
      </w:pPr>
      <w:r w:rsidDel="00000000" w:rsidR="00000000" w:rsidRPr="00000000">
        <w:rPr>
          <w:rtl w:val="0"/>
        </w:rPr>
        <w:t xml:space="preserve">Dr. Sadie Hedegard</w:t>
      </w:r>
    </w:p>
    <w:p w:rsidR="00000000" w:rsidDel="00000000" w:rsidP="00000000" w:rsidRDefault="00000000" w:rsidRPr="00000000" w14:paraId="0000001D">
      <w:pPr>
        <w:ind w:left="0" w:hanging="2"/>
        <w:jc w:val="both"/>
        <w:rPr/>
      </w:pPr>
      <w:r w:rsidDel="00000000" w:rsidR="00000000" w:rsidRPr="00000000">
        <w:rPr>
          <w:rtl w:val="0"/>
        </w:rPr>
        <w:t xml:space="preserve">Assistant Superintendent of Special Education, Innovation &amp; Learning </w:t>
      </w:r>
    </w:p>
    <w:p w:rsidR="00000000" w:rsidDel="00000000" w:rsidP="00000000" w:rsidRDefault="00000000" w:rsidRPr="00000000" w14:paraId="0000001E">
      <w:pPr>
        <w:ind w:left="0" w:hanging="2"/>
        <w:jc w:val="both"/>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pPr>
      <w:keepNext w:val="1"/>
    </w:pPr>
    <w:rPr>
      <w:b w:val="1"/>
      <w:bCs w:val="1"/>
      <w:u w:val="single"/>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BalloonText">
    <w:name w:val="Balloon Text"/>
    <w:basedOn w:val="Normal"/>
    <w:rPr>
      <w:rFonts w:ascii="Tahoma" w:cs="Tahoma" w:hAnsi="Tahoma"/>
      <w:sz w:val="16"/>
      <w:szCs w:val="16"/>
    </w:rPr>
  </w:style>
  <w:style w:type="character" w:styleId="Hyperlink">
    <w:name w:val="Hyperlink"/>
    <w:qFormat w:val="1"/>
    <w:rPr>
      <w:color w:val="0000ff"/>
      <w:w w:val="100"/>
      <w:position w:val="-1"/>
      <w:u w:val="single"/>
      <w:effect w:val="none"/>
      <w:vertAlign w:val="baseline"/>
      <w:cs w:val="0"/>
      <w:em w:val="non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2o99yU3YkJ5AE4RieeNUb674IA==">AMUW2mVXNRk+oIFnT866yQufbNcaldn8J6Jg9FT1PbFg1jZoIw3fTIlq20EPRYXaTt+5yJlRwZRDdbHaCjgN/LxWp6yMsbXQdWxYhZEybi+YLySowWrmQQpW2zs55UwkRo3kK6+3EctaV6h2J5cbHj0udMv9fStgoA+4fF7uii6+mDX37fq12d0U28dA5um9nGz34HxwNhjHatxGkm3zZPajHCHYby/kL3+6EzaefvLx9CfoavzpyNSxHBI+sRB3+vbKvXDPpuRpcHrW2bA3mIGxFxuKNNVZbifT8EthR6FQlRzZFbynuG/qdVnEX1aBq1YTkKmSQrlu84UEFPhm/WB2Lf9oSNXvfD1A3E2pnGR2B5iuFRPZ0FqiXJE07OI5l4ofK38QfJhZJNwhj6szgtrYSkD7Lps2YSrwFRdwlQYYDVp+2HvLWMxKCq7g8XSgMSPYRIccToU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2021-03-10T14:55:00Z</dcterms:created>
  <dc:creator>SCUSD</dc:creator>
</cp:coreProperties>
</file>