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5F38" w14:textId="77777777" w:rsidR="001160C2" w:rsidRDefault="00C309C9">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2019-20 K-12 Reclassification Rates by Grade </w:t>
      </w:r>
    </w:p>
    <w:p w14:paraId="57DC8DDB" w14:textId="77777777" w:rsidR="001160C2" w:rsidRDefault="001160C2">
      <w:pPr>
        <w:rPr>
          <w:rFonts w:ascii="Century Gothic" w:eastAsia="Century Gothic" w:hAnsi="Century Gothic" w:cs="Century Gothic"/>
          <w:b/>
          <w:sz w:val="24"/>
          <w:szCs w:val="24"/>
        </w:rPr>
      </w:pPr>
    </w:p>
    <w:p w14:paraId="433AF256" w14:textId="77777777" w:rsidR="001160C2" w:rsidRDefault="00C309C9">
      <w:pPr>
        <w:rPr>
          <w:rFonts w:ascii="Century Gothic" w:eastAsia="Century Gothic" w:hAnsi="Century Gothic" w:cs="Century Gothic"/>
          <w:b/>
          <w:sz w:val="24"/>
          <w:szCs w:val="24"/>
        </w:rPr>
      </w:pPr>
      <w:r>
        <w:rPr>
          <w:rFonts w:ascii="Century Gothic" w:eastAsia="Century Gothic" w:hAnsi="Century Gothic" w:cs="Century Gothic"/>
          <w:b/>
          <w:sz w:val="24"/>
          <w:szCs w:val="24"/>
        </w:rPr>
        <w:t>Axis labels: 0%, 20%, 40%, 60%, 80%, 100%</w:t>
      </w:r>
    </w:p>
    <w:p w14:paraId="476F96AC" w14:textId="77777777" w:rsidR="001160C2" w:rsidRDefault="001160C2">
      <w:pPr>
        <w:rPr>
          <w:rFonts w:ascii="Century Gothic" w:eastAsia="Century Gothic" w:hAnsi="Century Gothic" w:cs="Century Gothic"/>
          <w:b/>
          <w:sz w:val="24"/>
          <w:szCs w:val="24"/>
        </w:rPr>
      </w:pPr>
    </w:p>
    <w:p w14:paraId="1EF41EA0" w14:textId="77777777" w:rsidR="001160C2" w:rsidRDefault="00C309C9">
      <w:pPr>
        <w:rPr>
          <w:rFonts w:ascii="Century Gothic" w:eastAsia="Century Gothic" w:hAnsi="Century Gothic" w:cs="Century Gothic"/>
          <w:b/>
          <w:sz w:val="24"/>
          <w:szCs w:val="24"/>
        </w:rPr>
      </w:pPr>
      <w:r>
        <w:rPr>
          <w:rFonts w:ascii="Century Gothic" w:eastAsia="Century Gothic" w:hAnsi="Century Gothic" w:cs="Century Gothic"/>
          <w:b/>
          <w:noProof/>
          <w:sz w:val="24"/>
          <w:szCs w:val="24"/>
        </w:rPr>
        <w:drawing>
          <wp:inline distT="114300" distB="114300" distL="114300" distR="114300" wp14:anchorId="650D759B" wp14:editId="50659718">
            <wp:extent cx="8229600" cy="472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229600" cy="4724400"/>
                    </a:xfrm>
                    <a:prstGeom prst="rect">
                      <a:avLst/>
                    </a:prstGeom>
                    <a:ln/>
                  </pic:spPr>
                </pic:pic>
              </a:graphicData>
            </a:graphic>
          </wp:inline>
        </w:drawing>
      </w:r>
    </w:p>
    <w:p w14:paraId="1647A74F" w14:textId="77777777" w:rsidR="001160C2" w:rsidRDefault="001160C2">
      <w:pPr>
        <w:rPr>
          <w:rFonts w:ascii="Century Gothic" w:eastAsia="Century Gothic" w:hAnsi="Century Gothic" w:cs="Century Gothic"/>
          <w:b/>
          <w:sz w:val="24"/>
          <w:szCs w:val="24"/>
        </w:rPr>
      </w:pPr>
    </w:p>
    <w:p w14:paraId="55EA4A9A" w14:textId="77777777" w:rsidR="001160C2" w:rsidRDefault="00C309C9">
      <w:pPr>
        <w:rPr>
          <w:rFonts w:ascii="Century Gothic" w:eastAsia="Century Gothic" w:hAnsi="Century Gothic" w:cs="Century Gothic"/>
          <w:i/>
          <w:sz w:val="20"/>
          <w:szCs w:val="20"/>
        </w:rPr>
      </w:pPr>
      <w:r>
        <w:rPr>
          <w:rFonts w:ascii="Century Gothic" w:eastAsia="Century Gothic" w:hAnsi="Century Gothic" w:cs="Century Gothic"/>
          <w:i/>
          <w:sz w:val="20"/>
          <w:szCs w:val="20"/>
        </w:rPr>
        <w:lastRenderedPageBreak/>
        <w:t xml:space="preserve">Source: California Department of Education. (February 2021). 2019-20 "Ever-ELs" by Years as EL and Reclassification (RFEP) Status and Grade (Dataquest Report). </w:t>
      </w:r>
    </w:p>
    <w:p w14:paraId="183CEC09" w14:textId="77777777" w:rsidR="001160C2" w:rsidRDefault="001160C2">
      <w:pPr>
        <w:rPr>
          <w:rFonts w:ascii="Century Gothic" w:eastAsia="Century Gothic" w:hAnsi="Century Gothic" w:cs="Century Gothic"/>
          <w:i/>
          <w:sz w:val="20"/>
          <w:szCs w:val="20"/>
        </w:rPr>
      </w:pPr>
    </w:p>
    <w:p w14:paraId="7437D2EF" w14:textId="77777777" w:rsidR="001160C2" w:rsidRDefault="00C309C9">
      <w:pPr>
        <w:rPr>
          <w:rFonts w:ascii="Century Gothic" w:eastAsia="Century Gothic" w:hAnsi="Century Gothic" w:cs="Century Gothic"/>
        </w:rPr>
      </w:pPr>
      <w:r>
        <w:rPr>
          <w:rFonts w:ascii="Century Gothic" w:eastAsia="Century Gothic" w:hAnsi="Century Gothic" w:cs="Century Gothic"/>
        </w:rPr>
        <w:t>Reclassification The process whereby a student is reclassified from English Learner status to fluent English proficient.</w:t>
      </w:r>
    </w:p>
    <w:p w14:paraId="1CA40779" w14:textId="77777777" w:rsidR="001160C2" w:rsidRDefault="001160C2">
      <w:pPr>
        <w:rPr>
          <w:rFonts w:ascii="Century Gothic" w:eastAsia="Century Gothic" w:hAnsi="Century Gothic" w:cs="Century Gothic"/>
        </w:rPr>
      </w:pPr>
    </w:p>
    <w:p w14:paraId="5BBF6F1E" w14:textId="77777777" w:rsidR="001160C2" w:rsidRDefault="00C309C9">
      <w:pPr>
        <w:rPr>
          <w:rFonts w:ascii="Century Gothic" w:eastAsia="Century Gothic" w:hAnsi="Century Gothic" w:cs="Century Gothic"/>
          <w:b/>
        </w:rPr>
      </w:pPr>
      <w:r>
        <w:rPr>
          <w:rFonts w:ascii="Century Gothic" w:eastAsia="Century Gothic" w:hAnsi="Century Gothic" w:cs="Century Gothic"/>
          <w:b/>
        </w:rPr>
        <w:t>2019-20 Percent of English Learners Reclassified by Grade Level</w:t>
      </w:r>
    </w:p>
    <w:p w14:paraId="5A16BAA6" w14:textId="77777777" w:rsidR="001160C2" w:rsidRDefault="001160C2">
      <w:pPr>
        <w:rPr>
          <w:rFonts w:ascii="Century Gothic" w:eastAsia="Century Gothic" w:hAnsi="Century Gothic" w:cs="Century Gothic"/>
          <w:b/>
        </w:rPr>
      </w:pPr>
    </w:p>
    <w:p w14:paraId="35034999" w14:textId="77777777" w:rsidR="001160C2" w:rsidRDefault="001160C2">
      <w:pPr>
        <w:rPr>
          <w:rFonts w:ascii="Century Gothic" w:eastAsia="Century Gothic" w:hAnsi="Century Gothic" w:cs="Century Gothic"/>
          <w:b/>
          <w:sz w:val="20"/>
          <w:szCs w:val="20"/>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9390"/>
      </w:tblGrid>
      <w:tr w:rsidR="001160C2" w14:paraId="0116F96F" w14:textId="77777777">
        <w:tc>
          <w:tcPr>
            <w:tcW w:w="3570" w:type="dxa"/>
            <w:shd w:val="clear" w:color="auto" w:fill="auto"/>
            <w:tcMar>
              <w:top w:w="100" w:type="dxa"/>
              <w:left w:w="100" w:type="dxa"/>
              <w:bottom w:w="100" w:type="dxa"/>
              <w:right w:w="100" w:type="dxa"/>
            </w:tcMar>
          </w:tcPr>
          <w:p w14:paraId="5A2B3D82"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Kinder</w:t>
            </w:r>
          </w:p>
        </w:tc>
        <w:tc>
          <w:tcPr>
            <w:tcW w:w="9390" w:type="dxa"/>
            <w:shd w:val="clear" w:color="auto" w:fill="auto"/>
            <w:tcMar>
              <w:top w:w="100" w:type="dxa"/>
              <w:left w:w="100" w:type="dxa"/>
              <w:bottom w:w="100" w:type="dxa"/>
              <w:right w:w="100" w:type="dxa"/>
            </w:tcMar>
          </w:tcPr>
          <w:p w14:paraId="47E396A4" w14:textId="77777777" w:rsidR="001160C2" w:rsidRDefault="001160C2">
            <w:pPr>
              <w:widowControl w:val="0"/>
              <w:spacing w:line="240" w:lineRule="auto"/>
              <w:rPr>
                <w:rFonts w:ascii="Century Gothic" w:eastAsia="Century Gothic" w:hAnsi="Century Gothic" w:cs="Century Gothic"/>
                <w:b/>
                <w:sz w:val="20"/>
                <w:szCs w:val="20"/>
              </w:rPr>
            </w:pPr>
          </w:p>
        </w:tc>
      </w:tr>
      <w:tr w:rsidR="001160C2" w14:paraId="397B0E12" w14:textId="77777777">
        <w:tc>
          <w:tcPr>
            <w:tcW w:w="3570" w:type="dxa"/>
            <w:shd w:val="clear" w:color="auto" w:fill="auto"/>
            <w:tcMar>
              <w:top w:w="100" w:type="dxa"/>
              <w:left w:w="100" w:type="dxa"/>
              <w:bottom w:w="100" w:type="dxa"/>
              <w:right w:w="100" w:type="dxa"/>
            </w:tcMar>
          </w:tcPr>
          <w:p w14:paraId="696BC15B"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1st</w:t>
            </w:r>
          </w:p>
        </w:tc>
        <w:tc>
          <w:tcPr>
            <w:tcW w:w="9390" w:type="dxa"/>
            <w:shd w:val="clear" w:color="auto" w:fill="auto"/>
            <w:tcMar>
              <w:top w:w="100" w:type="dxa"/>
              <w:left w:w="100" w:type="dxa"/>
              <w:bottom w:w="100" w:type="dxa"/>
              <w:right w:w="100" w:type="dxa"/>
            </w:tcMar>
          </w:tcPr>
          <w:p w14:paraId="65E5BC70"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2%</w:t>
            </w:r>
          </w:p>
        </w:tc>
      </w:tr>
      <w:tr w:rsidR="001160C2" w14:paraId="59B2419A" w14:textId="77777777">
        <w:tc>
          <w:tcPr>
            <w:tcW w:w="3570" w:type="dxa"/>
            <w:shd w:val="clear" w:color="auto" w:fill="auto"/>
            <w:tcMar>
              <w:top w:w="100" w:type="dxa"/>
              <w:left w:w="100" w:type="dxa"/>
              <w:bottom w:w="100" w:type="dxa"/>
              <w:right w:w="100" w:type="dxa"/>
            </w:tcMar>
          </w:tcPr>
          <w:p w14:paraId="40D7AC45"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2nd</w:t>
            </w:r>
          </w:p>
        </w:tc>
        <w:tc>
          <w:tcPr>
            <w:tcW w:w="9390" w:type="dxa"/>
            <w:shd w:val="clear" w:color="auto" w:fill="auto"/>
            <w:tcMar>
              <w:top w:w="100" w:type="dxa"/>
              <w:left w:w="100" w:type="dxa"/>
              <w:bottom w:w="100" w:type="dxa"/>
              <w:right w:w="100" w:type="dxa"/>
            </w:tcMar>
          </w:tcPr>
          <w:p w14:paraId="2CF8A3D7"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29%</w:t>
            </w:r>
          </w:p>
        </w:tc>
      </w:tr>
      <w:tr w:rsidR="001160C2" w14:paraId="13E50475" w14:textId="77777777">
        <w:tc>
          <w:tcPr>
            <w:tcW w:w="3570" w:type="dxa"/>
            <w:shd w:val="clear" w:color="auto" w:fill="auto"/>
            <w:tcMar>
              <w:top w:w="100" w:type="dxa"/>
              <w:left w:w="100" w:type="dxa"/>
              <w:bottom w:w="100" w:type="dxa"/>
              <w:right w:w="100" w:type="dxa"/>
            </w:tcMar>
          </w:tcPr>
          <w:p w14:paraId="268B8A43"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3rd</w:t>
            </w:r>
          </w:p>
        </w:tc>
        <w:tc>
          <w:tcPr>
            <w:tcW w:w="9390" w:type="dxa"/>
            <w:shd w:val="clear" w:color="auto" w:fill="auto"/>
            <w:tcMar>
              <w:top w:w="100" w:type="dxa"/>
              <w:left w:w="100" w:type="dxa"/>
              <w:bottom w:w="100" w:type="dxa"/>
              <w:right w:w="100" w:type="dxa"/>
            </w:tcMar>
          </w:tcPr>
          <w:p w14:paraId="5243F399"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43%</w:t>
            </w:r>
          </w:p>
        </w:tc>
      </w:tr>
      <w:tr w:rsidR="001160C2" w14:paraId="694938BD" w14:textId="77777777">
        <w:tc>
          <w:tcPr>
            <w:tcW w:w="3570" w:type="dxa"/>
            <w:shd w:val="clear" w:color="auto" w:fill="auto"/>
            <w:tcMar>
              <w:top w:w="100" w:type="dxa"/>
              <w:left w:w="100" w:type="dxa"/>
              <w:bottom w:w="100" w:type="dxa"/>
              <w:right w:w="100" w:type="dxa"/>
            </w:tcMar>
          </w:tcPr>
          <w:p w14:paraId="53E8C81B"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4th</w:t>
            </w:r>
          </w:p>
        </w:tc>
        <w:tc>
          <w:tcPr>
            <w:tcW w:w="9390" w:type="dxa"/>
            <w:shd w:val="clear" w:color="auto" w:fill="auto"/>
            <w:tcMar>
              <w:top w:w="100" w:type="dxa"/>
              <w:left w:w="100" w:type="dxa"/>
              <w:bottom w:w="100" w:type="dxa"/>
              <w:right w:w="100" w:type="dxa"/>
            </w:tcMar>
          </w:tcPr>
          <w:p w14:paraId="24519837"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52%</w:t>
            </w:r>
          </w:p>
        </w:tc>
      </w:tr>
      <w:tr w:rsidR="001160C2" w14:paraId="553D5C40" w14:textId="77777777">
        <w:tc>
          <w:tcPr>
            <w:tcW w:w="3570" w:type="dxa"/>
            <w:shd w:val="clear" w:color="auto" w:fill="auto"/>
            <w:tcMar>
              <w:top w:w="100" w:type="dxa"/>
              <w:left w:w="100" w:type="dxa"/>
              <w:bottom w:w="100" w:type="dxa"/>
              <w:right w:w="100" w:type="dxa"/>
            </w:tcMar>
          </w:tcPr>
          <w:p w14:paraId="3912A4CB"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5th</w:t>
            </w:r>
          </w:p>
        </w:tc>
        <w:tc>
          <w:tcPr>
            <w:tcW w:w="9390" w:type="dxa"/>
            <w:shd w:val="clear" w:color="auto" w:fill="auto"/>
            <w:tcMar>
              <w:top w:w="100" w:type="dxa"/>
              <w:left w:w="100" w:type="dxa"/>
              <w:bottom w:w="100" w:type="dxa"/>
              <w:right w:w="100" w:type="dxa"/>
            </w:tcMar>
          </w:tcPr>
          <w:p w14:paraId="1B48DC6F"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47%</w:t>
            </w:r>
          </w:p>
        </w:tc>
      </w:tr>
      <w:tr w:rsidR="001160C2" w14:paraId="3FF9442E" w14:textId="77777777">
        <w:tc>
          <w:tcPr>
            <w:tcW w:w="3570" w:type="dxa"/>
            <w:shd w:val="clear" w:color="auto" w:fill="auto"/>
            <w:tcMar>
              <w:top w:w="100" w:type="dxa"/>
              <w:left w:w="100" w:type="dxa"/>
              <w:bottom w:w="100" w:type="dxa"/>
              <w:right w:w="100" w:type="dxa"/>
            </w:tcMar>
          </w:tcPr>
          <w:p w14:paraId="2E08D97E"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6th</w:t>
            </w:r>
          </w:p>
        </w:tc>
        <w:tc>
          <w:tcPr>
            <w:tcW w:w="9390" w:type="dxa"/>
            <w:shd w:val="clear" w:color="auto" w:fill="auto"/>
            <w:tcMar>
              <w:top w:w="100" w:type="dxa"/>
              <w:left w:w="100" w:type="dxa"/>
              <w:bottom w:w="100" w:type="dxa"/>
              <w:right w:w="100" w:type="dxa"/>
            </w:tcMar>
          </w:tcPr>
          <w:p w14:paraId="248C933D"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54%</w:t>
            </w:r>
          </w:p>
        </w:tc>
      </w:tr>
      <w:tr w:rsidR="001160C2" w14:paraId="0762FBCB" w14:textId="77777777">
        <w:tc>
          <w:tcPr>
            <w:tcW w:w="3570" w:type="dxa"/>
            <w:shd w:val="clear" w:color="auto" w:fill="auto"/>
            <w:tcMar>
              <w:top w:w="100" w:type="dxa"/>
              <w:left w:w="100" w:type="dxa"/>
              <w:bottom w:w="100" w:type="dxa"/>
              <w:right w:w="100" w:type="dxa"/>
            </w:tcMar>
          </w:tcPr>
          <w:p w14:paraId="58B97B51"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7th</w:t>
            </w:r>
          </w:p>
        </w:tc>
        <w:tc>
          <w:tcPr>
            <w:tcW w:w="9390" w:type="dxa"/>
            <w:shd w:val="clear" w:color="auto" w:fill="auto"/>
            <w:tcMar>
              <w:top w:w="100" w:type="dxa"/>
              <w:left w:w="100" w:type="dxa"/>
              <w:bottom w:w="100" w:type="dxa"/>
              <w:right w:w="100" w:type="dxa"/>
            </w:tcMar>
          </w:tcPr>
          <w:p w14:paraId="5EBCADC3"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60%</w:t>
            </w:r>
          </w:p>
        </w:tc>
      </w:tr>
      <w:tr w:rsidR="001160C2" w14:paraId="70BD2197" w14:textId="77777777">
        <w:tc>
          <w:tcPr>
            <w:tcW w:w="3570" w:type="dxa"/>
            <w:shd w:val="clear" w:color="auto" w:fill="auto"/>
            <w:tcMar>
              <w:top w:w="100" w:type="dxa"/>
              <w:left w:w="100" w:type="dxa"/>
              <w:bottom w:w="100" w:type="dxa"/>
              <w:right w:w="100" w:type="dxa"/>
            </w:tcMar>
          </w:tcPr>
          <w:p w14:paraId="7B624813"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8th</w:t>
            </w:r>
          </w:p>
        </w:tc>
        <w:tc>
          <w:tcPr>
            <w:tcW w:w="9390" w:type="dxa"/>
            <w:shd w:val="clear" w:color="auto" w:fill="auto"/>
            <w:tcMar>
              <w:top w:w="100" w:type="dxa"/>
              <w:left w:w="100" w:type="dxa"/>
              <w:bottom w:w="100" w:type="dxa"/>
              <w:right w:w="100" w:type="dxa"/>
            </w:tcMar>
          </w:tcPr>
          <w:p w14:paraId="0473FCFD"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66%</w:t>
            </w:r>
          </w:p>
        </w:tc>
      </w:tr>
      <w:tr w:rsidR="001160C2" w14:paraId="3BD28D30" w14:textId="77777777">
        <w:tc>
          <w:tcPr>
            <w:tcW w:w="3570" w:type="dxa"/>
            <w:shd w:val="clear" w:color="auto" w:fill="auto"/>
            <w:tcMar>
              <w:top w:w="100" w:type="dxa"/>
              <w:left w:w="100" w:type="dxa"/>
              <w:bottom w:w="100" w:type="dxa"/>
              <w:right w:w="100" w:type="dxa"/>
            </w:tcMar>
          </w:tcPr>
          <w:p w14:paraId="22BE9A17"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9th</w:t>
            </w:r>
          </w:p>
        </w:tc>
        <w:tc>
          <w:tcPr>
            <w:tcW w:w="9390" w:type="dxa"/>
            <w:shd w:val="clear" w:color="auto" w:fill="auto"/>
            <w:tcMar>
              <w:top w:w="100" w:type="dxa"/>
              <w:left w:w="100" w:type="dxa"/>
              <w:bottom w:w="100" w:type="dxa"/>
              <w:right w:w="100" w:type="dxa"/>
            </w:tcMar>
          </w:tcPr>
          <w:p w14:paraId="052A1E21"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68%</w:t>
            </w:r>
          </w:p>
        </w:tc>
      </w:tr>
      <w:tr w:rsidR="001160C2" w14:paraId="512F2196" w14:textId="77777777">
        <w:tc>
          <w:tcPr>
            <w:tcW w:w="3570" w:type="dxa"/>
            <w:shd w:val="clear" w:color="auto" w:fill="auto"/>
            <w:tcMar>
              <w:top w:w="100" w:type="dxa"/>
              <w:left w:w="100" w:type="dxa"/>
              <w:bottom w:w="100" w:type="dxa"/>
              <w:right w:w="100" w:type="dxa"/>
            </w:tcMar>
          </w:tcPr>
          <w:p w14:paraId="177F42EE"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10th</w:t>
            </w:r>
          </w:p>
        </w:tc>
        <w:tc>
          <w:tcPr>
            <w:tcW w:w="9390" w:type="dxa"/>
            <w:shd w:val="clear" w:color="auto" w:fill="auto"/>
            <w:tcMar>
              <w:top w:w="100" w:type="dxa"/>
              <w:left w:w="100" w:type="dxa"/>
              <w:bottom w:w="100" w:type="dxa"/>
              <w:right w:w="100" w:type="dxa"/>
            </w:tcMar>
          </w:tcPr>
          <w:p w14:paraId="08376BCC"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70%</w:t>
            </w:r>
          </w:p>
        </w:tc>
      </w:tr>
      <w:tr w:rsidR="001160C2" w14:paraId="6C639A6B" w14:textId="77777777">
        <w:tc>
          <w:tcPr>
            <w:tcW w:w="3570" w:type="dxa"/>
            <w:shd w:val="clear" w:color="auto" w:fill="auto"/>
            <w:tcMar>
              <w:top w:w="100" w:type="dxa"/>
              <w:left w:w="100" w:type="dxa"/>
              <w:bottom w:w="100" w:type="dxa"/>
              <w:right w:w="100" w:type="dxa"/>
            </w:tcMar>
          </w:tcPr>
          <w:p w14:paraId="18286557"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11th</w:t>
            </w:r>
          </w:p>
        </w:tc>
        <w:tc>
          <w:tcPr>
            <w:tcW w:w="9390" w:type="dxa"/>
            <w:shd w:val="clear" w:color="auto" w:fill="auto"/>
            <w:tcMar>
              <w:top w:w="100" w:type="dxa"/>
              <w:left w:w="100" w:type="dxa"/>
              <w:bottom w:w="100" w:type="dxa"/>
              <w:right w:w="100" w:type="dxa"/>
            </w:tcMar>
          </w:tcPr>
          <w:p w14:paraId="60C47905"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72%</w:t>
            </w:r>
          </w:p>
        </w:tc>
      </w:tr>
      <w:tr w:rsidR="001160C2" w14:paraId="35DA5496" w14:textId="77777777">
        <w:tc>
          <w:tcPr>
            <w:tcW w:w="3570" w:type="dxa"/>
            <w:shd w:val="clear" w:color="auto" w:fill="auto"/>
            <w:tcMar>
              <w:top w:w="100" w:type="dxa"/>
              <w:left w:w="100" w:type="dxa"/>
              <w:bottom w:w="100" w:type="dxa"/>
              <w:right w:w="100" w:type="dxa"/>
            </w:tcMar>
          </w:tcPr>
          <w:p w14:paraId="4427E066"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12th</w:t>
            </w:r>
          </w:p>
        </w:tc>
        <w:tc>
          <w:tcPr>
            <w:tcW w:w="9390" w:type="dxa"/>
            <w:shd w:val="clear" w:color="auto" w:fill="auto"/>
            <w:tcMar>
              <w:top w:w="100" w:type="dxa"/>
              <w:left w:w="100" w:type="dxa"/>
              <w:bottom w:w="100" w:type="dxa"/>
              <w:right w:w="100" w:type="dxa"/>
            </w:tcMar>
          </w:tcPr>
          <w:p w14:paraId="48D887B0" w14:textId="77777777" w:rsidR="001160C2" w:rsidRDefault="00C309C9">
            <w:pPr>
              <w:widowControl w:val="0"/>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73%</w:t>
            </w:r>
          </w:p>
        </w:tc>
      </w:tr>
    </w:tbl>
    <w:p w14:paraId="13EBDCAE" w14:textId="77777777" w:rsidR="001160C2" w:rsidRDefault="001160C2">
      <w:pPr>
        <w:rPr>
          <w:rFonts w:ascii="Century Gothic" w:eastAsia="Century Gothic" w:hAnsi="Century Gothic" w:cs="Century Gothic"/>
          <w:b/>
        </w:rPr>
      </w:pPr>
    </w:p>
    <w:p w14:paraId="5A7DBF0C" w14:textId="77777777" w:rsidR="001160C2" w:rsidRDefault="001160C2">
      <w:pPr>
        <w:rPr>
          <w:rFonts w:ascii="Century Gothic" w:eastAsia="Century Gothic" w:hAnsi="Century Gothic" w:cs="Century Gothic"/>
          <w:i/>
          <w:sz w:val="20"/>
          <w:szCs w:val="20"/>
        </w:rPr>
      </w:pPr>
    </w:p>
    <w:p w14:paraId="25172646" w14:textId="77777777" w:rsidR="001160C2" w:rsidRDefault="00C309C9">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Takeaways </w:t>
      </w:r>
    </w:p>
    <w:p w14:paraId="04240906" w14:textId="77777777" w:rsidR="001160C2" w:rsidRDefault="00C309C9">
      <w:pPr>
        <w:rPr>
          <w:rFonts w:ascii="Century Gothic" w:eastAsia="Century Gothic" w:hAnsi="Century Gothic" w:cs="Century Gothic"/>
        </w:rPr>
      </w:pPr>
      <w:r>
        <w:rPr>
          <w:rFonts w:ascii="Century Gothic" w:eastAsia="Century Gothic" w:hAnsi="Century Gothic" w:cs="Century Gothic"/>
        </w:rPr>
        <w:lastRenderedPageBreak/>
        <w:t xml:space="preserve">If English Learners have not reclassified by the </w:t>
      </w:r>
      <w:proofErr w:type="gramStart"/>
      <w:r>
        <w:rPr>
          <w:rFonts w:ascii="Century Gothic" w:eastAsia="Century Gothic" w:hAnsi="Century Gothic" w:cs="Century Gothic"/>
        </w:rPr>
        <w:t>time</w:t>
      </w:r>
      <w:proofErr w:type="gramEnd"/>
      <w:r>
        <w:rPr>
          <w:rFonts w:ascii="Century Gothic" w:eastAsia="Century Gothic" w:hAnsi="Century Gothic" w:cs="Century Gothic"/>
        </w:rPr>
        <w:t xml:space="preserve"> they leave elementary school, there is only a 50% chance that they will ever get reclassified while in Fresno public schools.</w:t>
      </w:r>
    </w:p>
    <w:p w14:paraId="757AEA7E" w14:textId="77777777" w:rsidR="001160C2" w:rsidRDefault="001160C2">
      <w:pPr>
        <w:rPr>
          <w:rFonts w:ascii="Century Gothic" w:eastAsia="Century Gothic" w:hAnsi="Century Gothic" w:cs="Century Gothic"/>
        </w:rPr>
      </w:pPr>
    </w:p>
    <w:p w14:paraId="0782D046" w14:textId="77777777" w:rsidR="001160C2" w:rsidRDefault="00C309C9">
      <w:pPr>
        <w:rPr>
          <w:rFonts w:ascii="Century Gothic" w:eastAsia="Century Gothic" w:hAnsi="Century Gothic" w:cs="Century Gothic"/>
        </w:rPr>
      </w:pPr>
      <w:r>
        <w:rPr>
          <w:rFonts w:ascii="Century Gothic" w:eastAsia="Century Gothic" w:hAnsi="Century Gothic" w:cs="Century Gothic"/>
        </w:rPr>
        <w:t xml:space="preserve">While Fresno public schools reclassify students in grades 2, 3, and 4 at a faster rate than the state of California, the data shows that more than a quarter of English Learners do not reclassify before leaving Fresno high schools. </w:t>
      </w:r>
    </w:p>
    <w:p w14:paraId="407CC181" w14:textId="77777777" w:rsidR="001160C2" w:rsidRDefault="001160C2">
      <w:pPr>
        <w:rPr>
          <w:rFonts w:ascii="Century Gothic" w:eastAsia="Century Gothic" w:hAnsi="Century Gothic" w:cs="Century Gothic"/>
          <w:b/>
        </w:rPr>
      </w:pPr>
    </w:p>
    <w:p w14:paraId="0D1854EC" w14:textId="77777777" w:rsidR="001160C2" w:rsidRDefault="00C309C9">
      <w:pPr>
        <w:rPr>
          <w:rFonts w:ascii="Century Gothic" w:eastAsia="Century Gothic" w:hAnsi="Century Gothic" w:cs="Century Gothic"/>
          <w:b/>
        </w:rPr>
      </w:pPr>
      <w:r>
        <w:rPr>
          <w:rFonts w:ascii="Century Gothic" w:eastAsia="Century Gothic" w:hAnsi="Century Gothic" w:cs="Century Gothic"/>
          <w:b/>
          <w:sz w:val="24"/>
          <w:szCs w:val="24"/>
        </w:rPr>
        <w:t>What committees can I join or what meetings can I attend to support English Learner outcomes?</w:t>
      </w:r>
      <w:r>
        <w:rPr>
          <w:rFonts w:ascii="Century Gothic" w:eastAsia="Century Gothic" w:hAnsi="Century Gothic" w:cs="Century Gothic"/>
          <w:b/>
        </w:rPr>
        <w:t xml:space="preserve"> </w:t>
      </w:r>
    </w:p>
    <w:p w14:paraId="797E9A27" w14:textId="77777777" w:rsidR="001160C2" w:rsidRDefault="001160C2">
      <w:pPr>
        <w:rPr>
          <w:rFonts w:ascii="Century Gothic" w:eastAsia="Century Gothic" w:hAnsi="Century Gothic" w:cs="Century Gothic"/>
          <w:b/>
        </w:rPr>
      </w:pPr>
    </w:p>
    <w:p w14:paraId="08ECC1C2" w14:textId="77777777" w:rsidR="001160C2" w:rsidRDefault="009916E9">
      <w:pPr>
        <w:rPr>
          <w:rFonts w:ascii="Century Gothic" w:eastAsia="Century Gothic" w:hAnsi="Century Gothic" w:cs="Century Gothic"/>
        </w:rPr>
      </w:pPr>
      <w:hyperlink r:id="rId7" w:anchor="who-can-serve-on-the-elac">
        <w:r w:rsidR="00C309C9">
          <w:rPr>
            <w:rFonts w:ascii="Century Gothic" w:eastAsia="Century Gothic" w:hAnsi="Century Gothic" w:cs="Century Gothic"/>
            <w:b/>
            <w:color w:val="1155CC"/>
            <w:u w:val="single"/>
          </w:rPr>
          <w:t>Consider joining an English Learner Advisory Committee (ELAC).</w:t>
        </w:r>
      </w:hyperlink>
      <w:r w:rsidR="00C309C9">
        <w:rPr>
          <w:rFonts w:ascii="Century Gothic" w:eastAsia="Century Gothic" w:hAnsi="Century Gothic" w:cs="Century Gothic"/>
          <w:b/>
        </w:rPr>
        <w:t xml:space="preserve"> </w:t>
      </w:r>
      <w:r w:rsidR="00C309C9">
        <w:rPr>
          <w:rFonts w:ascii="Century Gothic" w:eastAsia="Century Gothic" w:hAnsi="Century Gothic" w:cs="Century Gothic"/>
        </w:rPr>
        <w:t xml:space="preserve">Fresno Unified defines the ELAC as “a group of parents and community members who advise and assist schools in making important decisions related to services for English Learners.” </w:t>
      </w:r>
      <w:r w:rsidR="00C309C9">
        <w:rPr>
          <w:rFonts w:ascii="Century Gothic" w:eastAsia="Century Gothic" w:hAnsi="Century Gothic" w:cs="Century Gothic"/>
          <w:b/>
        </w:rPr>
        <w:t>By law, an ELAC must be formed at any school that serves more than 20 identified English Learners.</w:t>
      </w:r>
      <w:r w:rsidR="00C309C9">
        <w:rPr>
          <w:rFonts w:ascii="Century Gothic" w:eastAsia="Century Gothic" w:hAnsi="Century Gothic" w:cs="Century Gothic"/>
        </w:rPr>
        <w:t xml:space="preserve"> </w:t>
      </w:r>
    </w:p>
    <w:p w14:paraId="7DD1DF0D" w14:textId="77777777" w:rsidR="001160C2" w:rsidRDefault="001160C2">
      <w:pPr>
        <w:rPr>
          <w:rFonts w:ascii="Century Gothic" w:eastAsia="Century Gothic" w:hAnsi="Century Gothic" w:cs="Century Gothic"/>
        </w:rPr>
      </w:pPr>
    </w:p>
    <w:p w14:paraId="77670309" w14:textId="77777777" w:rsidR="001160C2" w:rsidRDefault="00C309C9">
      <w:pPr>
        <w:rPr>
          <w:rFonts w:ascii="Century Gothic" w:eastAsia="Century Gothic" w:hAnsi="Century Gothic" w:cs="Century Gothic"/>
        </w:rPr>
      </w:pPr>
      <w:r>
        <w:rPr>
          <w:rFonts w:ascii="Century Gothic" w:eastAsia="Century Gothic" w:hAnsi="Century Gothic" w:cs="Century Gothic"/>
        </w:rPr>
        <w:t xml:space="preserve">ELAC meetings are an excellent way to better understand the support English Learners receive at a given site. ELAC members also have the opportunity to give feedback on the school site’s academic service plan for English Learners. </w:t>
      </w:r>
    </w:p>
    <w:p w14:paraId="45EC604A" w14:textId="77777777" w:rsidR="001160C2" w:rsidRDefault="001160C2">
      <w:pPr>
        <w:rPr>
          <w:rFonts w:ascii="Century Gothic" w:eastAsia="Century Gothic" w:hAnsi="Century Gothic" w:cs="Century Gothic"/>
          <w:b/>
        </w:rPr>
      </w:pPr>
    </w:p>
    <w:p w14:paraId="1836BFA4" w14:textId="77777777" w:rsidR="001160C2" w:rsidRDefault="009916E9">
      <w:pPr>
        <w:rPr>
          <w:rFonts w:ascii="Century Gothic" w:eastAsia="Century Gothic" w:hAnsi="Century Gothic" w:cs="Century Gothic"/>
        </w:rPr>
      </w:pPr>
      <w:hyperlink r:id="rId8">
        <w:r w:rsidR="00C309C9">
          <w:rPr>
            <w:rFonts w:ascii="Century Gothic" w:eastAsia="Century Gothic" w:hAnsi="Century Gothic" w:cs="Century Gothic"/>
            <w:b/>
            <w:color w:val="1155CC"/>
            <w:u w:val="single"/>
          </w:rPr>
          <w:t>Attend an LCAP meeting</w:t>
        </w:r>
      </w:hyperlink>
      <w:r w:rsidR="00C309C9">
        <w:rPr>
          <w:rFonts w:ascii="Century Gothic" w:eastAsia="Century Gothic" w:hAnsi="Century Gothic" w:cs="Century Gothic"/>
          <w:b/>
        </w:rPr>
        <w:t xml:space="preserve">. </w:t>
      </w:r>
      <w:r w:rsidR="00C309C9">
        <w:rPr>
          <w:rFonts w:ascii="Century Gothic" w:eastAsia="Century Gothic" w:hAnsi="Century Gothic" w:cs="Century Gothic"/>
          <w:highlight w:val="white"/>
        </w:rPr>
        <w:t>Every year, the district receives money specifically to help it better serve English Learners, low-income students, and foster youth. The Local Control and Accountability Plan (LCAP) is where the district explains how they are going to use that particular money.</w:t>
      </w:r>
      <w:r w:rsidR="00C309C9">
        <w:rPr>
          <w:rFonts w:ascii="Century Gothic" w:eastAsia="Century Gothic" w:hAnsi="Century Gothic" w:cs="Century Gothic"/>
        </w:rPr>
        <w:t xml:space="preserve"> FUSD seeks community annual input on its LCAP and makes a set of revisions based on the feedback received before the next school year begins. These feedback sessions are a chance for the families of English Learners to learn more about the success and gaps in the current programming offered to their children and to advocate for what they want to be different in the coming year. </w:t>
      </w:r>
    </w:p>
    <w:p w14:paraId="0762B85E" w14:textId="77777777" w:rsidR="001160C2" w:rsidRDefault="001160C2">
      <w:pPr>
        <w:rPr>
          <w:rFonts w:ascii="Century Gothic" w:eastAsia="Century Gothic" w:hAnsi="Century Gothic" w:cs="Century Gothic"/>
        </w:rPr>
      </w:pPr>
    </w:p>
    <w:p w14:paraId="7147B40E" w14:textId="77777777" w:rsidR="001160C2" w:rsidRDefault="001160C2">
      <w:pPr>
        <w:rPr>
          <w:rFonts w:ascii="Century Gothic" w:eastAsia="Century Gothic" w:hAnsi="Century Gothic" w:cs="Century Gothic"/>
          <w:b/>
        </w:rPr>
      </w:pPr>
    </w:p>
    <w:p w14:paraId="66D368FB" w14:textId="77777777" w:rsidR="001160C2" w:rsidRDefault="001160C2">
      <w:pPr>
        <w:rPr>
          <w:rFonts w:ascii="Century Gothic" w:eastAsia="Century Gothic" w:hAnsi="Century Gothic" w:cs="Century Gothic"/>
          <w:b/>
        </w:rPr>
      </w:pPr>
    </w:p>
    <w:p w14:paraId="576F549A" w14:textId="77777777" w:rsidR="001160C2" w:rsidRDefault="001160C2">
      <w:pPr>
        <w:rPr>
          <w:rFonts w:ascii="Century Gothic" w:eastAsia="Century Gothic" w:hAnsi="Century Gothic" w:cs="Century Gothic"/>
        </w:rPr>
      </w:pPr>
    </w:p>
    <w:sectPr w:rsidR="001160C2">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7060" w14:textId="77777777" w:rsidR="009916E9" w:rsidRDefault="009916E9" w:rsidP="00EB6312">
      <w:pPr>
        <w:spacing w:line="240" w:lineRule="auto"/>
      </w:pPr>
      <w:r>
        <w:separator/>
      </w:r>
    </w:p>
  </w:endnote>
  <w:endnote w:type="continuationSeparator" w:id="0">
    <w:p w14:paraId="6F99D0C4" w14:textId="77777777" w:rsidR="009916E9" w:rsidRDefault="009916E9" w:rsidP="00EB6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673C" w14:textId="77777777" w:rsidR="009916E9" w:rsidRDefault="009916E9" w:rsidP="00EB6312">
      <w:pPr>
        <w:spacing w:line="240" w:lineRule="auto"/>
      </w:pPr>
      <w:r>
        <w:separator/>
      </w:r>
    </w:p>
  </w:footnote>
  <w:footnote w:type="continuationSeparator" w:id="0">
    <w:p w14:paraId="402501E2" w14:textId="77777777" w:rsidR="009916E9" w:rsidRDefault="009916E9" w:rsidP="00EB63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0C2"/>
    <w:rsid w:val="001160C2"/>
    <w:rsid w:val="008B6318"/>
    <w:rsid w:val="009916E9"/>
    <w:rsid w:val="00C309C9"/>
    <w:rsid w:val="00EB631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4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6312"/>
    <w:pPr>
      <w:tabs>
        <w:tab w:val="center" w:pos="4680"/>
        <w:tab w:val="right" w:pos="9360"/>
      </w:tabs>
      <w:spacing w:line="240" w:lineRule="auto"/>
    </w:pPr>
  </w:style>
  <w:style w:type="character" w:customStyle="1" w:styleId="HeaderChar">
    <w:name w:val="Header Char"/>
    <w:basedOn w:val="DefaultParagraphFont"/>
    <w:link w:val="Header"/>
    <w:uiPriority w:val="99"/>
    <w:rsid w:val="00EB6312"/>
  </w:style>
  <w:style w:type="paragraph" w:styleId="Footer">
    <w:name w:val="footer"/>
    <w:basedOn w:val="Normal"/>
    <w:link w:val="FooterChar"/>
    <w:uiPriority w:val="99"/>
    <w:unhideWhenUsed/>
    <w:rsid w:val="00EB6312"/>
    <w:pPr>
      <w:tabs>
        <w:tab w:val="center" w:pos="4680"/>
        <w:tab w:val="right" w:pos="9360"/>
      </w:tabs>
      <w:spacing w:line="240" w:lineRule="auto"/>
    </w:pPr>
  </w:style>
  <w:style w:type="character" w:customStyle="1" w:styleId="FooterChar">
    <w:name w:val="Footer Char"/>
    <w:basedOn w:val="DefaultParagraphFont"/>
    <w:link w:val="Footer"/>
    <w:uiPriority w:val="99"/>
    <w:rsid w:val="00EB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fed.fresnounified.org/lcap/" TargetMode="External"/><Relationship Id="rId3" Type="http://schemas.openxmlformats.org/officeDocument/2006/relationships/webSettings" Target="webSettings.xml"/><Relationship Id="rId7" Type="http://schemas.openxmlformats.org/officeDocument/2006/relationships/hyperlink" Target="https://els.fresnounified.org/el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2021-05-05T03:47:00Z</dcterms:created>
  <dcterms:modified xsi:type="dcterms:W3CDTF">2021-05-05T03:47:00Z</dcterms:modified>
</cp:coreProperties>
</file>