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9A55" w14:textId="52235901" w:rsidR="00877C54" w:rsidRDefault="00877C54" w:rsidP="00877C54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LHTF Translation</w:t>
      </w:r>
    </w:p>
    <w:p w14:paraId="311A4D56" w14:textId="77777777" w:rsidR="00877C54" w:rsidRDefault="00877C54" w:rsidP="00877C54">
      <w:pPr>
        <w:jc w:val="center"/>
      </w:pPr>
    </w:p>
    <w:tbl>
      <w:tblPr>
        <w:tblStyle w:val="TableGrid"/>
        <w:tblW w:w="21634" w:type="dxa"/>
        <w:tblLook w:val="04A0" w:firstRow="1" w:lastRow="0" w:firstColumn="1" w:lastColumn="0" w:noHBand="0" w:noVBand="1"/>
      </w:tblPr>
      <w:tblGrid>
        <w:gridCol w:w="5407"/>
        <w:gridCol w:w="5407"/>
        <w:gridCol w:w="5410"/>
        <w:gridCol w:w="5410"/>
      </w:tblGrid>
      <w:tr w:rsidR="00877C54" w:rsidRPr="006A4E0E" w14:paraId="7B9E3797" w14:textId="77777777" w:rsidTr="001805C4">
        <w:trPr>
          <w:trHeight w:val="530"/>
        </w:trPr>
        <w:tc>
          <w:tcPr>
            <w:tcW w:w="5407" w:type="dxa"/>
          </w:tcPr>
          <w:p w14:paraId="24D71586" w14:textId="77777777" w:rsidR="00877C54" w:rsidRPr="006A4E0E" w:rsidRDefault="00877C54" w:rsidP="001805C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A4E0E">
              <w:rPr>
                <w:rFonts w:ascii="Arial" w:eastAsia="Times New Roman" w:hAnsi="Arial" w:cs="Arial"/>
                <w:sz w:val="24"/>
                <w:szCs w:val="24"/>
              </w:rPr>
              <w:t>English</w:t>
            </w:r>
          </w:p>
        </w:tc>
        <w:tc>
          <w:tcPr>
            <w:tcW w:w="5407" w:type="dxa"/>
          </w:tcPr>
          <w:p w14:paraId="6A617451" w14:textId="77777777" w:rsidR="00877C54" w:rsidRPr="006A4E0E" w:rsidRDefault="00877C54" w:rsidP="001805C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A4E0E">
              <w:rPr>
                <w:rFonts w:ascii="Arial" w:eastAsia="Times New Roman" w:hAnsi="Arial" w:cs="Arial"/>
                <w:sz w:val="24"/>
                <w:szCs w:val="24"/>
              </w:rPr>
              <w:t>Spanish</w:t>
            </w:r>
          </w:p>
        </w:tc>
        <w:tc>
          <w:tcPr>
            <w:tcW w:w="5410" w:type="dxa"/>
          </w:tcPr>
          <w:p w14:paraId="37B841EF" w14:textId="77777777" w:rsidR="00877C54" w:rsidRPr="006A4E0E" w:rsidRDefault="00877C54" w:rsidP="001805C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A4E0E">
              <w:rPr>
                <w:rFonts w:ascii="Arial" w:eastAsia="Times New Roman" w:hAnsi="Arial" w:cs="Arial"/>
                <w:sz w:val="24"/>
                <w:szCs w:val="24"/>
              </w:rPr>
              <w:t>Hmong</w:t>
            </w:r>
          </w:p>
        </w:tc>
        <w:tc>
          <w:tcPr>
            <w:tcW w:w="5410" w:type="dxa"/>
          </w:tcPr>
          <w:p w14:paraId="32C646FD" w14:textId="77777777" w:rsidR="00877C54" w:rsidRPr="006A4E0E" w:rsidRDefault="00877C54" w:rsidP="001805C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A4E0E">
              <w:rPr>
                <w:rFonts w:ascii="Arial" w:eastAsia="Times New Roman" w:hAnsi="Arial" w:cs="Arial"/>
                <w:sz w:val="24"/>
                <w:szCs w:val="24"/>
              </w:rPr>
              <w:t>Punjabi</w:t>
            </w:r>
          </w:p>
        </w:tc>
      </w:tr>
    </w:tbl>
    <w:p w14:paraId="4243245F" w14:textId="77777777" w:rsidR="00877C54" w:rsidRDefault="00877C54">
      <w:pPr>
        <w:rPr>
          <w:color w:val="7030A0"/>
          <w:sz w:val="32"/>
          <w:szCs w:val="32"/>
        </w:rPr>
      </w:pPr>
    </w:p>
    <w:p w14:paraId="71372E2A" w14:textId="4824AE65" w:rsidR="006A4E0E" w:rsidRPr="006A4E0E" w:rsidRDefault="006A4E0E">
      <w:pPr>
        <w:rPr>
          <w:color w:val="7030A0"/>
          <w:sz w:val="32"/>
          <w:szCs w:val="32"/>
        </w:rPr>
      </w:pPr>
      <w:r w:rsidRPr="006A4E0E">
        <w:rPr>
          <w:color w:val="7030A0"/>
          <w:sz w:val="32"/>
          <w:szCs w:val="32"/>
        </w:rPr>
        <w:t>Priority Categories</w:t>
      </w:r>
    </w:p>
    <w:tbl>
      <w:tblPr>
        <w:tblStyle w:val="TableGrid"/>
        <w:tblW w:w="21634" w:type="dxa"/>
        <w:tblLook w:val="04A0" w:firstRow="1" w:lastRow="0" w:firstColumn="1" w:lastColumn="0" w:noHBand="0" w:noVBand="1"/>
      </w:tblPr>
      <w:tblGrid>
        <w:gridCol w:w="5407"/>
        <w:gridCol w:w="5407"/>
        <w:gridCol w:w="5410"/>
        <w:gridCol w:w="5410"/>
      </w:tblGrid>
      <w:tr w:rsidR="006A4E0E" w:rsidRPr="006A4E0E" w14:paraId="4F7B6D73" w14:textId="77777777" w:rsidTr="006A4E0E">
        <w:trPr>
          <w:trHeight w:val="255"/>
        </w:trPr>
        <w:tc>
          <w:tcPr>
            <w:tcW w:w="5407" w:type="dxa"/>
          </w:tcPr>
          <w:p w14:paraId="2EBE43F7" w14:textId="77777777" w:rsidR="006A4E0E" w:rsidRPr="006A4E0E" w:rsidRDefault="006A4E0E" w:rsidP="006A4E0E">
            <w:pPr>
              <w:pStyle w:val="Pa0"/>
              <w:rPr>
                <w:color w:val="211D1E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Location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. Promote new affordable housing in areas of high-opportunity, in our Downtown neighborhoods, on Housing Element sites already identified for affordable housing, or near high-frequency transit. </w:t>
            </w:r>
          </w:p>
          <w:p w14:paraId="544221B0" w14:textId="77777777" w:rsidR="006A4E0E" w:rsidRPr="006A4E0E" w:rsidRDefault="006A4E0E" w:rsidP="006A4E0E">
            <w:pPr>
              <w:rPr>
                <w:rStyle w:val="A0"/>
                <w:rFonts w:ascii="Arial" w:hAnsi="Arial" w:cs="Arial"/>
                <w:sz w:val="24"/>
                <w:szCs w:val="24"/>
              </w:rPr>
            </w:pPr>
          </w:p>
          <w:p w14:paraId="44EF4DCB" w14:textId="08134E4F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>Location helps residents access resources efficiently, promotes equity in higher-income neighborhoods and new investment in existing neighborhoods.</w:t>
            </w:r>
          </w:p>
        </w:tc>
        <w:tc>
          <w:tcPr>
            <w:tcW w:w="5407" w:type="dxa"/>
          </w:tcPr>
          <w:p w14:paraId="2B8841E2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25544C7A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2E06A1D6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5FA62FDD" w14:textId="77777777" w:rsidTr="006A4E0E">
        <w:trPr>
          <w:trHeight w:val="255"/>
        </w:trPr>
        <w:tc>
          <w:tcPr>
            <w:tcW w:w="5407" w:type="dxa"/>
          </w:tcPr>
          <w:p w14:paraId="128B7B35" w14:textId="1DE8616E" w:rsidR="006A4E0E" w:rsidRPr="006A4E0E" w:rsidRDefault="006A4E0E" w:rsidP="006A4E0E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Community need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 Promote projects that include a documented community need such as publicly accessible plazas or parks, a healthy food grocery store or medical facility.</w:t>
            </w:r>
          </w:p>
          <w:p w14:paraId="76EE6D8F" w14:textId="77777777" w:rsidR="006A4E0E" w:rsidRPr="006A4E0E" w:rsidRDefault="006A4E0E" w:rsidP="006A4E0E">
            <w:pPr>
              <w:pStyle w:val="Default"/>
            </w:pPr>
          </w:p>
          <w:p w14:paraId="4D22C565" w14:textId="0C024D24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>Incorporating a community need helps residents easily access amenities that improve quality of life.</w:t>
            </w:r>
          </w:p>
        </w:tc>
        <w:tc>
          <w:tcPr>
            <w:tcW w:w="5407" w:type="dxa"/>
          </w:tcPr>
          <w:p w14:paraId="49FB8DC1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527A0BB0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2F1F5254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2A08385A" w14:textId="77777777" w:rsidTr="006A4E0E">
        <w:trPr>
          <w:trHeight w:val="255"/>
        </w:trPr>
        <w:tc>
          <w:tcPr>
            <w:tcW w:w="5407" w:type="dxa"/>
          </w:tcPr>
          <w:p w14:paraId="19EAE4B8" w14:textId="77777777" w:rsidR="006A4E0E" w:rsidRPr="006A4E0E" w:rsidRDefault="006A4E0E" w:rsidP="006A4E0E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Universal Design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 Promote projects that include accessibility into their design so that people of all ages and abilities can live there.</w:t>
            </w:r>
          </w:p>
          <w:p w14:paraId="1A933817" w14:textId="72B4B75A" w:rsidR="006A4E0E" w:rsidRPr="006A4E0E" w:rsidRDefault="006A4E0E" w:rsidP="006A4E0E">
            <w:pPr>
              <w:pStyle w:val="Pa0"/>
              <w:rPr>
                <w:color w:val="211D1E"/>
              </w:rPr>
            </w:pP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</w:p>
          <w:p w14:paraId="058718D7" w14:textId="1CDB918A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>Universal design ensures residents of all abilities can live in a home that functions for them and allows them to also age-in-place.</w:t>
            </w:r>
          </w:p>
        </w:tc>
        <w:tc>
          <w:tcPr>
            <w:tcW w:w="5407" w:type="dxa"/>
          </w:tcPr>
          <w:p w14:paraId="2AD0A4A2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21489AFE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796EC854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2B494D5D" w14:textId="77777777" w:rsidTr="006A4E0E">
        <w:trPr>
          <w:trHeight w:val="255"/>
        </w:trPr>
        <w:tc>
          <w:tcPr>
            <w:tcW w:w="5407" w:type="dxa"/>
          </w:tcPr>
          <w:p w14:paraId="0EE4DC4A" w14:textId="77777777" w:rsidR="006A4E0E" w:rsidRPr="006A4E0E" w:rsidRDefault="006A4E0E" w:rsidP="006A4E0E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Climate change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 Promote buildings that are designed to reduce the impacts of climate change. This can include better energy efficiency and reduction of carbon emissions.</w:t>
            </w:r>
          </w:p>
          <w:p w14:paraId="311E5144" w14:textId="6DF9454F" w:rsidR="006A4E0E" w:rsidRPr="006A4E0E" w:rsidRDefault="006A4E0E" w:rsidP="006A4E0E">
            <w:pPr>
              <w:pStyle w:val="Pa0"/>
              <w:rPr>
                <w:color w:val="211D1E"/>
              </w:rPr>
            </w:pP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</w:p>
          <w:p w14:paraId="10F2D950" w14:textId="73205C7E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>More climate-friendly buildings can help our city have less pollution and be more resilient over time.</w:t>
            </w:r>
          </w:p>
        </w:tc>
        <w:tc>
          <w:tcPr>
            <w:tcW w:w="5407" w:type="dxa"/>
          </w:tcPr>
          <w:p w14:paraId="4F8781DE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1C8DF725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0D4F0396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6AA9B703" w14:textId="77777777" w:rsidTr="006A4E0E">
        <w:trPr>
          <w:trHeight w:val="255"/>
        </w:trPr>
        <w:tc>
          <w:tcPr>
            <w:tcW w:w="5407" w:type="dxa"/>
          </w:tcPr>
          <w:p w14:paraId="1E570B54" w14:textId="77777777" w:rsidR="006A4E0E" w:rsidRPr="006A4E0E" w:rsidRDefault="006A4E0E" w:rsidP="006A4E0E">
            <w:pPr>
              <w:autoSpaceDE w:val="0"/>
              <w:autoSpaceDN w:val="0"/>
              <w:adjustRightInd w:val="0"/>
              <w:spacing w:line="241" w:lineRule="atLeast"/>
              <w:rPr>
                <w:rFonts w:ascii="Arial" w:hAnsi="Arial" w:cs="Arial"/>
                <w:color w:val="211D1E"/>
                <w:sz w:val="24"/>
                <w:szCs w:val="24"/>
              </w:rPr>
            </w:pPr>
            <w:r w:rsidRPr="006A4E0E">
              <w:rPr>
                <w:rFonts w:ascii="Arial" w:hAnsi="Arial" w:cs="Arial"/>
                <w:b/>
                <w:bCs/>
                <w:color w:val="211D1E"/>
                <w:sz w:val="24"/>
                <w:szCs w:val="24"/>
              </w:rPr>
              <w:t>Adaptive Reuse</w:t>
            </w:r>
            <w:r w:rsidRPr="006A4E0E">
              <w:rPr>
                <w:rFonts w:ascii="Arial" w:hAnsi="Arial" w:cs="Arial"/>
                <w:color w:val="211D1E"/>
                <w:sz w:val="24"/>
                <w:szCs w:val="24"/>
              </w:rPr>
              <w:t xml:space="preserve">. Promote the reuse of old buildings into new residences. </w:t>
            </w:r>
          </w:p>
          <w:p w14:paraId="7F8DE6EC" w14:textId="77777777" w:rsidR="006A4E0E" w:rsidRPr="006A4E0E" w:rsidRDefault="006A4E0E" w:rsidP="006A4E0E">
            <w:pPr>
              <w:autoSpaceDE w:val="0"/>
              <w:autoSpaceDN w:val="0"/>
              <w:adjustRightInd w:val="0"/>
              <w:spacing w:line="241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4424341F" w14:textId="6E5EE959" w:rsidR="006A4E0E" w:rsidRPr="006A4E0E" w:rsidRDefault="006A4E0E" w:rsidP="006A4E0E">
            <w:pPr>
              <w:autoSpaceDE w:val="0"/>
              <w:autoSpaceDN w:val="0"/>
              <w:adjustRightInd w:val="0"/>
              <w:spacing w:line="241" w:lineRule="atLeast"/>
              <w:rPr>
                <w:rFonts w:ascii="Arial" w:hAnsi="Arial" w:cs="Arial"/>
                <w:color w:val="211D1E"/>
                <w:sz w:val="24"/>
                <w:szCs w:val="24"/>
              </w:rPr>
            </w:pPr>
            <w:r w:rsidRPr="006A4E0E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Using existing buildings can be efficient and can breathe new life into historic properties.</w:t>
            </w:r>
          </w:p>
        </w:tc>
        <w:tc>
          <w:tcPr>
            <w:tcW w:w="5407" w:type="dxa"/>
          </w:tcPr>
          <w:p w14:paraId="3BF055C4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0E170524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242CEDC0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131BC65B" w14:textId="77777777" w:rsidTr="006A4E0E">
        <w:trPr>
          <w:trHeight w:val="255"/>
        </w:trPr>
        <w:tc>
          <w:tcPr>
            <w:tcW w:w="5407" w:type="dxa"/>
          </w:tcPr>
          <w:p w14:paraId="5F8EBE76" w14:textId="77777777" w:rsidR="006A4E0E" w:rsidRPr="006A4E0E" w:rsidRDefault="006A4E0E" w:rsidP="006A4E0E">
            <w:pPr>
              <w:pStyle w:val="Pa1"/>
              <w:rPr>
                <w:rStyle w:val="A0"/>
                <w:i w:val="0"/>
                <w:iCs w:val="0"/>
                <w:sz w:val="24"/>
                <w:szCs w:val="24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lastRenderedPageBreak/>
              <w:t>BIPOC/women led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 Promote projects that are led by or commit to hiring local Black, Indigenous, People of Color, (BIPOC) and women-owned businesses.</w:t>
            </w:r>
          </w:p>
          <w:p w14:paraId="43D369D6" w14:textId="710B74DA" w:rsidR="006A4E0E" w:rsidRPr="006A4E0E" w:rsidRDefault="006A4E0E" w:rsidP="006A4E0E">
            <w:pPr>
              <w:pStyle w:val="Pa1"/>
              <w:rPr>
                <w:color w:val="211D1E"/>
              </w:rPr>
            </w:pP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</w:p>
          <w:p w14:paraId="1D4956D8" w14:textId="2D07168B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>Promoting projects that lift-up those who have been traditionally left out can increase equity and empowerment in our local development and building trades industries.</w:t>
            </w:r>
          </w:p>
        </w:tc>
        <w:tc>
          <w:tcPr>
            <w:tcW w:w="5407" w:type="dxa"/>
          </w:tcPr>
          <w:p w14:paraId="219553FE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78C40199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127E51FB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40E1EF58" w14:textId="77777777" w:rsidTr="006A4E0E">
        <w:trPr>
          <w:trHeight w:val="255"/>
        </w:trPr>
        <w:tc>
          <w:tcPr>
            <w:tcW w:w="5407" w:type="dxa"/>
          </w:tcPr>
          <w:p w14:paraId="7769F08D" w14:textId="391DFE7A" w:rsidR="006A4E0E" w:rsidRPr="006A4E0E" w:rsidRDefault="006A4E0E" w:rsidP="006A4E0E">
            <w:pPr>
              <w:pStyle w:val="Pa1"/>
              <w:rPr>
                <w:rStyle w:val="A0"/>
                <w:i w:val="0"/>
                <w:iCs w:val="0"/>
                <w:sz w:val="24"/>
                <w:szCs w:val="24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Nonprofit led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 Promote projects that are led by a non-profit entity whose mission is related to affordable housing, community empowerment, and/or neighborhood development.</w:t>
            </w:r>
          </w:p>
          <w:p w14:paraId="4EB8616A" w14:textId="77777777" w:rsidR="006A4E0E" w:rsidRPr="006A4E0E" w:rsidRDefault="006A4E0E" w:rsidP="006A4E0E">
            <w:pPr>
              <w:pStyle w:val="Default"/>
            </w:pPr>
          </w:p>
          <w:p w14:paraId="0D86F79D" w14:textId="363E589E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>Promoting projects by mission-driven nonprofits can help ensure long-term oversight and affordability for residents.</w:t>
            </w:r>
          </w:p>
        </w:tc>
        <w:tc>
          <w:tcPr>
            <w:tcW w:w="5407" w:type="dxa"/>
          </w:tcPr>
          <w:p w14:paraId="0DD5EFAB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63583E59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4B5CC442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316A9D0A" w14:textId="77777777" w:rsidTr="006A4E0E">
        <w:trPr>
          <w:trHeight w:val="255"/>
        </w:trPr>
        <w:tc>
          <w:tcPr>
            <w:tcW w:w="5407" w:type="dxa"/>
            <w:tcBorders>
              <w:bottom w:val="single" w:sz="6" w:space="0" w:color="auto"/>
            </w:tcBorders>
          </w:tcPr>
          <w:p w14:paraId="63BEC87F" w14:textId="77777777" w:rsidR="006A4E0E" w:rsidRPr="006A4E0E" w:rsidRDefault="006A4E0E" w:rsidP="006A4E0E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Small Home Villages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 Promote affordable small home villages to provide housing to residents with very low income.</w:t>
            </w:r>
          </w:p>
          <w:p w14:paraId="6B7CF961" w14:textId="66B25DA1" w:rsidR="006A4E0E" w:rsidRPr="006A4E0E" w:rsidRDefault="006A4E0E" w:rsidP="006A4E0E">
            <w:pPr>
              <w:pStyle w:val="Pa0"/>
              <w:rPr>
                <w:color w:val="211D1E"/>
              </w:rPr>
            </w:pP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</w:p>
          <w:p w14:paraId="186695A9" w14:textId="15BB4BCE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 xml:space="preserve">Small homes can be produced </w:t>
            </w:r>
            <w:r w:rsidR="0012434F" w:rsidRPr="006A4E0E">
              <w:rPr>
                <w:rStyle w:val="A0"/>
                <w:rFonts w:ascii="Arial" w:hAnsi="Arial" w:cs="Arial"/>
                <w:sz w:val="24"/>
                <w:szCs w:val="24"/>
              </w:rPr>
              <w:t>faster but</w:t>
            </w: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 xml:space="preserve"> may serve fewer people.</w:t>
            </w:r>
          </w:p>
        </w:tc>
        <w:tc>
          <w:tcPr>
            <w:tcW w:w="5407" w:type="dxa"/>
            <w:tcBorders>
              <w:bottom w:val="single" w:sz="6" w:space="0" w:color="auto"/>
            </w:tcBorders>
          </w:tcPr>
          <w:p w14:paraId="32883A61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bottom w:val="single" w:sz="6" w:space="0" w:color="auto"/>
            </w:tcBorders>
          </w:tcPr>
          <w:p w14:paraId="2F3467BE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bottom w:val="single" w:sz="6" w:space="0" w:color="auto"/>
            </w:tcBorders>
          </w:tcPr>
          <w:p w14:paraId="087CA8F6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7678B7BB" w14:textId="77777777" w:rsidTr="006A4E0E">
        <w:trPr>
          <w:trHeight w:val="255"/>
        </w:trPr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08250" w14:textId="1DC9AB77" w:rsidR="006A4E0E" w:rsidRDefault="006A4E0E" w:rsidP="006A4E0E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Traditional Multifamily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 Promote traditional multi-family buildings to provide housing to residents with low to moderate income.</w:t>
            </w:r>
          </w:p>
          <w:p w14:paraId="5CC3B6FD" w14:textId="77777777" w:rsidR="006A4E0E" w:rsidRPr="006A4E0E" w:rsidRDefault="006A4E0E" w:rsidP="006A4E0E">
            <w:pPr>
              <w:pStyle w:val="Default"/>
            </w:pPr>
          </w:p>
          <w:p w14:paraId="621760E6" w14:textId="3FC5FC0D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 xml:space="preserve">Traditional multifamily takes longer to </w:t>
            </w:r>
            <w:r w:rsidR="0012434F" w:rsidRPr="006A4E0E">
              <w:rPr>
                <w:rStyle w:val="A0"/>
                <w:rFonts w:ascii="Arial" w:hAnsi="Arial" w:cs="Arial"/>
                <w:sz w:val="24"/>
                <w:szCs w:val="24"/>
              </w:rPr>
              <w:t>develop but</w:t>
            </w: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 xml:space="preserve"> could serve more people.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D3058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4832C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91BB5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</w:tbl>
    <w:p w14:paraId="0E645665" w14:textId="44FDD1B1" w:rsidR="006A4E0E" w:rsidRDefault="006A4E0E"/>
    <w:p w14:paraId="58623C94" w14:textId="18E5C65F" w:rsidR="006A4E0E" w:rsidRPr="006A4E0E" w:rsidRDefault="006A4E0E">
      <w:pPr>
        <w:rPr>
          <w:color w:val="7030A0"/>
          <w:sz w:val="32"/>
          <w:szCs w:val="32"/>
        </w:rPr>
      </w:pPr>
      <w:r w:rsidRPr="006A4E0E">
        <w:rPr>
          <w:color w:val="7030A0"/>
          <w:sz w:val="32"/>
          <w:szCs w:val="32"/>
        </w:rPr>
        <w:t>Definitions</w:t>
      </w:r>
    </w:p>
    <w:tbl>
      <w:tblPr>
        <w:tblStyle w:val="TableGrid"/>
        <w:tblW w:w="21634" w:type="dxa"/>
        <w:tblLook w:val="04A0" w:firstRow="1" w:lastRow="0" w:firstColumn="1" w:lastColumn="0" w:noHBand="0" w:noVBand="1"/>
      </w:tblPr>
      <w:tblGrid>
        <w:gridCol w:w="5407"/>
        <w:gridCol w:w="5407"/>
        <w:gridCol w:w="5410"/>
        <w:gridCol w:w="5410"/>
      </w:tblGrid>
      <w:tr w:rsidR="006A4E0E" w:rsidRPr="006A4E0E" w14:paraId="5EF399D7" w14:textId="77777777" w:rsidTr="006A4E0E">
        <w:trPr>
          <w:trHeight w:val="255"/>
        </w:trPr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5954" w14:textId="580DBB57" w:rsidR="006A4E0E" w:rsidRPr="006A4E0E" w:rsidRDefault="006A4E0E" w:rsidP="006A4E0E">
            <w:pPr>
              <w:rPr>
                <w:rStyle w:val="A0"/>
                <w:rFonts w:ascii="Arial" w:eastAsia="Times New Roman" w:hAnsi="Arial" w:cs="Arial"/>
                <w:i w:val="0"/>
                <w:iCs w:val="0"/>
                <w:color w:val="auto"/>
                <w:sz w:val="24"/>
                <w:szCs w:val="24"/>
              </w:rPr>
            </w:pPr>
            <w:r w:rsidRPr="006A4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High-Opportunity Areas</w:t>
            </w:r>
            <w:r w:rsidRPr="006A4E0E">
              <w:rPr>
                <w:rFonts w:ascii="Arial" w:eastAsia="Times New Roman" w:hAnsi="Arial" w:cs="Arial"/>
                <w:sz w:val="24"/>
                <w:szCs w:val="24"/>
              </w:rPr>
              <w:t>. Areas with access to high quality resources such as jobs and education. As defined by the City of Fresno Housing Element OR the State of California Tax Credit Allocation Committee / Housing and Community Development Department.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CBDDC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C92AA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35367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2EBB9A9A" w14:textId="77777777" w:rsidTr="006A4E0E">
        <w:trPr>
          <w:trHeight w:val="255"/>
        </w:trPr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C15EC" w14:textId="5FB86D99" w:rsidR="006A4E0E" w:rsidRPr="006A4E0E" w:rsidRDefault="006A4E0E" w:rsidP="006A4E0E">
            <w:pPr>
              <w:rPr>
                <w:rStyle w:val="A0"/>
                <w:rFonts w:ascii="Arial" w:eastAsia="Times New Roman" w:hAnsi="Arial" w:cs="Arial"/>
                <w:i w:val="0"/>
                <w:iCs w:val="0"/>
                <w:color w:val="auto"/>
                <w:sz w:val="24"/>
                <w:szCs w:val="24"/>
              </w:rPr>
            </w:pPr>
            <w:r w:rsidRPr="006A4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High-frequency transit routes.</w:t>
            </w:r>
            <w:r w:rsidRPr="006A4E0E">
              <w:rPr>
                <w:rFonts w:ascii="Arial" w:eastAsia="Times New Roman" w:hAnsi="Arial" w:cs="Arial"/>
                <w:sz w:val="24"/>
                <w:szCs w:val="24"/>
              </w:rPr>
              <w:t xml:space="preserve"> A route where a bus arrives every fifteen minutes or less.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1D13C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49DC0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49602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103D8C40" w14:textId="77777777" w:rsidTr="006A4E0E">
        <w:trPr>
          <w:trHeight w:val="255"/>
        </w:trPr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B08AF" w14:textId="37FC9D10" w:rsidR="006A4E0E" w:rsidRPr="006A4E0E" w:rsidRDefault="006A4E0E" w:rsidP="006A4E0E">
            <w:pPr>
              <w:pStyle w:val="Pa0"/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</w:pPr>
            <w:r w:rsidRPr="006A4E0E">
              <w:rPr>
                <w:rFonts w:eastAsia="Times New Roman"/>
                <w:b/>
                <w:bCs/>
              </w:rPr>
              <w:t>Nonprofit.</w:t>
            </w:r>
            <w:r w:rsidRPr="006A4E0E">
              <w:rPr>
                <w:rFonts w:eastAsia="Times New Roman"/>
              </w:rPr>
              <w:t xml:space="preserve"> A charitable nonprofit organization described in Section 501 (c)(3) of the Internal Revenue Code.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915DD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89588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D3881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666915BF" w14:textId="77777777" w:rsidTr="00877C54">
        <w:trPr>
          <w:trHeight w:val="255"/>
        </w:trPr>
        <w:tc>
          <w:tcPr>
            <w:tcW w:w="5407" w:type="dxa"/>
            <w:tcBorders>
              <w:top w:val="single" w:sz="6" w:space="0" w:color="auto"/>
              <w:bottom w:val="single" w:sz="6" w:space="0" w:color="auto"/>
            </w:tcBorders>
          </w:tcPr>
          <w:p w14:paraId="452530B9" w14:textId="63ECCC3E" w:rsidR="006A4E0E" w:rsidRPr="006A4E0E" w:rsidRDefault="006A4E0E" w:rsidP="006A4E0E">
            <w:pPr>
              <w:rPr>
                <w:rStyle w:val="A0"/>
                <w:rFonts w:ascii="Arial" w:eastAsia="Times New Roman" w:hAnsi="Arial" w:cs="Arial"/>
                <w:i w:val="0"/>
                <w:iCs w:val="0"/>
                <w:color w:val="auto"/>
                <w:sz w:val="24"/>
                <w:szCs w:val="24"/>
              </w:rPr>
            </w:pPr>
            <w:r w:rsidRPr="006A4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Universal Design Standards.</w:t>
            </w:r>
            <w:r w:rsidRPr="006A4E0E">
              <w:rPr>
                <w:rFonts w:ascii="Arial" w:eastAsia="Times New Roman" w:hAnsi="Arial" w:cs="Arial"/>
                <w:sz w:val="24"/>
                <w:szCs w:val="24"/>
              </w:rPr>
              <w:t xml:space="preserve"> When the functional aspects of a building (</w:t>
            </w:r>
            <w:proofErr w:type="gramStart"/>
            <w:r w:rsidRPr="006A4E0E">
              <w:rPr>
                <w:rFonts w:ascii="Arial" w:eastAsia="Times New Roman" w:hAnsi="Arial" w:cs="Arial"/>
                <w:sz w:val="24"/>
                <w:szCs w:val="24"/>
              </w:rPr>
              <w:t>i.e.</w:t>
            </w:r>
            <w:proofErr w:type="gramEnd"/>
            <w:r w:rsidRPr="006A4E0E">
              <w:rPr>
                <w:rFonts w:ascii="Arial" w:eastAsia="Times New Roman" w:hAnsi="Arial" w:cs="Arial"/>
                <w:sz w:val="24"/>
                <w:szCs w:val="24"/>
              </w:rPr>
              <w:t xml:space="preserve"> anything you use like doors, showers, outlets, etc.) are </w:t>
            </w:r>
            <w:r w:rsidRPr="006A4E0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designed in a way that is accessible to people of all ages and abilities.</w:t>
            </w:r>
          </w:p>
        </w:tc>
        <w:tc>
          <w:tcPr>
            <w:tcW w:w="5407" w:type="dxa"/>
            <w:tcBorders>
              <w:top w:val="single" w:sz="6" w:space="0" w:color="auto"/>
              <w:bottom w:val="single" w:sz="6" w:space="0" w:color="auto"/>
            </w:tcBorders>
          </w:tcPr>
          <w:p w14:paraId="3ECAFB41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bottom w:val="single" w:sz="6" w:space="0" w:color="auto"/>
            </w:tcBorders>
          </w:tcPr>
          <w:p w14:paraId="0C15C27C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bottom w:val="single" w:sz="6" w:space="0" w:color="auto"/>
            </w:tcBorders>
          </w:tcPr>
          <w:p w14:paraId="39D2C8AB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877C54" w:rsidRPr="006A4E0E" w14:paraId="2FFF0BAB" w14:textId="77777777" w:rsidTr="00877C54">
        <w:trPr>
          <w:trHeight w:val="255"/>
        </w:trPr>
        <w:tc>
          <w:tcPr>
            <w:tcW w:w="5407" w:type="dxa"/>
            <w:tcBorders>
              <w:top w:val="single" w:sz="6" w:space="0" w:color="auto"/>
              <w:bottom w:val="single" w:sz="6" w:space="0" w:color="auto"/>
            </w:tcBorders>
          </w:tcPr>
          <w:p w14:paraId="75B34779" w14:textId="0F63D0CF" w:rsidR="00877C54" w:rsidRPr="006A4E0E" w:rsidRDefault="00877C54" w:rsidP="006A4E0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77C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BIPOC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 Black, Indigenous, and People of Color.</w:t>
            </w:r>
          </w:p>
        </w:tc>
        <w:tc>
          <w:tcPr>
            <w:tcW w:w="5407" w:type="dxa"/>
            <w:tcBorders>
              <w:top w:val="single" w:sz="6" w:space="0" w:color="auto"/>
              <w:bottom w:val="single" w:sz="6" w:space="0" w:color="auto"/>
            </w:tcBorders>
          </w:tcPr>
          <w:p w14:paraId="79C9D1F5" w14:textId="77777777" w:rsidR="00877C54" w:rsidRPr="006A4E0E" w:rsidRDefault="00877C54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bottom w:val="single" w:sz="6" w:space="0" w:color="auto"/>
            </w:tcBorders>
          </w:tcPr>
          <w:p w14:paraId="4E889E83" w14:textId="77777777" w:rsidR="00877C54" w:rsidRPr="006A4E0E" w:rsidRDefault="00877C54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bottom w:val="single" w:sz="6" w:space="0" w:color="auto"/>
            </w:tcBorders>
          </w:tcPr>
          <w:p w14:paraId="6A35E0D4" w14:textId="77777777" w:rsidR="00877C54" w:rsidRPr="006A4E0E" w:rsidRDefault="00877C54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877C54" w:rsidRPr="006A4E0E" w14:paraId="536D62E7" w14:textId="77777777" w:rsidTr="006A4E0E">
        <w:trPr>
          <w:trHeight w:val="255"/>
        </w:trPr>
        <w:tc>
          <w:tcPr>
            <w:tcW w:w="5407" w:type="dxa"/>
            <w:tcBorders>
              <w:top w:val="single" w:sz="6" w:space="0" w:color="auto"/>
            </w:tcBorders>
          </w:tcPr>
          <w:p w14:paraId="3FBF6AC1" w14:textId="72D6F733" w:rsidR="00877C54" w:rsidRPr="00877C54" w:rsidRDefault="00877C54" w:rsidP="006A4E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Small Home Villages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 Also known as “Tiny House Villages.” These are multiple small homes that are arranged together on the same lot.</w:t>
            </w:r>
          </w:p>
        </w:tc>
        <w:tc>
          <w:tcPr>
            <w:tcW w:w="5407" w:type="dxa"/>
            <w:tcBorders>
              <w:top w:val="single" w:sz="6" w:space="0" w:color="auto"/>
            </w:tcBorders>
          </w:tcPr>
          <w:p w14:paraId="2D6F360C" w14:textId="77777777" w:rsidR="00877C54" w:rsidRPr="006A4E0E" w:rsidRDefault="00877C54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</w:tcBorders>
          </w:tcPr>
          <w:p w14:paraId="1E792C39" w14:textId="77777777" w:rsidR="00877C54" w:rsidRPr="006A4E0E" w:rsidRDefault="00877C54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</w:tcBorders>
          </w:tcPr>
          <w:p w14:paraId="29A25396" w14:textId="77777777" w:rsidR="00877C54" w:rsidRPr="006A4E0E" w:rsidRDefault="00877C54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</w:tbl>
    <w:p w14:paraId="1C08B5BB" w14:textId="79D4D6FA" w:rsidR="000917A2" w:rsidRDefault="000917A2" w:rsidP="0012434F">
      <w:pPr>
        <w:rPr>
          <w:rFonts w:ascii="Arial" w:eastAsia="Times New Roman" w:hAnsi="Arial" w:cs="Arial"/>
          <w:sz w:val="24"/>
          <w:szCs w:val="24"/>
        </w:rPr>
      </w:pPr>
    </w:p>
    <w:sectPr w:rsidR="000917A2" w:rsidSect="006A4E0E">
      <w:pgSz w:w="24480" w:h="15840" w:orient="landscape" w:code="1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5F015" w14:textId="77777777" w:rsidR="009A1049" w:rsidRDefault="009A1049" w:rsidP="00C253D0">
      <w:r>
        <w:separator/>
      </w:r>
    </w:p>
  </w:endnote>
  <w:endnote w:type="continuationSeparator" w:id="0">
    <w:p w14:paraId="53ED0EE1" w14:textId="77777777" w:rsidR="009A1049" w:rsidRDefault="009A1049" w:rsidP="00C2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A5D2C" w14:textId="77777777" w:rsidR="009A1049" w:rsidRDefault="009A1049" w:rsidP="00C253D0">
      <w:r>
        <w:separator/>
      </w:r>
    </w:p>
  </w:footnote>
  <w:footnote w:type="continuationSeparator" w:id="0">
    <w:p w14:paraId="1913F573" w14:textId="77777777" w:rsidR="009A1049" w:rsidRDefault="009A1049" w:rsidP="00C25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A2"/>
    <w:rsid w:val="00020F61"/>
    <w:rsid w:val="000917A2"/>
    <w:rsid w:val="0012434F"/>
    <w:rsid w:val="001A3BA4"/>
    <w:rsid w:val="006A4E0E"/>
    <w:rsid w:val="00877C54"/>
    <w:rsid w:val="009A1049"/>
    <w:rsid w:val="00B21655"/>
    <w:rsid w:val="00C253D0"/>
    <w:rsid w:val="00CD0082"/>
    <w:rsid w:val="00FB731A"/>
    <w:rsid w:val="00FD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C26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7A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B731A"/>
    <w:pPr>
      <w:spacing w:after="0" w:line="240" w:lineRule="auto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FB73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73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731A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3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31A"/>
    <w:rPr>
      <w:rFonts w:ascii="Calibri" w:hAnsi="Calibri" w:cs="Calibr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A4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A4E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6A4E0E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6A4E0E"/>
    <w:rPr>
      <w:i/>
      <w:iCs/>
      <w:color w:val="211D1E"/>
      <w:sz w:val="160"/>
      <w:szCs w:val="160"/>
    </w:rPr>
  </w:style>
  <w:style w:type="paragraph" w:customStyle="1" w:styleId="Pa1">
    <w:name w:val="Pa1"/>
    <w:basedOn w:val="Default"/>
    <w:next w:val="Default"/>
    <w:uiPriority w:val="99"/>
    <w:rsid w:val="006A4E0E"/>
    <w:pPr>
      <w:spacing w:line="241" w:lineRule="atLeast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C25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3D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25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3D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1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2022-10-21T02:47:00Z</dcterms:created>
  <dcterms:modified xsi:type="dcterms:W3CDTF">2022-10-21T02:47:00Z</dcterms:modified>
</cp:coreProperties>
</file>