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60A13" w:rsidR="003E1741" w:rsidP="0EF91167" w:rsidRDefault="003E1741" w14:paraId="6A844C55" w14:textId="30D2EE78">
      <w:pPr>
        <w:pStyle w:val="Normal"/>
        <w:autoSpaceDE w:val="0"/>
        <w:autoSpaceDN w:val="0"/>
        <w:adjustRightInd w:val="0"/>
        <w:spacing w:after="80" w:line="241" w:lineRule="atLeast"/>
        <w:rPr>
          <w:rFonts w:cs="Calibri" w:cstheme="minorAscii"/>
          <w:b w:val="1"/>
          <w:bCs w:val="1"/>
          <w:u w:val="single"/>
        </w:rPr>
      </w:pPr>
      <w:r w:rsidRPr="0EF91167" w:rsidR="003E1741">
        <w:rPr>
          <w:rFonts w:cs="Calibri" w:cstheme="minorAscii"/>
          <w:b w:val="1"/>
          <w:bCs w:val="1"/>
          <w:u w:val="single"/>
        </w:rPr>
        <w:t>2024</w:t>
      </w:r>
      <w:r w:rsidRPr="0EF91167" w:rsidR="002C3C6B">
        <w:rPr>
          <w:rFonts w:cs="Calibri" w:cstheme="minorAscii"/>
          <w:b w:val="1"/>
          <w:bCs w:val="1"/>
          <w:u w:val="single"/>
        </w:rPr>
        <w:t xml:space="preserve"> Annual Workshop </w:t>
      </w:r>
      <w:r w:rsidRPr="0EF91167" w:rsidR="003E1741">
        <w:rPr>
          <w:rFonts w:cs="Calibri" w:cstheme="minorAscii"/>
          <w:b w:val="1"/>
          <w:bCs w:val="1"/>
          <w:u w:val="single"/>
        </w:rPr>
        <w:t xml:space="preserve">Schedule </w:t>
      </w:r>
    </w:p>
    <w:p w:rsidRPr="00660A13" w:rsidR="008B1AED" w:rsidP="61D63EEB" w:rsidRDefault="002C5304" w14:paraId="752E5235" w14:textId="3C614EDE">
      <w:pPr>
        <w:autoSpaceDE w:val="0"/>
        <w:autoSpaceDN w:val="0"/>
        <w:adjustRightInd w:val="0"/>
        <w:spacing w:after="80" w:line="241" w:lineRule="atLeast"/>
      </w:pPr>
      <w:r w:rsidRPr="2895F1E4">
        <w:rPr>
          <w:color w:val="010202"/>
        </w:rPr>
        <w:t xml:space="preserve">All members or their designated representatives are required to participate in </w:t>
      </w:r>
      <w:r w:rsidRPr="2895F1E4" w:rsidR="4B0EAD45">
        <w:rPr>
          <w:color w:val="010202"/>
        </w:rPr>
        <w:t xml:space="preserve">one </w:t>
      </w:r>
      <w:r w:rsidRPr="2895F1E4">
        <w:rPr>
          <w:color w:val="010202"/>
        </w:rPr>
        <w:t xml:space="preserve">annual outreach activity—either in-person or online </w:t>
      </w:r>
      <w:r w:rsidRPr="2895F1E4" w:rsidR="32DA242D">
        <w:rPr>
          <w:color w:val="010202"/>
        </w:rPr>
        <w:t xml:space="preserve">(live webinar or </w:t>
      </w:r>
      <w:r w:rsidRPr="2895F1E4">
        <w:rPr>
          <w:color w:val="010202"/>
        </w:rPr>
        <w:t>recorded video</w:t>
      </w:r>
      <w:r w:rsidRPr="2895F1E4" w:rsidR="767CF1B2">
        <w:rPr>
          <w:color w:val="010202"/>
        </w:rPr>
        <w:t>)</w:t>
      </w:r>
      <w:r w:rsidRPr="2895F1E4">
        <w:rPr>
          <w:color w:val="010202"/>
        </w:rPr>
        <w:t xml:space="preserve">. Annual workshops offer program updates, reporting </w:t>
      </w:r>
      <w:r w:rsidRPr="2895F1E4" w:rsidR="7EA21E30">
        <w:rPr>
          <w:color w:val="010202"/>
        </w:rPr>
        <w:t>reminders</w:t>
      </w:r>
      <w:r w:rsidRPr="2895F1E4">
        <w:rPr>
          <w:color w:val="010202"/>
        </w:rPr>
        <w:t>, and</w:t>
      </w:r>
      <w:r w:rsidRPr="2895F1E4" w:rsidR="5DB46463">
        <w:rPr>
          <w:color w:val="010202"/>
        </w:rPr>
        <w:t xml:space="preserve"> recommendations on best management practices.  This year the annual workshop will include</w:t>
      </w:r>
      <w:r w:rsidRPr="2895F1E4" w:rsidR="2668C1C2">
        <w:rPr>
          <w:color w:val="010202"/>
        </w:rPr>
        <w:t xml:space="preserve"> </w:t>
      </w:r>
      <w:r w:rsidRPr="2895F1E4">
        <w:rPr>
          <w:color w:val="010202"/>
        </w:rPr>
        <w:t xml:space="preserve">a presentation by U.C. Farm Advisor Dr. Mae </w:t>
      </w:r>
      <w:proofErr w:type="spellStart"/>
      <w:r w:rsidRPr="2895F1E4">
        <w:rPr>
          <w:color w:val="010202"/>
        </w:rPr>
        <w:t>Culumber</w:t>
      </w:r>
      <w:proofErr w:type="spellEnd"/>
      <w:r w:rsidRPr="2895F1E4">
        <w:rPr>
          <w:color w:val="010202"/>
        </w:rPr>
        <w:t xml:space="preserve"> on protective practices. Please register for </w:t>
      </w:r>
      <w:bookmarkStart w:name="_Int_DXxt07tp" w:id="0"/>
      <w:r w:rsidRPr="2895F1E4" w:rsidR="002C279D">
        <w:rPr>
          <w:color w:val="010202"/>
        </w:rPr>
        <w:t>webinar</w:t>
      </w:r>
      <w:bookmarkEnd w:id="0"/>
      <w:r w:rsidRPr="2895F1E4">
        <w:rPr>
          <w:color w:val="010202"/>
        </w:rPr>
        <w:t xml:space="preserve"> and in-person workshops at: </w:t>
      </w:r>
      <w:hyperlink r:id="rId10">
        <w:r w:rsidRPr="2895F1E4">
          <w:rPr>
            <w:rStyle w:val="Hyperlink"/>
            <w:color w:val="auto"/>
          </w:rPr>
          <w:t>https://kingsriverwqc.org/workshops/</w:t>
        </w:r>
      </w:hyperlink>
    </w:p>
    <w:p w:rsidRPr="002C279D" w:rsidR="003E1741" w:rsidP="2895F1E4" w:rsidRDefault="002C5304" w14:paraId="70714C57" w14:noSpellErr="1" w14:textId="4DCE1A76">
      <w:pPr>
        <w:autoSpaceDE w:val="0"/>
        <w:autoSpaceDN w:val="0"/>
        <w:adjustRightInd w:val="0"/>
        <w:spacing w:after="80" w:line="241" w:lineRule="atLeast"/>
        <w:rPr>
          <w:color w:val="010202"/>
        </w:rPr>
      </w:pPr>
    </w:p>
    <w:tbl>
      <w:tblPr>
        <w:tblW w:w="6910" w:type="dxa"/>
        <w:tblLook w:val="04A0" w:firstRow="1" w:lastRow="0" w:firstColumn="1" w:lastColumn="0" w:noHBand="0" w:noVBand="1"/>
      </w:tblPr>
      <w:tblGrid>
        <w:gridCol w:w="1380"/>
        <w:gridCol w:w="1045"/>
        <w:gridCol w:w="1170"/>
        <w:gridCol w:w="3315"/>
      </w:tblGrid>
      <w:tr w:rsidRPr="003E1741" w:rsidR="002C279D" w:rsidTr="56FBAE94" w14:paraId="63F404D1" w14:textId="77777777">
        <w:trPr>
          <w:trHeight w:val="660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vAlign w:val="center"/>
            <w:hideMark/>
          </w:tcPr>
          <w:p w:rsidRPr="003E1741" w:rsidR="002C279D" w:rsidP="00234C17" w:rsidRDefault="002C279D" w14:paraId="458AA249" w14:textId="77777777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  <w:r w:rsidRPr="003E1741">
              <w:rPr>
                <w:rFonts w:ascii="Trebuchet MS" w:hAnsi="Trebuchet MS" w:eastAsia="Times New Roman" w:cs="Calibri"/>
                <w:b/>
                <w:bCs/>
                <w:color w:val="FFFFFF"/>
              </w:rPr>
              <w:t xml:space="preserve">Month / Day </w:t>
            </w:r>
          </w:p>
        </w:tc>
        <w:tc>
          <w:tcPr>
            <w:tcW w:w="1045" w:type="dxa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806000" w:themeFill="accent4" w:themeFillShade="80"/>
            <w:vAlign w:val="center"/>
            <w:hideMark/>
          </w:tcPr>
          <w:p w:rsidRPr="003E1741" w:rsidR="002C279D" w:rsidP="00234C17" w:rsidRDefault="002C279D" w14:paraId="7280ADF2" w14:textId="77777777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  <w:r w:rsidRPr="003E1741">
              <w:rPr>
                <w:rFonts w:ascii="Trebuchet MS" w:hAnsi="Trebuchet MS" w:eastAsia="Times New Roman" w:cs="Calibri"/>
                <w:b/>
                <w:bCs/>
                <w:color w:val="FFFFFF"/>
              </w:rPr>
              <w:t>Time</w:t>
            </w:r>
          </w:p>
        </w:tc>
        <w:tc>
          <w:tcPr>
            <w:tcW w:w="4485" w:type="dxa"/>
            <w:gridSpan w:val="2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vAlign w:val="center"/>
            <w:hideMark/>
          </w:tcPr>
          <w:p w:rsidRPr="003E1741" w:rsidR="002C279D" w:rsidP="00234C17" w:rsidRDefault="002C279D" w14:paraId="09F3B8FA" w14:textId="02130A55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</w:p>
          <w:p w:rsidRPr="003E1741" w:rsidR="002C279D" w:rsidP="00234C17" w:rsidRDefault="002C279D" w14:paraId="6FC50D79" w14:textId="77777777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  <w:r w:rsidRPr="003E1741">
              <w:rPr>
                <w:rFonts w:ascii="Trebuchet MS" w:hAnsi="Trebuchet MS" w:eastAsia="Times New Roman" w:cs="Calibri"/>
                <w:b/>
                <w:bCs/>
                <w:color w:val="FFFFFF"/>
              </w:rPr>
              <w:t>Location</w:t>
            </w:r>
          </w:p>
          <w:p w:rsidRPr="003E1741" w:rsidR="002C279D" w:rsidP="00234C17" w:rsidRDefault="002C279D" w14:paraId="75A2DD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 </w:t>
            </w:r>
          </w:p>
          <w:p w:rsidRPr="003E1741" w:rsidR="002C279D" w:rsidP="00234C17" w:rsidRDefault="002C279D" w14:paraId="46067743" w14:textId="041A8182">
            <w:pPr>
              <w:spacing w:after="0" w:line="240" w:lineRule="auto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3E1741" w:rsidR="002C279D" w:rsidTr="56FBAE94" w14:paraId="0A96CC27" w14:textId="77777777">
        <w:trPr>
          <w:trHeight w:val="33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vAlign w:val="center"/>
            <w:hideMark/>
          </w:tcPr>
          <w:p w:rsidRPr="003E1741" w:rsidR="002C279D" w:rsidP="00234C17" w:rsidRDefault="002C279D" w14:paraId="2369C29C" w14:textId="77777777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  <w:r w:rsidRPr="003E1741">
              <w:rPr>
                <w:rFonts w:ascii="Trebuchet MS" w:hAnsi="Trebuchet MS" w:eastAsia="Times New Roman" w:cs="Calibri"/>
                <w:b/>
                <w:bCs/>
                <w:color w:val="FFFFFF"/>
              </w:rPr>
              <w:t>January</w:t>
            </w:r>
          </w:p>
        </w:tc>
        <w:tc>
          <w:tcPr>
            <w:tcW w:w="1045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noWrap/>
            <w:vAlign w:val="center"/>
            <w:hideMark/>
          </w:tcPr>
          <w:p w:rsidRPr="003E1741" w:rsidR="002C279D" w:rsidP="00234C17" w:rsidRDefault="002C279D" w14:paraId="2B5BA33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4485" w:type="dxa"/>
            <w:gridSpan w:val="2"/>
            <w:vMerge/>
            <w:noWrap/>
            <w:vAlign w:val="center"/>
            <w:hideMark/>
          </w:tcPr>
          <w:p w:rsidRPr="003E1741" w:rsidR="002C279D" w:rsidP="00234C17" w:rsidRDefault="002C279D" w14:paraId="504D71FC" w14:textId="3DC6D2F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3E1741" w:rsidR="002C279D" w:rsidTr="56FBAE94" w14:paraId="3B2AB6FF" w14:textId="77777777">
        <w:trPr>
          <w:trHeight w:val="33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3E1741" w:rsidR="002C279D" w:rsidP="00234C17" w:rsidRDefault="002C279D" w14:paraId="5622BAAD" w14:textId="0BF5CD5D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000000"/>
              </w:rPr>
            </w:pPr>
            <w:r w:rsidRPr="003E1741">
              <w:rPr>
                <w:rFonts w:ascii="Trebuchet MS" w:hAnsi="Trebuchet MS" w:eastAsia="Times New Roman" w:cs="Calibri"/>
                <w:b/>
                <w:bCs/>
                <w:color w:val="000000"/>
              </w:rPr>
              <w:t>1</w:t>
            </w:r>
            <w:r>
              <w:rPr>
                <w:rFonts w:ascii="Trebuchet MS" w:hAnsi="Trebuchet MS" w:eastAsia="Times New Roman" w:cs="Calibri"/>
                <w:b/>
                <w:bCs/>
                <w:color w:val="000000"/>
              </w:rPr>
              <w:t>1</w:t>
            </w:r>
          </w:p>
        </w:tc>
        <w:tc>
          <w:tcPr>
            <w:tcW w:w="1045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0D6055C5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2:00 PM</w:t>
            </w:r>
          </w:p>
        </w:tc>
        <w:tc>
          <w:tcPr>
            <w:tcW w:w="1170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C279D" w:rsidRDefault="002C279D" w14:paraId="43C70EA7" w14:textId="416F68BA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bookmarkStart w:name="_Int_M6KN1oUa" w:id="1"/>
            <w:r w:rsidRPr="61D63EEB">
              <w:rPr>
                <w:rFonts w:ascii="Calibri" w:hAnsi="Calibri" w:eastAsia="Times New Roman" w:cs="Calibri"/>
                <w:color w:val="000000" w:themeColor="text1"/>
              </w:rPr>
              <w:t>Webinar</w:t>
            </w:r>
            <w:bookmarkEnd w:id="1"/>
          </w:p>
        </w:tc>
        <w:tc>
          <w:tcPr>
            <w:tcW w:w="3315" w:type="dxa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4689FD5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Zoom</w:t>
            </w:r>
          </w:p>
        </w:tc>
      </w:tr>
      <w:tr w:rsidRPr="003E1741" w:rsidR="002C279D" w:rsidTr="56FBAE94" w14:paraId="539CCC30" w14:textId="77777777">
        <w:trPr>
          <w:trHeight w:val="30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70BB1E97" w14:textId="355E9E42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3E1741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1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55916B6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9:00 AM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46D26BF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Hanford</w:t>
            </w:r>
          </w:p>
        </w:tc>
        <w:tc>
          <w:tcPr>
            <w:tcW w:w="3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1185C8B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Kings Fairgrounds</w:t>
            </w:r>
          </w:p>
        </w:tc>
      </w:tr>
      <w:tr w:rsidRPr="003E1741" w:rsidR="002C279D" w:rsidTr="56FBAE94" w14:paraId="49233AAC" w14:textId="77777777">
        <w:trPr>
          <w:trHeight w:val="30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41524027" w14:textId="735EFDC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3E1741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2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0B73F58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9:00 AM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7A9F225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Selma</w:t>
            </w:r>
          </w:p>
        </w:tc>
        <w:tc>
          <w:tcPr>
            <w:tcW w:w="3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45F47B4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 xml:space="preserve">Portuguese Hall </w:t>
            </w:r>
          </w:p>
        </w:tc>
      </w:tr>
      <w:tr w:rsidRPr="003E1741" w:rsidR="002C279D" w:rsidTr="56FBAE94" w14:paraId="6F86CAF1" w14:textId="77777777">
        <w:trPr>
          <w:trHeight w:val="30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678EC175" w14:textId="43E8FF9B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003E1741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3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6AA091B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9:00 AM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C279D" w:rsidRDefault="002C279D" w14:paraId="2D0264F5" w14:textId="39467F4F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bookmarkStart w:name="_Int_wBui4iSv" w:id="2"/>
            <w:r w:rsidRPr="61D63EEB">
              <w:rPr>
                <w:rFonts w:ascii="Calibri" w:hAnsi="Calibri" w:eastAsia="Times New Roman" w:cs="Calibri"/>
                <w:color w:val="000000" w:themeColor="text1"/>
              </w:rPr>
              <w:t>Webinar</w:t>
            </w:r>
            <w:bookmarkEnd w:id="2"/>
          </w:p>
        </w:tc>
        <w:tc>
          <w:tcPr>
            <w:tcW w:w="3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4FE7D82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Zoom</w:t>
            </w:r>
          </w:p>
        </w:tc>
      </w:tr>
      <w:tr w:rsidRPr="003E1741" w:rsidR="002C279D" w:rsidTr="56FBAE94" w14:paraId="005D13CF" w14:textId="77777777">
        <w:trPr>
          <w:trHeight w:val="33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vAlign w:val="center"/>
            <w:hideMark/>
          </w:tcPr>
          <w:p w:rsidRPr="003E1741" w:rsidR="002C279D" w:rsidP="00234C17" w:rsidRDefault="002C279D" w14:paraId="2124818E" w14:textId="77777777">
            <w:pPr>
              <w:spacing w:after="0" w:line="240" w:lineRule="auto"/>
              <w:jc w:val="center"/>
              <w:rPr>
                <w:rFonts w:ascii="Trebuchet MS" w:hAnsi="Trebuchet MS" w:eastAsia="Times New Roman" w:cs="Calibri"/>
                <w:b/>
                <w:bCs/>
                <w:color w:val="FFFFFF"/>
              </w:rPr>
            </w:pPr>
            <w:r w:rsidRPr="003E1741">
              <w:rPr>
                <w:rFonts w:ascii="Trebuchet MS" w:hAnsi="Trebuchet MS" w:eastAsia="Times New Roman" w:cs="Calibri"/>
                <w:b/>
                <w:bCs/>
                <w:color w:val="FFFFFF"/>
              </w:rPr>
              <w:t>February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noWrap/>
            <w:vAlign w:val="center"/>
            <w:hideMark/>
          </w:tcPr>
          <w:p w:rsidRPr="003E1741" w:rsidR="002C279D" w:rsidP="00234C17" w:rsidRDefault="002C279D" w14:paraId="108ADDC2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noWrap/>
            <w:vAlign w:val="center"/>
            <w:hideMark/>
          </w:tcPr>
          <w:p w:rsidRPr="003E1741" w:rsidR="002C279D" w:rsidP="00234C17" w:rsidRDefault="002C279D" w14:paraId="3A6A25A8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  <w:tc>
          <w:tcPr>
            <w:tcW w:w="3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806000" w:themeFill="accent4" w:themeFillShade="80"/>
            <w:noWrap/>
            <w:vAlign w:val="center"/>
            <w:hideMark/>
          </w:tcPr>
          <w:p w:rsidRPr="003E1741" w:rsidR="002C279D" w:rsidP="00234C17" w:rsidRDefault="002C279D" w14:paraId="1533712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 </w:t>
            </w:r>
          </w:p>
        </w:tc>
      </w:tr>
      <w:tr w:rsidRPr="003E1741" w:rsidR="002C279D" w:rsidTr="56FBAE94" w14:paraId="3DB556C7" w14:textId="77777777">
        <w:trPr>
          <w:trHeight w:val="30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03DC86FD" w14:textId="06CB0BD5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3E3357D3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9:00 AM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52BD112B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Easton</w:t>
            </w:r>
          </w:p>
        </w:tc>
        <w:tc>
          <w:tcPr>
            <w:tcW w:w="3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234C17" w:rsidRDefault="002C279D" w14:paraId="3A487E74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CPDES Hall</w:t>
            </w:r>
          </w:p>
        </w:tc>
      </w:tr>
      <w:tr w:rsidRPr="00E00D2B" w:rsidR="002C279D" w:rsidTr="56FBAE94" w14:paraId="069C4222" w14:textId="77777777">
        <w:trPr>
          <w:trHeight w:val="300"/>
        </w:trPr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6B397F" w:rsidRDefault="002C279D" w14:paraId="70CED620" w14:textId="3FDEDBF0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04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6B397F" w:rsidRDefault="002C279D" w14:paraId="49F96E8E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9:00 AM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6B397F" w:rsidRDefault="002C279D" w14:paraId="01130AD7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Kerman</w:t>
            </w:r>
          </w:p>
        </w:tc>
        <w:tc>
          <w:tcPr>
            <w:tcW w:w="33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3E1741" w:rsidR="002C279D" w:rsidP="006B397F" w:rsidRDefault="002C279D" w14:paraId="529397FF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3E1741">
              <w:rPr>
                <w:rFonts w:ascii="Calibri" w:hAnsi="Calibri" w:eastAsia="Times New Roman" w:cs="Calibri"/>
                <w:color w:val="000000"/>
              </w:rPr>
              <w:t>Community Center</w:t>
            </w:r>
          </w:p>
        </w:tc>
      </w:tr>
      <w:tr w:rsidRPr="00E00D2B" w:rsidR="002C279D" w:rsidTr="56FBAE94" w14:paraId="67F99FF0" w14:textId="77777777">
        <w:trPr>
          <w:trHeight w:val="300"/>
        </w:trPr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002C279D" w:rsidP="006B397F" w:rsidRDefault="002C279D" w14:paraId="29018AD4" w14:textId="65C6450B">
            <w:pPr>
              <w:spacing w:after="0" w:line="240" w:lineRule="auto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 w:rsidRPr="6BBD3CC2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March 1</w:t>
            </w:r>
            <w:r w:rsidRPr="6BBD3CC2" w:rsidR="6AF73C94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</w:t>
            </w:r>
            <w:r w:rsidRPr="6BBD3CC2"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–October 31</w:t>
            </w:r>
          </w:p>
        </w:tc>
        <w:tc>
          <w:tcPr>
            <w:tcW w:w="104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1741" w:rsidR="002C279D" w:rsidP="006B397F" w:rsidRDefault="002C279D" w14:paraId="3B37A249" w14:textId="08D00686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Anytime</w:t>
            </w:r>
          </w:p>
        </w:tc>
        <w:tc>
          <w:tcPr>
            <w:tcW w:w="11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1741" w:rsidR="002C279D" w:rsidP="006B397F" w:rsidRDefault="002C279D" w14:paraId="605997FE" w14:textId="13254D7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Member Portal</w:t>
            </w:r>
          </w:p>
        </w:tc>
        <w:tc>
          <w:tcPr>
            <w:tcW w:w="331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1741" w:rsidR="002C279D" w:rsidP="006B397F" w:rsidRDefault="002C279D" w14:paraId="6828E46E" w14:textId="526F3248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http://kingsriverwqc.org/account</w:t>
            </w:r>
          </w:p>
        </w:tc>
      </w:tr>
    </w:tbl>
    <w:p w:rsidR="00660A13" w:rsidRDefault="00660A13" w14:paraId="7B76509E" w14:textId="6954E94E"/>
    <w:p w:rsidRPr="00660A13" w:rsidR="00997DCA" w:rsidP="0EF91167" w:rsidRDefault="006B397F" w14:paraId="27EB78F9" w14:textId="4A1AD030" w14:noSpellErr="1">
      <w:pPr>
        <w:rPr>
          <w:b w:val="1"/>
          <w:bCs w:val="1"/>
          <w:u w:val="single"/>
        </w:rPr>
      </w:pPr>
      <w:r w:rsidRPr="0EF91167" w:rsidR="006B397F">
        <w:rPr>
          <w:b w:val="1"/>
          <w:bCs w:val="1"/>
          <w:u w:val="single"/>
        </w:rPr>
        <w:t xml:space="preserve">Reminder: </w:t>
      </w:r>
      <w:r w:rsidRPr="0EF91167" w:rsidR="002C279D">
        <w:rPr>
          <w:b w:val="1"/>
          <w:bCs w:val="1"/>
          <w:u w:val="single"/>
        </w:rPr>
        <w:t>Irrigation and Nitrogen Management Plan (</w:t>
      </w:r>
      <w:r w:rsidRPr="0EF91167" w:rsidR="00646051">
        <w:rPr>
          <w:b w:val="1"/>
          <w:bCs w:val="1"/>
          <w:u w:val="single"/>
        </w:rPr>
        <w:t>INMP</w:t>
      </w:r>
      <w:r w:rsidRPr="0EF91167" w:rsidR="002C279D">
        <w:rPr>
          <w:b w:val="1"/>
          <w:bCs w:val="1"/>
          <w:u w:val="single"/>
        </w:rPr>
        <w:t>)</w:t>
      </w:r>
      <w:r w:rsidRPr="0EF91167" w:rsidR="00646051">
        <w:rPr>
          <w:b w:val="1"/>
          <w:bCs w:val="1"/>
          <w:u w:val="single"/>
        </w:rPr>
        <w:t xml:space="preserve"> Summary Report</w:t>
      </w:r>
      <w:r w:rsidRPr="0EF91167" w:rsidR="006B397F">
        <w:rPr>
          <w:b w:val="1"/>
          <w:bCs w:val="1"/>
          <w:u w:val="single"/>
        </w:rPr>
        <w:t xml:space="preserve"> Deadline - </w:t>
      </w:r>
      <w:r w:rsidRPr="0EF91167" w:rsidR="00646051">
        <w:rPr>
          <w:b w:val="1"/>
          <w:bCs w:val="1"/>
          <w:u w:val="single"/>
        </w:rPr>
        <w:t>March 1</w:t>
      </w:r>
      <w:r w:rsidRPr="0EF91167" w:rsidR="006B397F">
        <w:rPr>
          <w:b w:val="1"/>
          <w:bCs w:val="1"/>
          <w:u w:val="single"/>
        </w:rPr>
        <w:t>, 2024</w:t>
      </w:r>
    </w:p>
    <w:p w:rsidR="004917C1" w:rsidRDefault="004917C1" w14:paraId="44ED0A4A" w14:textId="47A06980">
      <w:r w:rsidR="1558C56B">
        <w:rPr/>
        <w:t>T</w:t>
      </w:r>
      <w:r w:rsidR="006B397F">
        <w:rPr/>
        <w:t>he</w:t>
      </w:r>
      <w:r w:rsidR="00660A13">
        <w:rPr/>
        <w:t xml:space="preserve"> March</w:t>
      </w:r>
      <w:r w:rsidR="00660A13">
        <w:rPr/>
        <w:t xml:space="preserve"> 1, </w:t>
      </w:r>
      <w:r w:rsidR="44065E83">
        <w:rPr/>
        <w:t>2024,</w:t>
      </w:r>
      <w:r w:rsidR="006B397F">
        <w:rPr/>
        <w:t xml:space="preserve"> deadline for </w:t>
      </w:r>
      <w:r w:rsidR="006B397F">
        <w:rPr/>
        <w:t>submitting</w:t>
      </w:r>
      <w:r w:rsidR="006B397F">
        <w:rPr/>
        <w:t xml:space="preserve"> the</w:t>
      </w:r>
      <w:r w:rsidR="002C279D">
        <w:rPr/>
        <w:t xml:space="preserve"> INMP Summary Report</w:t>
      </w:r>
      <w:r w:rsidR="006B397F">
        <w:rPr/>
        <w:t xml:space="preserve"> is </w:t>
      </w:r>
      <w:r w:rsidR="6DA51142">
        <w:rPr/>
        <w:t xml:space="preserve">fast </w:t>
      </w:r>
      <w:r w:rsidR="006B397F">
        <w:rPr/>
        <w:t>approachi</w:t>
      </w:r>
      <w:r w:rsidR="00660A13">
        <w:rPr/>
        <w:t>ng</w:t>
      </w:r>
      <w:r w:rsidR="006B397F">
        <w:rPr/>
        <w:t xml:space="preserve">. </w:t>
      </w:r>
      <w:r w:rsidR="048F0F0E">
        <w:rPr/>
        <w:t>T</w:t>
      </w:r>
      <w:r w:rsidR="006B397F">
        <w:rPr/>
        <w:t>he Central Valley Regional Water Quality Control Board</w:t>
      </w:r>
      <w:r w:rsidR="28085675">
        <w:rPr/>
        <w:t xml:space="preserve"> (CVRWQCB)</w:t>
      </w:r>
      <w:r w:rsidR="006B397F">
        <w:rPr/>
        <w:t xml:space="preserve"> may assess fines up to $1,000 per day</w:t>
      </w:r>
      <w:r w:rsidR="6E3685F5">
        <w:rPr/>
        <w:t xml:space="preserve"> for non-submittals</w:t>
      </w:r>
      <w:r w:rsidR="006B397F">
        <w:rPr/>
        <w:t xml:space="preserve">. </w:t>
      </w:r>
      <w:r w:rsidR="7A2C8147">
        <w:rPr/>
        <w:t>Additionally,</w:t>
      </w:r>
      <w:r w:rsidR="40C981A6">
        <w:rPr/>
        <w:t xml:space="preserve"> the CVRWQCB has begun selecting members not in compliance for on-farm inspections</w:t>
      </w:r>
      <w:r w:rsidR="40C981A6">
        <w:rPr/>
        <w:t xml:space="preserve">.  </w:t>
      </w:r>
      <w:r w:rsidR="7A2C8147">
        <w:rPr/>
        <w:t xml:space="preserve"> </w:t>
      </w:r>
      <w:r w:rsidR="6C8F9FE8">
        <w:rPr/>
        <w:t xml:space="preserve">All submittals must be done online through the </w:t>
      </w:r>
      <w:r w:rsidR="006B397F">
        <w:rPr/>
        <w:t xml:space="preserve">KRWQC member portal at </w:t>
      </w:r>
      <w:r w:rsidRPr="0EF91167" w:rsidR="006B397F">
        <w:rPr>
          <w:u w:val="single"/>
        </w:rPr>
        <w:t>kingsriverwqc.org/account</w:t>
      </w:r>
      <w:r w:rsidR="006B397F">
        <w:rPr/>
        <w:t xml:space="preserve">. </w:t>
      </w:r>
      <w:r w:rsidR="008B1AED">
        <w:rPr/>
        <w:t>The</w:t>
      </w:r>
      <w:r w:rsidR="002C279D">
        <w:rPr/>
        <w:t xml:space="preserve"> </w:t>
      </w:r>
      <w:r w:rsidR="006B397F">
        <w:rPr/>
        <w:t xml:space="preserve">Coalition </w:t>
      </w:r>
      <w:r w:rsidR="002C279D">
        <w:rPr/>
        <w:t xml:space="preserve">is available for </w:t>
      </w:r>
      <w:r w:rsidR="006B397F">
        <w:rPr/>
        <w:t>assistance</w:t>
      </w:r>
      <w:r w:rsidR="005B1C3A">
        <w:rPr/>
        <w:t xml:space="preserve"> </w:t>
      </w:r>
      <w:r w:rsidR="004F3E7F">
        <w:rPr/>
        <w:t xml:space="preserve">at </w:t>
      </w:r>
      <w:r>
        <w:fldChar w:fldCharType="begin"/>
      </w:r>
      <w:r>
        <w:instrText xml:space="preserve">HYPERLINK "mailto:info@kingsriverwqc.org"</w:instrText>
      </w:r>
      <w:r>
        <w:fldChar w:fldCharType="separate"/>
      </w:r>
      <w:r w:rsidRPr="0EF91167" w:rsidR="00AC03AE">
        <w:rPr>
          <w:rStyle w:val="Hyperlink"/>
        </w:rPr>
        <w:t>info@kingsriverwqc.org</w:t>
      </w:r>
      <w:r>
        <w:fldChar w:fldCharType="end"/>
      </w:r>
      <w:r w:rsidR="00AC03AE">
        <w:rPr/>
        <w:t xml:space="preserve"> or 559-</w:t>
      </w:r>
      <w:r w:rsidR="00A660F0">
        <w:rPr/>
        <w:t>365-7958</w:t>
      </w:r>
      <w:r w:rsidR="0024766C">
        <w:rPr/>
        <w:t xml:space="preserve">.  </w:t>
      </w:r>
      <w:r w:rsidR="0024766C">
        <w:rPr/>
        <w:t xml:space="preserve">Please be aware that </w:t>
      </w:r>
      <w:r w:rsidR="0024766C">
        <w:rPr/>
        <w:t>res</w:t>
      </w:r>
      <w:r w:rsidR="002C279D">
        <w:rPr/>
        <w:t>ponse</w:t>
      </w:r>
      <w:r w:rsidR="002C279D">
        <w:rPr/>
        <w:t xml:space="preserve"> times </w:t>
      </w:r>
      <w:r w:rsidR="5A644100">
        <w:rPr/>
        <w:t xml:space="preserve">increase </w:t>
      </w:r>
      <w:r w:rsidR="0024766C">
        <w:rPr/>
        <w:t xml:space="preserve">substantially </w:t>
      </w:r>
      <w:r w:rsidR="5A644100">
        <w:rPr/>
        <w:t>closer</w:t>
      </w:r>
      <w:r w:rsidR="5A644100">
        <w:rPr/>
        <w:t xml:space="preserve"> to </w:t>
      </w:r>
      <w:r w:rsidR="002C279D">
        <w:rPr/>
        <w:t>March 1</w:t>
      </w:r>
      <w:r w:rsidR="002C279D">
        <w:rPr/>
        <w:t xml:space="preserve">. </w:t>
      </w:r>
      <w:r w:rsidR="004917C1">
        <w:rPr/>
        <w:t xml:space="preserve"> </w:t>
      </w:r>
      <w:r w:rsidR="004917C1">
        <w:rPr/>
        <w:t xml:space="preserve"> </w:t>
      </w:r>
    </w:p>
    <w:p w:rsidR="004917C1" w:rsidP="0EF91167" w:rsidRDefault="004917C1" w14:paraId="761864E8" w14:textId="4D1BA2BA">
      <w:pPr>
        <w:pStyle w:val="Normal"/>
      </w:pPr>
    </w:p>
    <w:p w:rsidR="004917C1" w:rsidP="0EF91167" w:rsidRDefault="004917C1" w14:paraId="63CDA485" w14:textId="2C161C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F91167" w:rsidR="46468B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Drinking Water Wells Must Be Sampled Annually </w:t>
      </w:r>
      <w:r w:rsidRPr="0EF91167" w:rsidR="46468B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For</w:t>
      </w:r>
      <w:r w:rsidRPr="0EF91167" w:rsidR="46468B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Nitrate Levels</w:t>
      </w:r>
    </w:p>
    <w:p w:rsidR="004917C1" w:rsidP="0EF91167" w:rsidRDefault="004917C1" w14:paraId="736A5BD9" w14:textId="7C6828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Beginning January 1, 2020, Coalition members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were required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monitor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nitrates in their drinking water supply wells on enrolled parcels.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purpose of this monitoring is to identify drinking water wells that have nitrate concentrations exceeding the safe drinking water standard of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 milligrams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per liter (mg/L) as nitrogen (N).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Levels of nitrate above the standard for drinking water are dangerous for one’s health, especially for infants, pregnant and nursing woman. Sampling must be completed annually unless:</w:t>
      </w:r>
    </w:p>
    <w:p w:rsidR="004917C1" w:rsidP="0EF91167" w:rsidRDefault="004917C1" w14:paraId="1936C2A1" w14:textId="44D1424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Nitrate results are less than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 mg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/L for three consecutive years. If this is the case, sampling is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required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every 5 years after the 3rd year of sampling.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If you sampled annually from 2020 – 2022, you have reached your three consecutive years.</w:t>
      </w:r>
    </w:p>
    <w:p w:rsidR="004917C1" w:rsidP="0EF91167" w:rsidRDefault="004917C1" w14:paraId="06F244EF" w14:textId="1D8478B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Nitrate results are above 10 mg/L, the member does not need to continue to sample. Water users must be notified within 10 days with a signed copy of the notification sent to the Central Valley Regional Water Quality Board.</w:t>
      </w:r>
    </w:p>
    <w:p w:rsidR="004917C1" w:rsidP="0EF91167" w:rsidRDefault="004917C1" w14:paraId="755D55D0" w14:textId="3C50E2C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member has well nitrate results from the last 5 years from an Environmental Laboratory Accreditation Program certified laboratory.</w:t>
      </w:r>
    </w:p>
    <w:p w:rsidR="004917C1" w:rsidP="0EF91167" w:rsidRDefault="004917C1" w14:paraId="3AD706D3" w14:textId="0E0C7D1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Members that do not use their well to provide drinking water or provide bottled water are not required to monitor for nitrate but must keep records (e.g., photos/bottled water receipts) as verification. </w:t>
      </w:r>
    </w:p>
    <w:p w:rsidR="004917C1" w:rsidP="0EF91167" w:rsidRDefault="004917C1" w14:paraId="2D0BAF4D" w14:textId="785164A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Members must continue to sample drinking water wells annually if the nitrate result is equal to or greater than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8 mg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/l and is less than or equal to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10 mg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/L (&gt;= 8 and &lt;= 10 mg/l). Members with a filter or treatment system must sample their drinking water after the filter to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determine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treatment specifications are being met.</w:t>
      </w:r>
    </w:p>
    <w:p w:rsidR="004917C1" w:rsidP="0EF91167" w:rsidRDefault="004917C1" w14:paraId="60AFE175" w14:textId="729168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F91167" w:rsidR="46468B2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Irrigated Lands Regulatory Program Stakeholder meeting</w:t>
      </w:r>
    </w:p>
    <w:p w:rsidR="004917C1" w:rsidP="0EF91167" w:rsidRDefault="004917C1" w14:paraId="5EBBFBB1" w14:textId="3C05242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The next virtual ILRP Stakeholder meeting is scheduled for January 31, 2024, from 10 AM – 12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PM. 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Tentative agenda items include development of acceptable ranges for multi-year Nitrogen Applied (A) / Nitrogen Removed (R) ratio target values by crop and efforts to link management practice data to AR outcomes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 </w:t>
      </w:r>
      <w:r w:rsidRPr="0EF91167" w:rsidR="46468B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More information can be found here: </w:t>
      </w:r>
      <w:hyperlink r:id="R92a7c126e9244f22">
        <w:r w:rsidRPr="0EF91167" w:rsidR="46468B2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http://tinyurl.com/ae7b5fa8</w:t>
        </w:r>
      </w:hyperlink>
    </w:p>
    <w:p w:rsidR="004917C1" w:rsidP="0EF91167" w:rsidRDefault="004917C1" w14:paraId="6DDEBBA7" w14:textId="07BA145E">
      <w:pPr>
        <w:pStyle w:val="Normal"/>
      </w:pPr>
    </w:p>
    <w:p w:rsidR="004917C1" w:rsidP="1094E1C8" w:rsidRDefault="004917C1" w14:paraId="5EC9190A" w14:textId="0E9220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94E1C8" w:rsidR="78B0AED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Groundwater Trend Monitoring Update</w:t>
      </w:r>
      <w:r w:rsidR="78B0AED4">
        <w:drawing>
          <wp:inline wp14:editId="517922E7" wp14:anchorId="154D9F30">
            <wp:extent cx="3806132" cy="3124200"/>
            <wp:effectExtent l="0" t="0" r="0" b="0"/>
            <wp:docPr id="73973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4827ac055b4e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132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E8EAC">
        <w:drawing>
          <wp:inline wp14:editId="5FB15EE2" wp14:anchorId="5ED40A12">
            <wp:extent cx="2031546" cy="1066562"/>
            <wp:effectExtent l="0" t="0" r="0" b="0"/>
            <wp:docPr id="656894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6663760c84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546" cy="106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9E8EAC">
        <w:drawing>
          <wp:inline wp14:editId="2586643B" wp14:anchorId="2A08F335">
            <wp:extent cx="2324100" cy="1409700"/>
            <wp:effectExtent l="0" t="0" r="0" b="0"/>
            <wp:docPr id="451194449" name="" descr="A table with text on i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4ded55fd26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Earlier in 2023, the KRWQC submitted a Groundwater Trend Monitoring Annual Status Report (Annual Report) as required by Waste Discharge Requirements General Order for Growers in the Tulare Lake Basin that are Members of a Third-Party Group, Order No. R5-2013-0120-09 (General Order).  During summer of 2022, the KRWQC collected groundwater quality samples from 47 wells (19 domestic, 24 agricultural, 1 d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omestic\agricultural, and 3 public).  C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oncentrations of Nitrate as nitrogen (NO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en-US"/>
        </w:rPr>
        <w:t>3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-N) above the safe drinking water limit occurred in 11 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of the wells sampled (Figure 1), 5 of which were domestic wells.   Of the 48 wells included in the 2022 well network, 30 wells had the minimum five data points to conduct a time series linear trend analysis.  Table 1 shows linear model results for 2022 trend monitoring wells.  Sampling for the 2023 well network was completed in August 2023.  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Additional</w:t>
      </w:r>
      <w:r w:rsidRPr="1094E1C8" w:rsidR="78B0AE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trend analysis will be available in the 2023 Annual Report, as part of KWQC’s ongoing tracking.  </w:t>
      </w:r>
    </w:p>
    <w:p w:rsidR="0EF91167" w:rsidP="1094E1C8" w:rsidRDefault="0EF91167" w14:paraId="52393CF5" w14:textId="1CFCD88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0D2AB5" w:rsidP="1094E1C8" w:rsidRDefault="00997DCA" w14:paraId="51693F2C" w14:textId="07B3FCAE">
      <w:pPr>
        <w:rPr>
          <w:b w:val="1"/>
          <w:bCs w:val="1"/>
          <w:u w:val="single"/>
        </w:rPr>
      </w:pPr>
      <w:r w:rsidRPr="1094E1C8" w:rsidR="00997DCA">
        <w:rPr>
          <w:b w:val="1"/>
          <w:bCs w:val="1"/>
          <w:u w:val="single"/>
        </w:rPr>
        <w:t xml:space="preserve">How We </w:t>
      </w:r>
      <w:r w:rsidRPr="1094E1C8" w:rsidR="00590314">
        <w:rPr>
          <w:b w:val="1"/>
          <w:bCs w:val="1"/>
          <w:u w:val="single"/>
        </w:rPr>
        <w:t>Arrived</w:t>
      </w:r>
      <w:r w:rsidRPr="1094E1C8" w:rsidR="00997DCA">
        <w:rPr>
          <w:b w:val="1"/>
          <w:bCs w:val="1"/>
          <w:u w:val="single"/>
        </w:rPr>
        <w:t xml:space="preserve"> Here</w:t>
      </w:r>
      <w:r w:rsidRPr="1094E1C8" w:rsidR="000D2AB5">
        <w:rPr>
          <w:b w:val="1"/>
          <w:bCs w:val="1"/>
          <w:u w:val="single"/>
        </w:rPr>
        <w:t>:</w:t>
      </w:r>
    </w:p>
    <w:p w:rsidR="000D2AB5" w:rsidP="000D2AB5" w:rsidRDefault="003B7C7D" w14:paraId="06B51BC7" w14:textId="504026D6" w14:noSpellErr="1">
      <w:r w:rsidR="003B7C7D">
        <w:rPr/>
        <w:t>On September 19, 2013, the Central Valley Regional Water Quali</w:t>
      </w:r>
      <w:r w:rsidR="0046118D">
        <w:rPr/>
        <w:t>ty Control Board (</w:t>
      </w:r>
      <w:r w:rsidR="0046118D">
        <w:rPr/>
        <w:t>Regional Board</w:t>
      </w:r>
      <w:r w:rsidR="003B7C7D">
        <w:rPr/>
        <w:t xml:space="preserve">) approved the Waste Discharge </w:t>
      </w:r>
      <w:r w:rsidR="00797853">
        <w:rPr/>
        <w:t>Requirements General Order</w:t>
      </w:r>
      <w:r w:rsidR="12A28FCE">
        <w:rPr/>
        <w:t xml:space="preserve"> (General Order)</w:t>
      </w:r>
      <w:r w:rsidR="00797853">
        <w:rPr/>
        <w:t xml:space="preserve"> for g</w:t>
      </w:r>
      <w:r w:rsidR="003B7C7D">
        <w:rPr/>
        <w:t xml:space="preserve">rowers within the Tulare Lake Basin Area. The General Order addresses the discharge of waste from irrigated lands </w:t>
      </w:r>
      <w:r w:rsidR="00965894">
        <w:rPr/>
        <w:t>in</w:t>
      </w:r>
      <w:r w:rsidR="003B7C7D">
        <w:rPr/>
        <w:t>to</w:t>
      </w:r>
      <w:r w:rsidR="00965894">
        <w:rPr/>
        <w:t xml:space="preserve"> both</w:t>
      </w:r>
      <w:r w:rsidR="003B7C7D">
        <w:rPr/>
        <w:t xml:space="preserve"> </w:t>
      </w:r>
      <w:r w:rsidR="00E064D5">
        <w:rPr/>
        <w:t xml:space="preserve">groundwater and surface water. </w:t>
      </w:r>
      <w:r w:rsidR="000D2AB5">
        <w:rPr/>
        <w:t xml:space="preserve">To </w:t>
      </w:r>
      <w:r w:rsidR="00A8339F">
        <w:rPr/>
        <w:t>adhere</w:t>
      </w:r>
      <w:r w:rsidR="00997DCA">
        <w:rPr/>
        <w:t xml:space="preserve"> </w:t>
      </w:r>
      <w:r w:rsidR="00A8339F">
        <w:rPr/>
        <w:t>to</w:t>
      </w:r>
      <w:r w:rsidR="00997DCA">
        <w:rPr/>
        <w:t xml:space="preserve"> the regulation</w:t>
      </w:r>
      <w:r w:rsidR="00A8339F">
        <w:rPr/>
        <w:t>s</w:t>
      </w:r>
      <w:r w:rsidR="00997DCA">
        <w:rPr/>
        <w:t xml:space="preserve">, </w:t>
      </w:r>
      <w:r w:rsidR="00997DCA">
        <w:rPr/>
        <w:t>owne</w:t>
      </w:r>
      <w:r w:rsidR="00965894">
        <w:rPr/>
        <w:t>rs</w:t>
      </w:r>
      <w:r w:rsidR="00965894">
        <w:rPr/>
        <w:t xml:space="preserve"> and </w:t>
      </w:r>
      <w:r w:rsidR="000D2AB5">
        <w:rPr/>
        <w:t xml:space="preserve">operators of irrigated cropland in the Central Valley </w:t>
      </w:r>
      <w:r w:rsidR="00A8339F">
        <w:rPr/>
        <w:t>faced the obligation of either securing</w:t>
      </w:r>
      <w:r w:rsidR="000D2AB5">
        <w:rPr/>
        <w:t xml:space="preserve"> an individual per</w:t>
      </w:r>
      <w:r w:rsidR="003B7C7D">
        <w:rPr/>
        <w:t>mit for each farming operation</w:t>
      </w:r>
      <w:r w:rsidR="0046118D">
        <w:rPr/>
        <w:t xml:space="preserve"> from the Regional Board</w:t>
      </w:r>
      <w:r w:rsidR="00A8339F">
        <w:rPr/>
        <w:t xml:space="preserve"> or </w:t>
      </w:r>
      <w:r w:rsidR="003B7C7D">
        <w:rPr/>
        <w:t>j</w:t>
      </w:r>
      <w:r w:rsidR="000D2AB5">
        <w:rPr/>
        <w:t>oin</w:t>
      </w:r>
      <w:r w:rsidR="00A8339F">
        <w:rPr/>
        <w:t>ing</w:t>
      </w:r>
      <w:r w:rsidR="000D2AB5">
        <w:rPr/>
        <w:t xml:space="preserve"> a group that </w:t>
      </w:r>
      <w:r w:rsidR="000D2AB5">
        <w:rPr/>
        <w:t>represents</w:t>
      </w:r>
      <w:r w:rsidR="000D2AB5">
        <w:rPr/>
        <w:t xml:space="preserve"> farmers across a specific geographic </w:t>
      </w:r>
      <w:r w:rsidR="00E064D5">
        <w:rPr/>
        <w:t xml:space="preserve">region, commonly </w:t>
      </w:r>
      <w:r w:rsidR="00A8339F">
        <w:rPr/>
        <w:t>referred to</w:t>
      </w:r>
      <w:r w:rsidR="00E064D5">
        <w:rPr/>
        <w:t xml:space="preserve"> as a water quality coalition</w:t>
      </w:r>
      <w:r w:rsidR="003B7C7D">
        <w:rPr/>
        <w:t>.</w:t>
      </w:r>
    </w:p>
    <w:p w:rsidR="00A57C71" w:rsidP="1094E1C8" w:rsidRDefault="00965894" w14:paraId="6C6B44C8" w14:textId="397E549B">
      <w:pPr>
        <w:rPr>
          <w:b w:val="1"/>
          <w:bCs w:val="1"/>
          <w:u w:val="single"/>
        </w:rPr>
      </w:pPr>
      <w:r w:rsidRPr="1094E1C8" w:rsidR="00965894">
        <w:rPr>
          <w:b w:val="1"/>
          <w:bCs w:val="1"/>
          <w:u w:val="single"/>
        </w:rPr>
        <w:t>Who We Are:</w:t>
      </w:r>
    </w:p>
    <w:p w:rsidR="00590314" w:rsidRDefault="00643A6D" w14:paraId="3435F834" w14:textId="7A5BF4D2">
      <w:r w:rsidR="00643A6D">
        <w:rPr/>
        <w:t xml:space="preserve">On November 20, 2013, the Kings River Water Quality Coalition (KRWQC or Coalition) was approved to </w:t>
      </w:r>
      <w:r w:rsidR="52F755AC">
        <w:rPr/>
        <w:t>serve</w:t>
      </w:r>
      <w:r w:rsidR="00643A6D">
        <w:rPr/>
        <w:t xml:space="preserve"> as a </w:t>
      </w:r>
      <w:bookmarkStart w:name="_Int_qvMtc85T" w:id="18"/>
      <w:r w:rsidR="00643A6D">
        <w:rPr/>
        <w:t>third-party representing members</w:t>
      </w:r>
      <w:bookmarkEnd w:id="18"/>
      <w:r w:rsidR="00643A6D">
        <w:rPr/>
        <w:t xml:space="preserve"> in the Kings River Watershed. </w:t>
      </w:r>
      <w:r w:rsidR="3092A7B4">
        <w:rPr/>
        <w:t xml:space="preserve">The KRWQC is a joint powers agency </w:t>
      </w:r>
      <w:r w:rsidR="3092A7B4">
        <w:rPr/>
        <w:t>established</w:t>
      </w:r>
      <w:r w:rsidR="3092A7B4">
        <w:rPr/>
        <w:t xml:space="preserve"> by the irrigation districts in the Kings River service area and governed by a board of directors </w:t>
      </w:r>
      <w:r w:rsidR="3092A7B4">
        <w:rPr/>
        <w:t>comprised</w:t>
      </w:r>
      <w:r w:rsidR="3092A7B4">
        <w:rPr/>
        <w:t xml:space="preserve"> of landowners from each distric</w:t>
      </w:r>
      <w:r w:rsidR="3092A7B4">
        <w:rPr/>
        <w:t>t.</w:t>
      </w:r>
      <w:r w:rsidR="00643A6D">
        <w:rPr/>
        <w:t xml:space="preserve"> </w:t>
      </w:r>
      <w:r w:rsidR="00590314">
        <w:rPr/>
        <w:t xml:space="preserve">It is important to note that the </w:t>
      </w:r>
      <w:r w:rsidR="00660A13">
        <w:rPr/>
        <w:t>Coalition</w:t>
      </w:r>
      <w:r w:rsidR="00590314">
        <w:rPr/>
        <w:t xml:space="preserve"> does not function as a regulatory or enforcement agency; rather, it serves as an intermediary</w:t>
      </w:r>
      <w:r w:rsidR="00091380">
        <w:rPr/>
        <w:t xml:space="preserve"> or </w:t>
      </w:r>
      <w:r w:rsidR="008330A7">
        <w:rPr/>
        <w:t>representative</w:t>
      </w:r>
      <w:r w:rsidR="00590314">
        <w:rPr/>
        <w:t xml:space="preserve"> for its members.</w:t>
      </w:r>
    </w:p>
    <w:p w:rsidR="00A57C71" w:rsidP="1094E1C8" w:rsidRDefault="00590314" w14:paraId="57C12D3C" w14:textId="6C7EF827">
      <w:pPr>
        <w:rPr>
          <w:b w:val="1"/>
          <w:bCs w:val="1"/>
          <w:u w:val="single"/>
        </w:rPr>
      </w:pPr>
      <w:r w:rsidRPr="1094E1C8" w:rsidR="00590314">
        <w:rPr>
          <w:b w:val="1"/>
          <w:bCs w:val="1"/>
          <w:u w:val="single"/>
        </w:rPr>
        <w:t xml:space="preserve">Our </w:t>
      </w:r>
      <w:r w:rsidRPr="1094E1C8" w:rsidR="00660A13">
        <w:rPr>
          <w:b w:val="1"/>
          <w:bCs w:val="1"/>
          <w:u w:val="single"/>
        </w:rPr>
        <w:t>Mission</w:t>
      </w:r>
      <w:r w:rsidRPr="1094E1C8" w:rsidR="00590314">
        <w:rPr>
          <w:b w:val="1"/>
          <w:bCs w:val="1"/>
          <w:u w:val="single"/>
        </w:rPr>
        <w:t>:</w:t>
      </w:r>
    </w:p>
    <w:p w:rsidR="006C7E96" w:rsidP="0EF91167" w:rsidRDefault="006342D2" w14:paraId="33149686" w14:textId="6621A619">
      <w:pPr>
        <w:pStyle w:val="Normal"/>
      </w:pPr>
      <w:r w:rsidR="006342D2">
        <w:rPr/>
        <w:t xml:space="preserve">The Coalition </w:t>
      </w:r>
      <w:r w:rsidR="00E32D0E">
        <w:rPr/>
        <w:t xml:space="preserve">provides </w:t>
      </w:r>
      <w:r w:rsidR="00590314">
        <w:rPr/>
        <w:t xml:space="preserve">growers with regional and cost-effective </w:t>
      </w:r>
      <w:r w:rsidR="6BF53E97">
        <w:rPr/>
        <w:t>way</w:t>
      </w:r>
      <w:r w:rsidR="07D4AAA4">
        <w:rPr/>
        <w:t>s</w:t>
      </w:r>
      <w:r w:rsidR="6BF53E97">
        <w:rPr/>
        <w:t xml:space="preserve"> to </w:t>
      </w:r>
      <w:r w:rsidR="6BF53E97">
        <w:rPr/>
        <w:t>comply</w:t>
      </w:r>
      <w:r w:rsidR="00590314">
        <w:rPr/>
        <w:t xml:space="preserve"> with</w:t>
      </w:r>
      <w:r w:rsidR="00590314">
        <w:rPr/>
        <w:t xml:space="preserve"> the Waste Discharge Requirements s</w:t>
      </w:r>
      <w:r w:rsidR="00797853">
        <w:rPr/>
        <w:t xml:space="preserve">tipulated by the </w:t>
      </w:r>
      <w:r w:rsidR="00590314">
        <w:rPr/>
        <w:t>Regional Board</w:t>
      </w:r>
      <w:r w:rsidR="00590314">
        <w:rPr/>
        <w:t>.</w:t>
      </w:r>
      <w:r w:rsidR="002C3C6B">
        <w:rPr/>
        <w:t xml:space="preserve"> </w:t>
      </w:r>
      <w:r w:rsidR="61593601">
        <w:rPr/>
        <w:t xml:space="preserve"> </w:t>
      </w:r>
      <w:r w:rsidR="61593601">
        <w:rPr/>
        <w:t xml:space="preserve"> As a representative for its members, the KRWQC </w:t>
      </w:r>
      <w:r w:rsidR="61593601">
        <w:rPr/>
        <w:t>is responsible for</w:t>
      </w:r>
      <w:r w:rsidR="61593601">
        <w:rPr/>
        <w:t xml:space="preserve"> monitoring, technical reports, management practices evaluation, trend analysis, member reporting, and </w:t>
      </w:r>
      <w:r w:rsidR="61593601">
        <w:rPr/>
        <w:t>assistance</w:t>
      </w:r>
      <w:r w:rsidR="61593601">
        <w:rPr/>
        <w:t xml:space="preserve"> with on-farm inspections</w:t>
      </w:r>
      <w:r w:rsidR="2860EFF0">
        <w:rPr/>
        <w:t xml:space="preserve">.  </w:t>
      </w:r>
      <w:r w:rsidR="2860EFF0">
        <w:rPr/>
        <w:t xml:space="preserve">KRWQC also conducts monthly surface water monitoring, annual groundwater monitoring, outreach and education, member reporting, compliance activities, and evaluation of protective management practices, </w:t>
      </w:r>
      <w:r w:rsidR="47054B8C">
        <w:rPr/>
        <w:t>among its</w:t>
      </w:r>
      <w:r w:rsidR="2860EFF0">
        <w:rPr/>
        <w:t xml:space="preserve"> responsibilities</w:t>
      </w:r>
      <w:r w:rsidR="2860EFF0">
        <w:rPr/>
        <w:t xml:space="preserve">.  </w:t>
      </w:r>
      <w:r w:rsidR="00AC5982">
        <w:rPr/>
        <w:t>KRWQC</w:t>
      </w:r>
      <w:r w:rsidR="00B061DA">
        <w:rPr/>
        <w:t xml:space="preserve"> fees </w:t>
      </w:r>
      <w:r w:rsidR="00AB2450">
        <w:rPr/>
        <w:t xml:space="preserve">currently </w:t>
      </w:r>
      <w:r w:rsidR="00B061DA">
        <w:rPr/>
        <w:t>range from</w:t>
      </w:r>
      <w:r w:rsidR="4C6EA27F">
        <w:rPr/>
        <w:t xml:space="preserve"> $30 plus</w:t>
      </w:r>
      <w:r w:rsidR="00B061DA">
        <w:rPr/>
        <w:t xml:space="preserve"> </w:t>
      </w:r>
      <w:r w:rsidR="009C1BE8">
        <w:rPr/>
        <w:t xml:space="preserve">$2.91 to </w:t>
      </w:r>
      <w:r w:rsidR="00D92818">
        <w:rPr/>
        <w:t>$</w:t>
      </w:r>
      <w:r w:rsidR="004D598C">
        <w:rPr/>
        <w:t>4.93 per irrigated acres</w:t>
      </w:r>
      <w:r w:rsidR="00D92818">
        <w:rPr/>
        <w:t xml:space="preserve"> </w:t>
      </w:r>
      <w:r w:rsidR="00F37FA9">
        <w:rPr/>
        <w:t xml:space="preserve">compared to </w:t>
      </w:r>
      <w:r w:rsidR="00B53365">
        <w:rPr/>
        <w:t>$33.45 per irrigated acre</w:t>
      </w:r>
      <w:r w:rsidR="007E51EF">
        <w:rPr/>
        <w:t xml:space="preserve"> plus </w:t>
      </w:r>
      <w:r w:rsidR="00EE4A81">
        <w:rPr/>
        <w:t>$17.</w:t>
      </w:r>
      <w:r w:rsidR="007F3DAD">
        <w:rPr/>
        <w:t>73 per irrigated acre (&gt; 300 acres) with a minimu</w:t>
      </w:r>
      <w:r w:rsidR="007F3DAD">
        <w:rPr/>
        <w:t>m fee of $673</w:t>
      </w:r>
      <w:r w:rsidR="00640EE0">
        <w:rPr/>
        <w:t xml:space="preserve"> for individual enrollment</w:t>
      </w:r>
      <w:r w:rsidR="007F3DAD">
        <w:rPr/>
        <w:t xml:space="preserve">.  </w:t>
      </w:r>
      <w:r w:rsidR="00E32D0E">
        <w:rPr/>
        <w:t xml:space="preserve"> </w:t>
      </w:r>
    </w:p>
    <w:p w:rsidR="002C279D" w:rsidP="2895F1E4" w:rsidRDefault="002C279D" w14:paraId="5A9FA6CD" w14:textId="503FEA86"/>
    <w:p w:rsidR="002C279D" w:rsidRDefault="002C279D" w14:paraId="683EAC5F" w14:textId="54B4AC67"/>
    <w:p w:rsidR="002C279D" w:rsidRDefault="002C279D" w14:paraId="3246D1FF" w14:textId="4A817947"/>
    <w:p w:rsidR="002C279D" w:rsidRDefault="002C279D" w14:paraId="641665D1" w14:textId="77777777"/>
    <w:sectPr w:rsidR="002C279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umin 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wBui4iSv" int2:invalidationBookmarkName="" int2:hashCode="K2zCvNxt3oYM2v" int2:id="4Ak42bfh">
      <int2:state int2:value="Rejected" int2:type="AugLoop_Text_Critique"/>
    </int2:bookmark>
    <int2:bookmark int2:bookmarkName="_Int_M6KN1oUa" int2:invalidationBookmarkName="" int2:hashCode="K2zCvNxt3oYM2v" int2:id="PQ5FuoOz">
      <int2:state int2:value="Rejected" int2:type="AugLoop_Text_Critique"/>
    </int2:bookmark>
    <int2:bookmark int2:bookmarkName="_Int_DXxt07tp" int2:invalidationBookmarkName="" int2:hashCode="llbS/j5qYzCVpv" int2:id="aRiVqmVl">
      <int2:state int2:value="Rejected" int2:type="AugLoop_Text_Critique"/>
    </int2:bookmark>
    <int2:bookmark int2:bookmarkName="_Int_qvMtc85T" int2:invalidationBookmarkName="" int2:hashCode="5gGV78Hh+TXeNF" int2:id="uim6EHp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">
    <w:nsid w:val="53094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336f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f2c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fccb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528"/>
    <w:rsid w:val="00091380"/>
    <w:rsid w:val="000B7CAF"/>
    <w:rsid w:val="000C2591"/>
    <w:rsid w:val="000C30CB"/>
    <w:rsid w:val="000C7C6D"/>
    <w:rsid w:val="000D2AB5"/>
    <w:rsid w:val="0010056C"/>
    <w:rsid w:val="00110986"/>
    <w:rsid w:val="00153189"/>
    <w:rsid w:val="00200EF3"/>
    <w:rsid w:val="00227A91"/>
    <w:rsid w:val="00234C17"/>
    <w:rsid w:val="0024766C"/>
    <w:rsid w:val="002C09CD"/>
    <w:rsid w:val="002C279D"/>
    <w:rsid w:val="002C3C6B"/>
    <w:rsid w:val="002C5304"/>
    <w:rsid w:val="002F28A2"/>
    <w:rsid w:val="00362825"/>
    <w:rsid w:val="003844C6"/>
    <w:rsid w:val="003B7C7D"/>
    <w:rsid w:val="003E1741"/>
    <w:rsid w:val="004054EB"/>
    <w:rsid w:val="00406650"/>
    <w:rsid w:val="00440185"/>
    <w:rsid w:val="0046118D"/>
    <w:rsid w:val="004917C1"/>
    <w:rsid w:val="004C01CD"/>
    <w:rsid w:val="004D1170"/>
    <w:rsid w:val="004D1C5F"/>
    <w:rsid w:val="004D598C"/>
    <w:rsid w:val="004E46AC"/>
    <w:rsid w:val="004F3E7F"/>
    <w:rsid w:val="005002CE"/>
    <w:rsid w:val="00553676"/>
    <w:rsid w:val="0057481D"/>
    <w:rsid w:val="00580F25"/>
    <w:rsid w:val="00590314"/>
    <w:rsid w:val="005B1C3A"/>
    <w:rsid w:val="005C5F57"/>
    <w:rsid w:val="005E5797"/>
    <w:rsid w:val="006027E4"/>
    <w:rsid w:val="00604984"/>
    <w:rsid w:val="006342D2"/>
    <w:rsid w:val="00640EE0"/>
    <w:rsid w:val="00643A6D"/>
    <w:rsid w:val="00643EDD"/>
    <w:rsid w:val="00646051"/>
    <w:rsid w:val="00660A13"/>
    <w:rsid w:val="00671AB1"/>
    <w:rsid w:val="006A2EEF"/>
    <w:rsid w:val="006A5F42"/>
    <w:rsid w:val="006B397F"/>
    <w:rsid w:val="006C1B6B"/>
    <w:rsid w:val="006C7E96"/>
    <w:rsid w:val="00726460"/>
    <w:rsid w:val="00737099"/>
    <w:rsid w:val="00742473"/>
    <w:rsid w:val="00743FA5"/>
    <w:rsid w:val="007712EF"/>
    <w:rsid w:val="00797853"/>
    <w:rsid w:val="007A2B0F"/>
    <w:rsid w:val="007E51EF"/>
    <w:rsid w:val="007F3DAD"/>
    <w:rsid w:val="007F3EFE"/>
    <w:rsid w:val="007F6A92"/>
    <w:rsid w:val="008330A7"/>
    <w:rsid w:val="0086712F"/>
    <w:rsid w:val="00885CB3"/>
    <w:rsid w:val="00894E5B"/>
    <w:rsid w:val="008A7342"/>
    <w:rsid w:val="008B1AED"/>
    <w:rsid w:val="008F0130"/>
    <w:rsid w:val="00930C24"/>
    <w:rsid w:val="00943630"/>
    <w:rsid w:val="00945929"/>
    <w:rsid w:val="00965894"/>
    <w:rsid w:val="00980772"/>
    <w:rsid w:val="00997DCA"/>
    <w:rsid w:val="009A4FEB"/>
    <w:rsid w:val="009B4775"/>
    <w:rsid w:val="009C1BE8"/>
    <w:rsid w:val="009D0000"/>
    <w:rsid w:val="009D739C"/>
    <w:rsid w:val="009E12AB"/>
    <w:rsid w:val="00A05098"/>
    <w:rsid w:val="00A112AA"/>
    <w:rsid w:val="00A17EE9"/>
    <w:rsid w:val="00A239F2"/>
    <w:rsid w:val="00A52528"/>
    <w:rsid w:val="00A57C71"/>
    <w:rsid w:val="00A660F0"/>
    <w:rsid w:val="00A70A08"/>
    <w:rsid w:val="00A75A4C"/>
    <w:rsid w:val="00A8339F"/>
    <w:rsid w:val="00AB2450"/>
    <w:rsid w:val="00AB5CF7"/>
    <w:rsid w:val="00AC03AE"/>
    <w:rsid w:val="00AC4A85"/>
    <w:rsid w:val="00AC5982"/>
    <w:rsid w:val="00AE2B21"/>
    <w:rsid w:val="00B061DA"/>
    <w:rsid w:val="00B40D8B"/>
    <w:rsid w:val="00B53365"/>
    <w:rsid w:val="00BD3E61"/>
    <w:rsid w:val="00C23E23"/>
    <w:rsid w:val="00C52793"/>
    <w:rsid w:val="00C91A87"/>
    <w:rsid w:val="00C962EB"/>
    <w:rsid w:val="00CA517B"/>
    <w:rsid w:val="00CA51F2"/>
    <w:rsid w:val="00CD790F"/>
    <w:rsid w:val="00D00A0D"/>
    <w:rsid w:val="00D52B27"/>
    <w:rsid w:val="00D92818"/>
    <w:rsid w:val="00DB09A5"/>
    <w:rsid w:val="00DB298A"/>
    <w:rsid w:val="00DE6EC6"/>
    <w:rsid w:val="00E064D5"/>
    <w:rsid w:val="00E326BE"/>
    <w:rsid w:val="00E32D0E"/>
    <w:rsid w:val="00E371B6"/>
    <w:rsid w:val="00E90318"/>
    <w:rsid w:val="00EB4A4B"/>
    <w:rsid w:val="00EE357A"/>
    <w:rsid w:val="00EE4A81"/>
    <w:rsid w:val="00EF33C7"/>
    <w:rsid w:val="00F3113B"/>
    <w:rsid w:val="00F37FA9"/>
    <w:rsid w:val="00F4237B"/>
    <w:rsid w:val="00F44160"/>
    <w:rsid w:val="00F50721"/>
    <w:rsid w:val="00F74A02"/>
    <w:rsid w:val="020A9EAB"/>
    <w:rsid w:val="048F0F0E"/>
    <w:rsid w:val="05115FB5"/>
    <w:rsid w:val="05DC7D32"/>
    <w:rsid w:val="05E4A968"/>
    <w:rsid w:val="07D4AAA4"/>
    <w:rsid w:val="0A494918"/>
    <w:rsid w:val="0BC170A5"/>
    <w:rsid w:val="0EF91167"/>
    <w:rsid w:val="1094E1C8"/>
    <w:rsid w:val="11448C20"/>
    <w:rsid w:val="12A28FCE"/>
    <w:rsid w:val="1558C56B"/>
    <w:rsid w:val="15B15EE6"/>
    <w:rsid w:val="186711C7"/>
    <w:rsid w:val="1B3B29AD"/>
    <w:rsid w:val="1D3C7D16"/>
    <w:rsid w:val="1ED6534B"/>
    <w:rsid w:val="207223AC"/>
    <w:rsid w:val="20D69BEC"/>
    <w:rsid w:val="212418CC"/>
    <w:rsid w:val="22359B1C"/>
    <w:rsid w:val="24A283BF"/>
    <w:rsid w:val="255E5122"/>
    <w:rsid w:val="2668C1C2"/>
    <w:rsid w:val="27728B7B"/>
    <w:rsid w:val="27C9E11F"/>
    <w:rsid w:val="28085675"/>
    <w:rsid w:val="2860EFF0"/>
    <w:rsid w:val="2895F1E4"/>
    <w:rsid w:val="2ABE8C12"/>
    <w:rsid w:val="2B4D9851"/>
    <w:rsid w:val="2C7D7EEF"/>
    <w:rsid w:val="2EA89116"/>
    <w:rsid w:val="308DC6E0"/>
    <w:rsid w:val="30922F28"/>
    <w:rsid w:val="3092A7B4"/>
    <w:rsid w:val="31F3539F"/>
    <w:rsid w:val="32DA242D"/>
    <w:rsid w:val="357D0240"/>
    <w:rsid w:val="35EAD07B"/>
    <w:rsid w:val="369ACB6F"/>
    <w:rsid w:val="3BE96815"/>
    <w:rsid w:val="40C981A6"/>
    <w:rsid w:val="4111C7D4"/>
    <w:rsid w:val="439E8EAC"/>
    <w:rsid w:val="44065E83"/>
    <w:rsid w:val="46468B2F"/>
    <w:rsid w:val="46C709D1"/>
    <w:rsid w:val="47054B8C"/>
    <w:rsid w:val="4B0EAD45"/>
    <w:rsid w:val="4C6EA27F"/>
    <w:rsid w:val="4D965313"/>
    <w:rsid w:val="502F600B"/>
    <w:rsid w:val="50728FFB"/>
    <w:rsid w:val="51BEBE35"/>
    <w:rsid w:val="52653A83"/>
    <w:rsid w:val="52F755AC"/>
    <w:rsid w:val="54466403"/>
    <w:rsid w:val="549C672E"/>
    <w:rsid w:val="56FBAE94"/>
    <w:rsid w:val="5A644100"/>
    <w:rsid w:val="5B3E2D30"/>
    <w:rsid w:val="5DB46463"/>
    <w:rsid w:val="61593601"/>
    <w:rsid w:val="61D63EEB"/>
    <w:rsid w:val="67421E4C"/>
    <w:rsid w:val="67C3DC90"/>
    <w:rsid w:val="68E0DFF9"/>
    <w:rsid w:val="6AF73C94"/>
    <w:rsid w:val="6BBD3CC2"/>
    <w:rsid w:val="6BF53E97"/>
    <w:rsid w:val="6C8F9FE8"/>
    <w:rsid w:val="6DA51142"/>
    <w:rsid w:val="6DE34480"/>
    <w:rsid w:val="6DF22F3C"/>
    <w:rsid w:val="6E3685F5"/>
    <w:rsid w:val="6F4D3031"/>
    <w:rsid w:val="7129CFFE"/>
    <w:rsid w:val="740B9D3F"/>
    <w:rsid w:val="7420A154"/>
    <w:rsid w:val="74592CF1"/>
    <w:rsid w:val="74851994"/>
    <w:rsid w:val="75E61026"/>
    <w:rsid w:val="767CF1B2"/>
    <w:rsid w:val="7859B6E6"/>
    <w:rsid w:val="78B0AED4"/>
    <w:rsid w:val="7A1B56A1"/>
    <w:rsid w:val="7A2C8147"/>
    <w:rsid w:val="7C4CA68A"/>
    <w:rsid w:val="7CF2CE10"/>
    <w:rsid w:val="7DC80404"/>
    <w:rsid w:val="7EA2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4F8B"/>
  <w15:chartTrackingRefBased/>
  <w15:docId w15:val="{F265E0C0-41E2-440A-978E-655E0D81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E1741"/>
    <w:rPr>
      <w:kern w:val="0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304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00A0D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C03AE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16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44160"/>
    <w:rPr>
      <w:b/>
      <w:bCs/>
      <w:kern w:val="0"/>
      <w:sz w:val="20"/>
      <w:szCs w:val="20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microsoft.com/office/2016/09/relationships/commentsIds" Target="commentsIds.xml" Id="rId13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microsoft.com/office/2011/relationships/commentsExtended" Target="commentsExtended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microsoft.com/office/2011/relationships/people" Target="peop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hyperlink" Target="https://kingsriverwqc.org/workshops/" TargetMode="Externa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yperlink" Target="http://tinyurl.com/ae7b5fa8" TargetMode="External" Id="R92a7c126e9244f22" /><Relationship Type="http://schemas.openxmlformats.org/officeDocument/2006/relationships/image" Target="/media/image.jpg" Id="R9b4827ac055b4eae" /><Relationship Type="http://schemas.openxmlformats.org/officeDocument/2006/relationships/image" Target="/media/image2.jpg" Id="Rab6663760c844792" /><Relationship Type="http://schemas.openxmlformats.org/officeDocument/2006/relationships/image" Target="/media/image2.png" Id="R5d4ded55fd264e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ater Resources Document" ma:contentTypeID="0x0101005368617265B2436F726549415061636B003FE232BCE0061246A2299B3160E72F1A" ma:contentTypeVersion="65" ma:contentTypeDescription="Base Content Type for all Documents at KRCD" ma:contentTypeScope="" ma:versionID="de6c370b994d7bb565e70b1cebde35ab">
  <xsd:schema xmlns:xsd="http://www.w3.org/2001/XMLSchema" xmlns:xs="http://www.w3.org/2001/XMLSchema" xmlns:p="http://schemas.microsoft.com/office/2006/metadata/properties" xmlns:ns2="acf257d5-104f-4211-aef0-c38cb86cbdb1" xmlns:ns3="07d26b81-4213-4f97-acb3-83da1a321c01" xmlns:ns4="ae427e1c-196e-4f77-8185-692ea7aeca37" targetNamespace="http://schemas.microsoft.com/office/2006/metadata/properties" ma:root="true" ma:fieldsID="2138ee5b76787db96f6346aaa513607a" ns2:_="" ns3:_="" ns4:_="">
    <xsd:import namespace="acf257d5-104f-4211-aef0-c38cb86cbdb1"/>
    <xsd:import namespace="07d26b81-4213-4f97-acb3-83da1a321c01"/>
    <xsd:import namespace="ae427e1c-196e-4f77-8185-692ea7aeca37"/>
    <xsd:element name="properties">
      <xsd:complexType>
        <xsd:sequence>
          <xsd:element name="documentManagement">
            <xsd:complexType>
              <xsd:all>
                <xsd:element ref="ns2:KRCDDocumentOwner" minOccurs="0"/>
                <xsd:element ref="ns2:KRCDFileCode" minOccurs="0"/>
                <xsd:element ref="ns2:KRCDSynopsis" minOccurs="0"/>
                <xsd:element ref="ns2:KRCDTrueDocumentDate" minOccurs="0"/>
                <xsd:element ref="ns2:cecf5de67bf5441387c869544b694e42" minOccurs="0"/>
                <xsd:element ref="ns2:ic1df185eece4aa08afac22bde2dca57" minOccurs="0"/>
                <xsd:element ref="ns2:TaxCatchAll" minOccurs="0"/>
                <xsd:element ref="ns2:TaxCatchAllLabel" minOccurs="0"/>
                <xsd:element ref="ns2:l75a777c1d134e1c8f7601dce2771906" minOccurs="0"/>
                <xsd:element ref="ns2:l3685371474f49415343446f63547970" minOccurs="0"/>
                <xsd:element ref="ns2:l3685371474f49415343427573556e74" minOccurs="0"/>
                <xsd:element ref="ns2:p4040365b4834d528be2ae8cca85d962" minOccurs="0"/>
                <xsd:element ref="ns3:_dlc_DocId" minOccurs="0"/>
                <xsd:element ref="ns3:_dlc_DocIdUrl" minOccurs="0"/>
                <xsd:element ref="ns3:_dlc_DocIdPersistId" minOccurs="0"/>
                <xsd:element ref="ns4:lcf76f155ced4ddcb4097134ff3c332f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ObjectDetectorVersion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257d5-104f-4211-aef0-c38cb86cbdb1" elementFormDefault="qualified">
    <xsd:import namespace="http://schemas.microsoft.com/office/2006/documentManagement/types"/>
    <xsd:import namespace="http://schemas.microsoft.com/office/infopath/2007/PartnerControls"/>
    <xsd:element name="KRCDDocumentOwner" ma:index="4" nillable="true" ma:displayName="Document Owner" ma:default="" ma:description="" ma:list="UserInfo" ma:SearchPeopleOnly="false" ma:SharePointGroup="0" ma:internalName="KRCDDocumen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RCDFileCode" ma:index="7" nillable="true" ma:displayName="File Code" ma:default="" ma:description="" ma:internalName="KRCDFileCode" ma:readOnly="false">
      <xsd:simpleType>
        <xsd:restriction base="dms:Text">
          <xsd:maxLength value="255"/>
        </xsd:restriction>
      </xsd:simpleType>
    </xsd:element>
    <xsd:element name="KRCDSynopsis" ma:index="8" nillable="true" ma:displayName="Synopsis" ma:description="Enter a brief description of the document" ma:internalName="KRCDSynopsis" ma:readOnly="false">
      <xsd:simpleType>
        <xsd:restriction base="dms:Note">
          <xsd:maxLength value="255"/>
        </xsd:restriction>
      </xsd:simpleType>
    </xsd:element>
    <xsd:element name="KRCDTrueDocumentDate" ma:index="9" nillable="true" ma:displayName="True Document Date" ma:description="" ma:format="DateOnly" ma:internalName="KRCDTrueDocumentDate" ma:readOnly="false">
      <xsd:simpleType>
        <xsd:restriction base="dms:DateTime"/>
      </xsd:simpleType>
    </xsd:element>
    <xsd:element name="cecf5de67bf5441387c869544b694e42" ma:index="12" nillable="true" ma:taxonomy="true" ma:internalName="cecf5de67bf5441387c869544b694e42" ma:taxonomyFieldName="KRCDRegulatoryAgency" ma:displayName="Regulatory Agencies" ma:readOnly="false" ma:default="" ma:fieldId="{cecf5de6-7bf5-4413-87c8-69544b694e42}" ma:taxonomyMulti="true" ma:sspId="7f1bf922-3cfb-44b1-acaa-59931d20d6e3" ma:termSetId="b885f7a9-aaf4-4393-9579-db32f2f4fa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1df185eece4aa08afac22bde2dca57" ma:index="15" nillable="true" ma:taxonomy="true" ma:internalName="ic1df185eece4aa08afac22bde2dca57" ma:taxonomyFieldName="KRCDRecordType" ma:displayName="Record Type" ma:readOnly="false" ma:default="" ma:fieldId="{2c1df185-eece-4aa0-8afa-c22bde2dca57}" ma:sspId="7f1bf922-3cfb-44b1-acaa-59931d20d6e3" ma:termSetId="a7e9581a-23e1-429c-8d3f-e06273e8fe9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355e629a-c329-412d-bfcb-07fe8e02a039}" ma:internalName="TaxCatchAll" ma:showField="CatchAllData" ma:web="07d26b81-4213-4f97-acb3-83da1a32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355e629a-c329-412d-bfcb-07fe8e02a039}" ma:internalName="TaxCatchAllLabel" ma:readOnly="true" ma:showField="CatchAllDataLabel" ma:web="07d26b81-4213-4f97-acb3-83da1a321c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75a777c1d134e1c8f7601dce2771906" ma:index="18" nillable="true" ma:taxonomy="true" ma:internalName="l75a777c1d134e1c8f7601dce2771906" ma:taxonomyFieldName="KRCDAgency" ma:displayName="Agency" ma:readOnly="false" ma:default="" ma:fieldId="{575a777c-1d13-4e1c-8f76-01dce2771906}" ma:sspId="7f1bf922-3cfb-44b1-acaa-59931d20d6e3" ma:termSetId="d42c9470-6b66-4cab-be1b-8f29778b320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3685371474f49415343446f63547970" ma:index="19" nillable="true" ma:taxonomy="true" ma:internalName="l3685371474f49415343446f63547970" ma:taxonomyFieldName="KRCDDocumentType" ma:displayName="Document Type" ma:readOnly="false" ma:default="" ma:fieldId="{53685371-474f-4941-5343-446f63547970}" ma:taxonomyMulti="true" ma:sspId="7f1bf922-3cfb-44b1-acaa-59931d20d6e3" ma:termSetId="8690af6b-aca8-41b9-8668-61319ce975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3685371474f49415343427573556e74" ma:index="20" nillable="true" ma:taxonomy="true" ma:internalName="l3685371474f49415343427573556e74" ma:taxonomyFieldName="KRCDBusinessUnit" ma:displayName="Division" ma:readOnly="false" ma:default="1;#Water Resources|a0bc6291-c0f4-4f4c-9b21-af654c88fef3" ma:fieldId="{53685371-474f-4941-5343-427573556e74}" ma:sspId="7f1bf922-3cfb-44b1-acaa-59931d20d6e3" ma:termSetId="0e15231e-2a64-4670-8696-bb2d3b9ac2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4040365b4834d528be2ae8cca85d962" ma:index="22" nillable="true" ma:taxonomy="true" ma:internalName="p4040365b4834d528be2ae8cca85d962" ma:taxonomyFieldName="KRCDPartnerAgency" ma:displayName="Partner Agencies" ma:readOnly="false" ma:default="" ma:fieldId="{94040365-b483-4d52-8be2-ae8cca85d962}" ma:taxonomyMulti="true" ma:sspId="7f1bf922-3cfb-44b1-acaa-59931d20d6e3" ma:termSetId="213ff146-b477-421b-af26-f05643408ae2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26b81-4213-4f97-acb3-83da1a321c01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4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27e1c-196e-4f77-8185-692ea7aeca3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7f1bf922-3cfb-44b1-acaa-59931d20d6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3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3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75a777c1d134e1c8f7601dce2771906 xmlns="acf257d5-104f-4211-aef0-c38cb86cbdb1">
      <Terms xmlns="http://schemas.microsoft.com/office/infopath/2007/PartnerControls"/>
    </l75a777c1d134e1c8f7601dce2771906>
    <KRCDFileCode xmlns="acf257d5-104f-4211-aef0-c38cb86cbdb1" xsi:nil="true"/>
    <KRCDTrueDocumentDate xmlns="acf257d5-104f-4211-aef0-c38cb86cbdb1" xsi:nil="true"/>
    <l3685371474f49415343427573556e74 xmlns="acf257d5-104f-4211-aef0-c38cb86cbdb1">
      <Terms xmlns="http://schemas.microsoft.com/office/infopath/2007/PartnerControls">
        <TermInfo xmlns="http://schemas.microsoft.com/office/infopath/2007/PartnerControls">
          <TermName xmlns="http://schemas.microsoft.com/office/infopath/2007/PartnerControls">Water Resources</TermName>
          <TermId xmlns="http://schemas.microsoft.com/office/infopath/2007/PartnerControls">a0bc6291-c0f4-4f4c-9b21-af654c88fef3</TermId>
        </TermInfo>
      </Terms>
    </l3685371474f49415343427573556e74>
    <l3685371474f49415343446f63547970 xmlns="acf257d5-104f-4211-aef0-c38cb86cbdb1">
      <Terms xmlns="http://schemas.microsoft.com/office/infopath/2007/PartnerControls"/>
    </l3685371474f49415343446f63547970>
    <KRCDSynopsis xmlns="acf257d5-104f-4211-aef0-c38cb86cbdb1" xsi:nil="true"/>
    <KRCDDocumentOwner xmlns="acf257d5-104f-4211-aef0-c38cb86cbdb1">
      <UserInfo>
        <DisplayName/>
        <AccountId xsi:nil="true"/>
        <AccountType/>
      </UserInfo>
    </KRCDDocumentOwner>
    <p4040365b4834d528be2ae8cca85d962 xmlns="acf257d5-104f-4211-aef0-c38cb86cbdb1">
      <Terms xmlns="http://schemas.microsoft.com/office/infopath/2007/PartnerControls"/>
    </p4040365b4834d528be2ae8cca85d962>
    <lcf76f155ced4ddcb4097134ff3c332f xmlns="ae427e1c-196e-4f77-8185-692ea7aeca37">
      <Terms xmlns="http://schemas.microsoft.com/office/infopath/2007/PartnerControls"/>
    </lcf76f155ced4ddcb4097134ff3c332f>
    <ic1df185eece4aa08afac22bde2dca57 xmlns="acf257d5-104f-4211-aef0-c38cb86cbdb1">
      <Terms xmlns="http://schemas.microsoft.com/office/infopath/2007/PartnerControls"/>
    </ic1df185eece4aa08afac22bde2dca57>
    <TaxCatchAll xmlns="acf257d5-104f-4211-aef0-c38cb86cbdb1">
      <Value>1</Value>
    </TaxCatchAll>
    <cecf5de67bf5441387c869544b694e42 xmlns="acf257d5-104f-4211-aef0-c38cb86cbdb1">
      <Terms xmlns="http://schemas.microsoft.com/office/infopath/2007/PartnerControls"/>
    </cecf5de67bf5441387c869544b694e42>
    <_dlc_DocId xmlns="07d26b81-4213-4f97-acb3-83da1a321c01">WATERRES-540803065-171574</_dlc_DocId>
    <_dlc_DocIdUrl xmlns="07d26b81-4213-4f97-acb3-83da1a321c01">
      <Url>https://krcd1.sharepoint.com/teams/WaterResources/_layouts/15/DocIdRedir.aspx?ID=WATERRES-540803065-171574</Url>
      <Description>WATERRES-540803065-171574</Description>
    </_dlc_DocIdUrl>
    <SharedWithUsers xmlns="07d26b81-4213-4f97-acb3-83da1a321c01">
      <UserInfo>
        <DisplayName>Megan Powers</DisplayName>
        <AccountId>1508</AccountId>
        <AccountType/>
      </UserInfo>
      <UserInfo>
        <DisplayName>Debra Dunn</DisplayName>
        <AccountId>22</AccountId>
        <AccountType/>
      </UserInfo>
      <UserInfo>
        <DisplayName>Brandy Swisher</DisplayName>
        <AccountId>190</AccountId>
        <AccountType/>
      </UserInfo>
    </SharedWithUsers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7f1bf922-3cfb-44b1-acaa-59931d20d6e3" ContentTypeId="0x0101005368617265B2436F726549415061636B" PreviousValue="false" LastSyncTimeStamp="2023-09-22T16:47:56.153Z"/>
</file>

<file path=customXml/itemProps1.xml><?xml version="1.0" encoding="utf-8"?>
<ds:datastoreItem xmlns:ds="http://schemas.openxmlformats.org/officeDocument/2006/customXml" ds:itemID="{CE395C4B-6F15-44B9-B717-226A1B4B5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257d5-104f-4211-aef0-c38cb86cbdb1"/>
    <ds:schemaRef ds:uri="07d26b81-4213-4f97-acb3-83da1a321c01"/>
    <ds:schemaRef ds:uri="ae427e1c-196e-4f77-8185-692ea7aeca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D1293-39DE-4B47-88B4-69473B4C0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D574A4-B9C7-44D8-926B-7831A7D5D0E4}">
  <ds:schemaRefs>
    <ds:schemaRef ds:uri="http://schemas.microsoft.com/office/2006/metadata/properties"/>
    <ds:schemaRef ds:uri="07d26b81-4213-4f97-acb3-83da1a321c01"/>
    <ds:schemaRef ds:uri="http://schemas.microsoft.com/office/infopath/2007/PartnerControls"/>
    <ds:schemaRef ds:uri="http://purl.org/dc/terms/"/>
    <ds:schemaRef ds:uri="http://www.w3.org/XML/1998/namespace"/>
    <ds:schemaRef ds:uri="acf257d5-104f-4211-aef0-c38cb86cbdb1"/>
    <ds:schemaRef ds:uri="ae427e1c-196e-4f77-8185-692ea7aeca37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D3F94C8-A93F-437E-866D-38C251FDFDA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1F975D3-111C-4B6D-9BEB-39161CBB1095}">
  <ds:schemaRefs>
    <ds:schemaRef ds:uri="Microsoft.SharePoint.Taxonomy.ContentTypeSyn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Winther</dc:creator>
  <cp:keywords/>
  <dc:description/>
  <cp:lastModifiedBy>Megan Powers</cp:lastModifiedBy>
  <cp:revision>94</cp:revision>
  <dcterms:created xsi:type="dcterms:W3CDTF">2023-11-20T16:23:00Z</dcterms:created>
  <dcterms:modified xsi:type="dcterms:W3CDTF">2024-01-12T20:04:11Z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0x0101005368617265B2436F726549415061636B003FE232BCE0061246A2299B3160E72F1A</vt:lpwstr>
  </property>
  <property fmtid="{D5CDD505-2E9C-101B-9397-08002B2CF9AE}" pid="3" name="KRCDBusinessUnit">
    <vt:lpwstr>1;#Water Resources|a0bc6291-c0f4-4f4c-9b21-af654c88fef3</vt:lpwstr>
  </property>
  <property fmtid="{D5CDD505-2E9C-101B-9397-08002B2CF9AE}" pid="4" name="_dlc_DocIdItemGuid">
    <vt:lpwstr>502a68b0-3924-4a4f-ab33-e98f9f721783</vt:lpwstr>
  </property>
  <property fmtid="{D5CDD505-2E9C-101B-9397-08002B2CF9AE}" pid="5" name="MediaServiceImageTags">
    <vt:lpwstr/>
  </property>
  <property fmtid="{D5CDD505-2E9C-101B-9397-08002B2CF9AE}" pid="6" name="KRCDDocumentType">
    <vt:lpwstr/>
  </property>
  <property fmtid="{D5CDD505-2E9C-101B-9397-08002B2CF9AE}" pid="7" name="KRCDRecordType">
    <vt:lpwstr/>
  </property>
  <property fmtid="{D5CDD505-2E9C-101B-9397-08002B2CF9AE}" pid="8" name="KRCDAgency">
    <vt:lpwstr/>
  </property>
  <property fmtid="{D5CDD505-2E9C-101B-9397-08002B2CF9AE}" pid="9" name="KRCDPartnerAgency">
    <vt:lpwstr/>
  </property>
  <property fmtid="{D5CDD505-2E9C-101B-9397-08002B2CF9AE}" pid="10" name="KRCDRegulatoryAgency">
    <vt:lpwstr/>
  </property>
</Properties>
</file>