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DD60F" w14:textId="5DE5A2E2" w:rsidR="0005682E" w:rsidRPr="00D9603A" w:rsidRDefault="00F64262" w:rsidP="006D2E21">
      <w:pPr>
        <w:spacing w:line="480" w:lineRule="auto"/>
        <w:rPr>
          <w:rFonts w:cstheme="minorHAnsi"/>
          <w:b/>
          <w:bCs/>
          <w:sz w:val="28"/>
          <w:szCs w:val="28"/>
        </w:rPr>
      </w:pPr>
      <w:r>
        <w:rPr>
          <w:b/>
          <w:bCs/>
          <w:sz w:val="28"/>
          <w:szCs w:val="28"/>
        </w:rPr>
        <w:t>PAG</w:t>
      </w:r>
      <w:r w:rsidRPr="00D9603A">
        <w:rPr>
          <w:rFonts w:cstheme="minorHAnsi"/>
          <w:b/>
          <w:bCs/>
          <w:sz w:val="28"/>
          <w:szCs w:val="28"/>
        </w:rPr>
        <w:t>E 1</w:t>
      </w:r>
    </w:p>
    <w:p w14:paraId="18F9299C" w14:textId="6566663B" w:rsidR="007E176C" w:rsidRPr="00D9603A" w:rsidRDefault="007E176C" w:rsidP="006D2E21">
      <w:pPr>
        <w:pStyle w:val="BasicParagraph"/>
        <w:suppressAutoHyphens/>
        <w:spacing w:line="480" w:lineRule="auto"/>
        <w:rPr>
          <w:rFonts w:asciiTheme="minorHAnsi" w:hAnsiTheme="minorHAnsi" w:cstheme="minorHAnsi"/>
          <w:sz w:val="25"/>
          <w:szCs w:val="25"/>
        </w:rPr>
      </w:pPr>
      <w:r w:rsidRPr="00D9603A">
        <w:rPr>
          <w:rFonts w:asciiTheme="minorHAnsi" w:hAnsiTheme="minorHAnsi" w:cstheme="minorHAnsi"/>
          <w:sz w:val="25"/>
          <w:szCs w:val="25"/>
        </w:rPr>
        <w:t xml:space="preserve">The North Kings Groundwater Sustainability Agency (North Kings GSA) is a local agency catalyzing groundwater sustainability on behalf of the groundwater users it serves including growers, domestic well owners, schools, businesses and community residents. Formed in 2016 to implement the Sustainable Groundwater Management Act (SGMA), the North </w:t>
      </w:r>
      <w:r w:rsidR="00EE22B7" w:rsidRPr="00D9603A">
        <w:rPr>
          <w:rFonts w:asciiTheme="minorHAnsi" w:hAnsiTheme="minorHAnsi" w:cstheme="minorHAnsi"/>
          <w:sz w:val="25"/>
          <w:szCs w:val="25"/>
        </w:rPr>
        <w:t>Kings</w:t>
      </w:r>
      <w:r w:rsidRPr="00D9603A">
        <w:rPr>
          <w:rFonts w:asciiTheme="minorHAnsi" w:hAnsiTheme="minorHAnsi" w:cstheme="minorHAnsi"/>
          <w:sz w:val="25"/>
          <w:szCs w:val="25"/>
        </w:rPr>
        <w:t xml:space="preserve"> GSA helps drive local efforts with member agencies, landowners, and stakeholders to achieve sustainability locally. SGMA requires critically </w:t>
      </w:r>
      <w:proofErr w:type="spellStart"/>
      <w:r w:rsidRPr="00D9603A">
        <w:rPr>
          <w:rFonts w:asciiTheme="minorHAnsi" w:hAnsiTheme="minorHAnsi" w:cstheme="minorHAnsi"/>
          <w:sz w:val="25"/>
          <w:szCs w:val="25"/>
        </w:rPr>
        <w:t>overdrafted</w:t>
      </w:r>
      <w:proofErr w:type="spellEnd"/>
      <w:r w:rsidRPr="00D9603A">
        <w:rPr>
          <w:rFonts w:asciiTheme="minorHAnsi" w:hAnsiTheme="minorHAnsi" w:cstheme="minorHAnsi"/>
          <w:sz w:val="25"/>
          <w:szCs w:val="25"/>
        </w:rPr>
        <w:t xml:space="preserve"> subbasins like ours, the Kings Subbasin, to achieve sustainability by 2040. </w:t>
      </w:r>
    </w:p>
    <w:p w14:paraId="7D9F2E73" w14:textId="246CC844" w:rsidR="007E176C" w:rsidRPr="00D9603A" w:rsidRDefault="007E176C" w:rsidP="006D2E21">
      <w:pPr>
        <w:spacing w:line="480" w:lineRule="auto"/>
        <w:rPr>
          <w:rFonts w:cstheme="minorHAnsi"/>
        </w:rPr>
      </w:pPr>
    </w:p>
    <w:p w14:paraId="7C33405F" w14:textId="33326DFD" w:rsidR="00EE22B7" w:rsidRPr="00D9603A" w:rsidRDefault="00EE22B7" w:rsidP="006D2E21">
      <w:pPr>
        <w:pStyle w:val="BasicParagraph"/>
        <w:suppressAutoHyphens/>
        <w:spacing w:line="480" w:lineRule="auto"/>
        <w:rPr>
          <w:rFonts w:asciiTheme="minorHAnsi" w:hAnsiTheme="minorHAnsi" w:cstheme="minorHAnsi"/>
          <w:sz w:val="22"/>
          <w:szCs w:val="22"/>
        </w:rPr>
      </w:pPr>
      <w:proofErr w:type="spellStart"/>
      <w:r w:rsidRPr="00D9603A">
        <w:rPr>
          <w:rFonts w:asciiTheme="minorHAnsi" w:hAnsiTheme="minorHAnsi" w:cstheme="minorHAnsi"/>
          <w:sz w:val="22"/>
          <w:szCs w:val="22"/>
        </w:rPr>
        <w:t>Bakman</w:t>
      </w:r>
      <w:proofErr w:type="spellEnd"/>
      <w:r w:rsidRPr="00D9603A">
        <w:rPr>
          <w:rFonts w:asciiTheme="minorHAnsi" w:hAnsiTheme="minorHAnsi" w:cstheme="minorHAnsi"/>
          <w:sz w:val="22"/>
          <w:szCs w:val="22"/>
        </w:rPr>
        <w:t xml:space="preserve"> Water Co. </w:t>
      </w:r>
      <w:proofErr w:type="gramStart"/>
      <w:r w:rsidRPr="00D9603A">
        <w:rPr>
          <w:rFonts w:asciiTheme="minorHAnsi" w:hAnsiTheme="minorHAnsi" w:cstheme="minorHAnsi"/>
          <w:sz w:val="22"/>
          <w:szCs w:val="22"/>
        </w:rPr>
        <w:t>•  Biola</w:t>
      </w:r>
      <w:proofErr w:type="gramEnd"/>
      <w:r w:rsidRPr="00D9603A">
        <w:rPr>
          <w:rFonts w:asciiTheme="minorHAnsi" w:hAnsiTheme="minorHAnsi" w:cstheme="minorHAnsi"/>
          <w:sz w:val="22"/>
          <w:szCs w:val="22"/>
        </w:rPr>
        <w:t xml:space="preserve"> CSD •  City of Clovis • City of Fresno • Fresno County • Fresno Irrigation District • Fresno Metropolitan Flood Control District • Garfield Water District •  International Water District • City of Kerman</w:t>
      </w:r>
    </w:p>
    <w:p w14:paraId="30B245D3" w14:textId="77777777" w:rsidR="00986611" w:rsidRPr="00D9603A" w:rsidRDefault="00986611" w:rsidP="006D2E21">
      <w:pPr>
        <w:pStyle w:val="BasicParagraph"/>
        <w:suppressAutoHyphens/>
        <w:spacing w:line="480" w:lineRule="auto"/>
        <w:rPr>
          <w:rFonts w:asciiTheme="minorHAnsi" w:hAnsiTheme="minorHAnsi" w:cstheme="minorHAnsi"/>
          <w:sz w:val="22"/>
          <w:szCs w:val="22"/>
        </w:rPr>
      </w:pPr>
    </w:p>
    <w:p w14:paraId="5279BB6A" w14:textId="3751B71F" w:rsidR="00EE22B7" w:rsidRPr="002004B8" w:rsidRDefault="002004B8" w:rsidP="006D2E21">
      <w:pPr>
        <w:pStyle w:val="BasicParagraph"/>
        <w:suppressAutoHyphens/>
        <w:spacing w:line="480" w:lineRule="auto"/>
        <w:rPr>
          <w:rFonts w:asciiTheme="minorHAnsi" w:hAnsiTheme="minorHAnsi" w:cstheme="minorHAnsi"/>
          <w:sz w:val="22"/>
          <w:szCs w:val="22"/>
        </w:rPr>
      </w:pPr>
      <w:r w:rsidRPr="002004B8">
        <w:rPr>
          <w:rFonts w:asciiTheme="minorHAnsi" w:hAnsiTheme="minorHAnsi" w:cstheme="minorHAnsi"/>
          <w:sz w:val="22"/>
          <w:szCs w:val="22"/>
        </w:rPr>
        <w:t>Fresno County Water Agencies Name</w:t>
      </w:r>
    </w:p>
    <w:p w14:paraId="54EAFCDF" w14:textId="374F354C" w:rsidR="002004B8" w:rsidRPr="002004B8" w:rsidRDefault="002004B8" w:rsidP="006D2E21">
      <w:pPr>
        <w:pStyle w:val="BasicParagraph"/>
        <w:suppressAutoHyphens/>
        <w:spacing w:line="480" w:lineRule="auto"/>
        <w:rPr>
          <w:rFonts w:asciiTheme="minorHAnsi" w:hAnsiTheme="minorHAnsi" w:cstheme="minorHAnsi"/>
          <w:sz w:val="22"/>
          <w:szCs w:val="22"/>
        </w:rPr>
      </w:pPr>
      <w:r w:rsidRPr="002004B8">
        <w:rPr>
          <w:rFonts w:asciiTheme="minorHAnsi" w:hAnsiTheme="minorHAnsi" w:cstheme="minorHAnsi"/>
          <w:sz w:val="22"/>
          <w:szCs w:val="22"/>
        </w:rPr>
        <w:t>Legend</w:t>
      </w:r>
    </w:p>
    <w:p w14:paraId="04FB2E78" w14:textId="569A5FA6" w:rsidR="00986611" w:rsidRDefault="007F5415" w:rsidP="006D2E21">
      <w:pPr>
        <w:pStyle w:val="BasicParagraph"/>
        <w:suppressAutoHyphens/>
        <w:spacing w:line="480" w:lineRule="auto"/>
        <w:rPr>
          <w:rFonts w:asciiTheme="minorHAnsi" w:hAnsiTheme="minorHAnsi" w:cstheme="minorHAnsi"/>
          <w:sz w:val="22"/>
          <w:szCs w:val="22"/>
        </w:rPr>
      </w:pPr>
      <w:r w:rsidRPr="007F5415">
        <w:rPr>
          <w:rFonts w:asciiTheme="minorHAnsi" w:hAnsiTheme="minorHAnsi" w:cstheme="minorHAnsi"/>
          <w:sz w:val="22"/>
          <w:szCs w:val="22"/>
        </w:rPr>
        <w:t>Plan Participants</w:t>
      </w:r>
    </w:p>
    <w:p w14:paraId="7B543A38" w14:textId="77777777" w:rsidR="007F5415" w:rsidRPr="007F5415" w:rsidRDefault="007F5415" w:rsidP="006D2E21">
      <w:pPr>
        <w:pStyle w:val="BasicParagraph"/>
        <w:suppressAutoHyphens/>
        <w:spacing w:line="480" w:lineRule="auto"/>
        <w:rPr>
          <w:rFonts w:asciiTheme="minorHAnsi" w:hAnsiTheme="minorHAnsi" w:cstheme="minorHAnsi"/>
          <w:sz w:val="22"/>
          <w:szCs w:val="22"/>
        </w:rPr>
      </w:pPr>
    </w:p>
    <w:p w14:paraId="60234F56" w14:textId="4E264835" w:rsidR="00EE22B7" w:rsidRPr="00D9603A" w:rsidRDefault="00263101" w:rsidP="006D2E21">
      <w:pPr>
        <w:pStyle w:val="BasicParagraph"/>
        <w:suppressAutoHyphens/>
        <w:spacing w:line="480" w:lineRule="auto"/>
        <w:rPr>
          <w:rFonts w:asciiTheme="minorHAnsi" w:hAnsiTheme="minorHAnsi" w:cstheme="minorHAnsi"/>
        </w:rPr>
      </w:pPr>
      <w:r w:rsidRPr="00D9603A">
        <w:rPr>
          <w:rFonts w:asciiTheme="minorHAnsi" w:hAnsiTheme="minorHAnsi" w:cstheme="minorHAnsi"/>
        </w:rPr>
        <w:t>Sept</w:t>
      </w:r>
      <w:r w:rsidR="000500B0" w:rsidRPr="00D9603A">
        <w:rPr>
          <w:rFonts w:asciiTheme="minorHAnsi" w:hAnsiTheme="minorHAnsi" w:cstheme="minorHAnsi"/>
        </w:rPr>
        <w:t xml:space="preserve"> 2014 </w:t>
      </w:r>
      <w:r w:rsidR="00EE22B7" w:rsidRPr="00D9603A">
        <w:rPr>
          <w:rFonts w:asciiTheme="minorHAnsi" w:hAnsiTheme="minorHAnsi" w:cstheme="minorHAnsi"/>
        </w:rPr>
        <w:t xml:space="preserve">SGMA Signed </w:t>
      </w:r>
      <w:proofErr w:type="gramStart"/>
      <w:r w:rsidR="00EE22B7" w:rsidRPr="00D9603A">
        <w:rPr>
          <w:rFonts w:asciiTheme="minorHAnsi" w:hAnsiTheme="minorHAnsi" w:cstheme="minorHAnsi"/>
        </w:rPr>
        <w:t>Into</w:t>
      </w:r>
      <w:proofErr w:type="gramEnd"/>
      <w:r w:rsidR="00EE22B7" w:rsidRPr="00D9603A">
        <w:rPr>
          <w:rFonts w:asciiTheme="minorHAnsi" w:hAnsiTheme="minorHAnsi" w:cstheme="minorHAnsi"/>
        </w:rPr>
        <w:t xml:space="preserve"> Law</w:t>
      </w:r>
    </w:p>
    <w:p w14:paraId="145EAD18" w14:textId="49105DAF" w:rsidR="00BC2565" w:rsidRPr="00D9603A" w:rsidRDefault="000500B0" w:rsidP="006D2E21">
      <w:pPr>
        <w:pStyle w:val="BasicParagraph"/>
        <w:suppressAutoHyphens/>
        <w:spacing w:line="480" w:lineRule="auto"/>
        <w:rPr>
          <w:rFonts w:asciiTheme="minorHAnsi" w:hAnsiTheme="minorHAnsi" w:cstheme="minorHAnsi"/>
        </w:rPr>
      </w:pPr>
      <w:r w:rsidRPr="00D9603A">
        <w:rPr>
          <w:rFonts w:asciiTheme="minorHAnsi" w:hAnsiTheme="minorHAnsi" w:cstheme="minorHAnsi"/>
        </w:rPr>
        <w:t xml:space="preserve">Dec 2016 </w:t>
      </w:r>
      <w:r w:rsidR="00BC2565" w:rsidRPr="00D9603A">
        <w:rPr>
          <w:rFonts w:asciiTheme="minorHAnsi" w:hAnsiTheme="minorHAnsi" w:cstheme="minorHAnsi"/>
        </w:rPr>
        <w:t>North Kings GSA Formed</w:t>
      </w:r>
    </w:p>
    <w:p w14:paraId="7E104DEF" w14:textId="15367442" w:rsidR="00BC2565" w:rsidRPr="00D9603A" w:rsidRDefault="000500B0" w:rsidP="006D2E21">
      <w:pPr>
        <w:pStyle w:val="BasicParagraph"/>
        <w:suppressAutoHyphens/>
        <w:spacing w:line="480" w:lineRule="auto"/>
        <w:rPr>
          <w:rFonts w:asciiTheme="minorHAnsi" w:hAnsiTheme="minorHAnsi" w:cstheme="minorHAnsi"/>
        </w:rPr>
      </w:pPr>
      <w:r w:rsidRPr="00D9603A">
        <w:rPr>
          <w:rFonts w:asciiTheme="minorHAnsi" w:hAnsiTheme="minorHAnsi" w:cstheme="minorHAnsi"/>
        </w:rPr>
        <w:t xml:space="preserve">Jan 2020 </w:t>
      </w:r>
      <w:r w:rsidR="00BC2565" w:rsidRPr="00D9603A">
        <w:rPr>
          <w:rFonts w:asciiTheme="minorHAnsi" w:hAnsiTheme="minorHAnsi" w:cstheme="minorHAnsi"/>
        </w:rPr>
        <w:t>Groundwater Sustainability Plan (GSP) Submitted to State; Implementation Begins</w:t>
      </w:r>
    </w:p>
    <w:p w14:paraId="6639B393" w14:textId="4ACDE3D3" w:rsidR="00BC2565" w:rsidRPr="00D9603A" w:rsidRDefault="000D6B6B" w:rsidP="006D2E21">
      <w:pPr>
        <w:pStyle w:val="BasicParagraph"/>
        <w:suppressAutoHyphens/>
        <w:spacing w:line="480" w:lineRule="auto"/>
        <w:rPr>
          <w:rFonts w:asciiTheme="minorHAnsi" w:hAnsiTheme="minorHAnsi" w:cstheme="minorHAnsi"/>
        </w:rPr>
      </w:pPr>
      <w:r w:rsidRPr="00D9603A">
        <w:rPr>
          <w:rFonts w:asciiTheme="minorHAnsi" w:hAnsiTheme="minorHAnsi" w:cstheme="minorHAnsi"/>
        </w:rPr>
        <w:t xml:space="preserve">Jan 2022 </w:t>
      </w:r>
      <w:r w:rsidR="00BC2565" w:rsidRPr="00D9603A">
        <w:rPr>
          <w:rFonts w:asciiTheme="minorHAnsi" w:hAnsiTheme="minorHAnsi" w:cstheme="minorHAnsi"/>
        </w:rPr>
        <w:t>State Reviewed &amp; Commented on GSP</w:t>
      </w:r>
    </w:p>
    <w:p w14:paraId="615E0ADD" w14:textId="3D3FC9AF" w:rsidR="00BC2565" w:rsidRPr="00D9603A" w:rsidRDefault="000D6B6B" w:rsidP="006D2E21">
      <w:pPr>
        <w:pStyle w:val="BasicParagraph"/>
        <w:suppressAutoHyphens/>
        <w:spacing w:line="480" w:lineRule="auto"/>
        <w:rPr>
          <w:rFonts w:asciiTheme="minorHAnsi" w:hAnsiTheme="minorHAnsi" w:cstheme="minorHAnsi"/>
        </w:rPr>
      </w:pPr>
      <w:r w:rsidRPr="00D9603A">
        <w:rPr>
          <w:rFonts w:asciiTheme="minorHAnsi" w:hAnsiTheme="minorHAnsi" w:cstheme="minorHAnsi"/>
        </w:rPr>
        <w:t xml:space="preserve">July 2022 </w:t>
      </w:r>
      <w:r w:rsidR="00BC2565" w:rsidRPr="00D9603A">
        <w:rPr>
          <w:rFonts w:asciiTheme="minorHAnsi" w:hAnsiTheme="minorHAnsi" w:cstheme="minorHAnsi"/>
        </w:rPr>
        <w:t>GSP Revisions Submitted to State</w:t>
      </w:r>
    </w:p>
    <w:p w14:paraId="3CF274AC" w14:textId="74BC70F5" w:rsidR="00BC2565" w:rsidRDefault="000D6B6B" w:rsidP="006D2E21">
      <w:pPr>
        <w:pStyle w:val="BasicParagraph"/>
        <w:suppressAutoHyphens/>
        <w:spacing w:line="480" w:lineRule="auto"/>
        <w:rPr>
          <w:rFonts w:asciiTheme="minorHAnsi" w:hAnsiTheme="minorHAnsi" w:cstheme="minorHAnsi"/>
        </w:rPr>
      </w:pPr>
      <w:r w:rsidRPr="00D9603A">
        <w:rPr>
          <w:rFonts w:asciiTheme="minorHAnsi" w:hAnsiTheme="minorHAnsi" w:cstheme="minorHAnsi"/>
        </w:rPr>
        <w:lastRenderedPageBreak/>
        <w:t xml:space="preserve">2040 </w:t>
      </w:r>
      <w:r w:rsidR="00BC2565" w:rsidRPr="00D9603A">
        <w:rPr>
          <w:rFonts w:asciiTheme="minorHAnsi" w:hAnsiTheme="minorHAnsi" w:cstheme="minorHAnsi"/>
        </w:rPr>
        <w:t>Groundwater Sustainability Achieve</w:t>
      </w:r>
      <w:r w:rsidR="00F64262" w:rsidRPr="00D9603A">
        <w:rPr>
          <w:rFonts w:asciiTheme="minorHAnsi" w:hAnsiTheme="minorHAnsi" w:cstheme="minorHAnsi"/>
        </w:rPr>
        <w:t>d</w:t>
      </w:r>
    </w:p>
    <w:p w14:paraId="3817CA47" w14:textId="77777777" w:rsidR="00986611" w:rsidRPr="00D9603A" w:rsidRDefault="00986611" w:rsidP="006D2E21">
      <w:pPr>
        <w:pStyle w:val="BasicParagraph"/>
        <w:suppressAutoHyphens/>
        <w:spacing w:line="480" w:lineRule="auto"/>
        <w:rPr>
          <w:rFonts w:asciiTheme="minorHAnsi" w:hAnsiTheme="minorHAnsi" w:cstheme="minorHAnsi"/>
          <w:sz w:val="22"/>
          <w:szCs w:val="22"/>
        </w:rPr>
      </w:pPr>
    </w:p>
    <w:p w14:paraId="7C4BA294" w14:textId="4F29F036" w:rsidR="00EE22B7" w:rsidRPr="00D9603A" w:rsidRDefault="00EE22B7" w:rsidP="006D2E21">
      <w:pPr>
        <w:spacing w:line="480" w:lineRule="auto"/>
        <w:rPr>
          <w:rFonts w:cstheme="minorHAnsi"/>
        </w:rPr>
      </w:pPr>
    </w:p>
    <w:p w14:paraId="0AB536AA" w14:textId="0C94FA4F" w:rsidR="00F64262" w:rsidRPr="00D9603A" w:rsidRDefault="00F64262" w:rsidP="006D2E21">
      <w:pPr>
        <w:spacing w:line="480" w:lineRule="auto"/>
        <w:rPr>
          <w:rFonts w:cstheme="minorHAnsi"/>
          <w:b/>
          <w:bCs/>
          <w:sz w:val="28"/>
          <w:szCs w:val="28"/>
        </w:rPr>
      </w:pPr>
      <w:r w:rsidRPr="00D9603A">
        <w:rPr>
          <w:rFonts w:cstheme="minorHAnsi"/>
          <w:b/>
          <w:bCs/>
          <w:sz w:val="28"/>
          <w:szCs w:val="28"/>
        </w:rPr>
        <w:t>PAGE 2</w:t>
      </w:r>
    </w:p>
    <w:p w14:paraId="628ACDE2" w14:textId="77777777" w:rsidR="00C70AB2" w:rsidRPr="00D9603A" w:rsidRDefault="00C70AB2" w:rsidP="006D2E21">
      <w:pPr>
        <w:pStyle w:val="BasicParagraph"/>
        <w:spacing w:line="480" w:lineRule="auto"/>
        <w:rPr>
          <w:rFonts w:asciiTheme="minorHAnsi" w:hAnsiTheme="minorHAnsi" w:cstheme="minorHAnsi"/>
          <w:color w:val="000000" w:themeColor="text1"/>
          <w:w w:val="105"/>
        </w:rPr>
      </w:pPr>
      <w:r w:rsidRPr="00D9603A">
        <w:rPr>
          <w:rFonts w:asciiTheme="minorHAnsi" w:hAnsiTheme="minorHAnsi" w:cstheme="minorHAnsi"/>
          <w:color w:val="000000" w:themeColor="text1"/>
          <w:w w:val="105"/>
        </w:rPr>
        <w:t>Defining Groundwater Sustainability</w:t>
      </w:r>
    </w:p>
    <w:p w14:paraId="4A536AC9" w14:textId="77777777" w:rsidR="00C70AB2" w:rsidRPr="00D9603A" w:rsidRDefault="00C70AB2" w:rsidP="006D2E21">
      <w:pPr>
        <w:spacing w:line="480" w:lineRule="auto"/>
        <w:rPr>
          <w:rFonts w:cstheme="minorHAnsi"/>
          <w:b/>
          <w:bCs/>
          <w:sz w:val="28"/>
          <w:szCs w:val="28"/>
        </w:rPr>
      </w:pPr>
    </w:p>
    <w:p w14:paraId="1FB94A19" w14:textId="330A2C8A" w:rsidR="00F64262" w:rsidRDefault="00F64262" w:rsidP="006D2E21">
      <w:pPr>
        <w:pStyle w:val="BasicParagraph"/>
        <w:suppressAutoHyphens/>
        <w:spacing w:line="480" w:lineRule="auto"/>
        <w:rPr>
          <w:rFonts w:asciiTheme="minorHAnsi" w:hAnsiTheme="minorHAnsi" w:cstheme="minorHAnsi"/>
        </w:rPr>
      </w:pPr>
      <w:r w:rsidRPr="00D9603A">
        <w:rPr>
          <w:rFonts w:asciiTheme="minorHAnsi" w:hAnsiTheme="minorHAnsi" w:cstheme="minorHAnsi"/>
        </w:rPr>
        <w:t>SGMA defines sustainable groundwater management as the management and use of groundwater in a manner that does not cause “undesirable results” for six sustainability indicators (right). The North Kings GSA tracks and defines sustainability progress using measurable objectives and minimum thresholds for the relevant sustainability indicators. Measurable objectives are the sustainability goals the North Kings GSA will work to maintain by 2040, while minimum thresholds are measurable values that when exceeded, may cause “undesirable results”.</w:t>
      </w:r>
    </w:p>
    <w:p w14:paraId="0BEDBCF7" w14:textId="1106FCC6" w:rsidR="0030682F" w:rsidRDefault="0030682F" w:rsidP="006D2E21">
      <w:pPr>
        <w:pStyle w:val="BasicParagraph"/>
        <w:suppressAutoHyphens/>
        <w:spacing w:line="480" w:lineRule="auto"/>
        <w:rPr>
          <w:rFonts w:asciiTheme="minorHAnsi" w:hAnsiTheme="minorHAnsi" w:cstheme="minorHAnsi"/>
        </w:rPr>
      </w:pPr>
    </w:p>
    <w:p w14:paraId="778995EB" w14:textId="05B9F761" w:rsidR="0030682F" w:rsidRPr="00D9603A" w:rsidRDefault="0030682F" w:rsidP="006D2E21">
      <w:pPr>
        <w:pStyle w:val="BasicParagraph"/>
        <w:suppressAutoHyphens/>
        <w:spacing w:line="480" w:lineRule="auto"/>
        <w:rPr>
          <w:rFonts w:asciiTheme="minorHAnsi" w:hAnsiTheme="minorHAnsi" w:cstheme="minorHAnsi"/>
        </w:rPr>
      </w:pPr>
      <w:r>
        <w:rPr>
          <w:rFonts w:asciiTheme="minorHAnsi" w:hAnsiTheme="minorHAnsi" w:cstheme="minorHAnsi"/>
        </w:rPr>
        <w:t>SUSTAINABILITY INDICATORS</w:t>
      </w:r>
    </w:p>
    <w:p w14:paraId="1AFBB2A6" w14:textId="77777777" w:rsidR="00C70AB2" w:rsidRPr="00D9603A" w:rsidRDefault="00C70AB2" w:rsidP="006D2E21">
      <w:pPr>
        <w:pStyle w:val="BasicParagraph"/>
        <w:suppressAutoHyphens/>
        <w:spacing w:line="480" w:lineRule="auto"/>
        <w:rPr>
          <w:rFonts w:asciiTheme="minorHAnsi" w:hAnsiTheme="minorHAnsi" w:cstheme="minorHAnsi"/>
          <w:caps/>
        </w:rPr>
      </w:pPr>
      <w:r w:rsidRPr="00D9603A">
        <w:rPr>
          <w:rFonts w:asciiTheme="minorHAnsi" w:hAnsiTheme="minorHAnsi" w:cstheme="minorHAnsi"/>
          <w:caps/>
        </w:rPr>
        <w:t>CHRONIC LOWERING OF GROUNDWATER LEVELS</w:t>
      </w:r>
    </w:p>
    <w:p w14:paraId="044456C2" w14:textId="77777777" w:rsidR="0004530B" w:rsidRPr="00D9603A" w:rsidRDefault="0004530B" w:rsidP="006D2E21">
      <w:pPr>
        <w:pStyle w:val="BasicParagraph"/>
        <w:suppressAutoHyphens/>
        <w:spacing w:line="480" w:lineRule="auto"/>
        <w:rPr>
          <w:rFonts w:asciiTheme="minorHAnsi" w:hAnsiTheme="minorHAnsi" w:cstheme="minorHAnsi"/>
          <w:caps/>
        </w:rPr>
      </w:pPr>
      <w:r w:rsidRPr="00D9603A">
        <w:rPr>
          <w:rFonts w:asciiTheme="minorHAnsi" w:hAnsiTheme="minorHAnsi" w:cstheme="minorHAnsi"/>
          <w:caps/>
        </w:rPr>
        <w:t>REDUCTION OF GROUNDWATER STORAGE</w:t>
      </w:r>
    </w:p>
    <w:p w14:paraId="10C6ABAC" w14:textId="77777777" w:rsidR="0004530B" w:rsidRPr="00D9603A" w:rsidRDefault="0004530B" w:rsidP="006D2E21">
      <w:pPr>
        <w:pStyle w:val="BasicParagraph"/>
        <w:suppressAutoHyphens/>
        <w:spacing w:line="480" w:lineRule="auto"/>
        <w:rPr>
          <w:rFonts w:asciiTheme="minorHAnsi" w:hAnsiTheme="minorHAnsi" w:cstheme="minorHAnsi"/>
          <w:caps/>
        </w:rPr>
      </w:pPr>
      <w:r w:rsidRPr="00D9603A">
        <w:rPr>
          <w:rFonts w:asciiTheme="minorHAnsi" w:hAnsiTheme="minorHAnsi" w:cstheme="minorHAnsi"/>
          <w:caps/>
        </w:rPr>
        <w:t>seawater intrusion</w:t>
      </w:r>
    </w:p>
    <w:p w14:paraId="696FC3A2" w14:textId="77777777" w:rsidR="0004530B" w:rsidRPr="00D9603A" w:rsidRDefault="0004530B" w:rsidP="006D2E21">
      <w:pPr>
        <w:pStyle w:val="BasicParagraph"/>
        <w:suppressAutoHyphens/>
        <w:spacing w:line="480" w:lineRule="auto"/>
        <w:rPr>
          <w:rFonts w:asciiTheme="minorHAnsi" w:hAnsiTheme="minorHAnsi" w:cstheme="minorHAnsi"/>
          <w:caps/>
        </w:rPr>
      </w:pPr>
      <w:r w:rsidRPr="00D9603A">
        <w:rPr>
          <w:rFonts w:asciiTheme="minorHAnsi" w:hAnsiTheme="minorHAnsi" w:cstheme="minorHAnsi"/>
          <w:caps/>
        </w:rPr>
        <w:t>Degraded water quality</w:t>
      </w:r>
    </w:p>
    <w:p w14:paraId="0B8C904E" w14:textId="77777777" w:rsidR="0004530B" w:rsidRPr="00D9603A" w:rsidRDefault="0004530B" w:rsidP="006D2E21">
      <w:pPr>
        <w:pStyle w:val="BasicParagraph"/>
        <w:suppressAutoHyphens/>
        <w:spacing w:line="480" w:lineRule="auto"/>
        <w:rPr>
          <w:rFonts w:asciiTheme="minorHAnsi" w:hAnsiTheme="minorHAnsi" w:cstheme="minorHAnsi"/>
          <w:caps/>
        </w:rPr>
      </w:pPr>
      <w:r w:rsidRPr="00D9603A">
        <w:rPr>
          <w:rFonts w:asciiTheme="minorHAnsi" w:hAnsiTheme="minorHAnsi" w:cstheme="minorHAnsi"/>
          <w:caps/>
        </w:rPr>
        <w:t xml:space="preserve">land subsidence </w:t>
      </w:r>
    </w:p>
    <w:p w14:paraId="3D07B341" w14:textId="55528E24" w:rsidR="0004530B" w:rsidRDefault="0004530B" w:rsidP="006D2E21">
      <w:pPr>
        <w:pStyle w:val="BasicParagraph"/>
        <w:suppressAutoHyphens/>
        <w:spacing w:line="480" w:lineRule="auto"/>
        <w:rPr>
          <w:rFonts w:asciiTheme="minorHAnsi" w:hAnsiTheme="minorHAnsi" w:cstheme="minorHAnsi"/>
          <w:caps/>
        </w:rPr>
      </w:pPr>
      <w:r w:rsidRPr="00D9603A">
        <w:rPr>
          <w:rFonts w:asciiTheme="minorHAnsi" w:hAnsiTheme="minorHAnsi" w:cstheme="minorHAnsi"/>
          <w:caps/>
        </w:rPr>
        <w:t>interconnected surface water depletions</w:t>
      </w:r>
    </w:p>
    <w:p w14:paraId="5B23E361" w14:textId="77777777" w:rsidR="00F55B82" w:rsidRPr="00D9603A" w:rsidRDefault="00F55B82" w:rsidP="006D2E21">
      <w:pPr>
        <w:pStyle w:val="BasicParagraph"/>
        <w:suppressAutoHyphens/>
        <w:spacing w:line="480" w:lineRule="auto"/>
        <w:rPr>
          <w:rFonts w:asciiTheme="minorHAnsi" w:hAnsiTheme="minorHAnsi" w:cstheme="minorHAnsi"/>
          <w:caps/>
        </w:rPr>
      </w:pPr>
    </w:p>
    <w:p w14:paraId="2E09E2C6" w14:textId="0B9FDD4B" w:rsidR="00C70AB2" w:rsidRPr="00D9603A" w:rsidRDefault="0004530B" w:rsidP="006D2E21">
      <w:pPr>
        <w:pStyle w:val="BasicParagraph"/>
        <w:suppressAutoHyphens/>
        <w:spacing w:line="480" w:lineRule="auto"/>
        <w:rPr>
          <w:rFonts w:asciiTheme="minorHAnsi" w:hAnsiTheme="minorHAnsi" w:cstheme="minorHAnsi"/>
        </w:rPr>
      </w:pPr>
      <w:r w:rsidRPr="00D9603A">
        <w:rPr>
          <w:rFonts w:asciiTheme="minorHAnsi" w:hAnsiTheme="minorHAnsi" w:cstheme="minorHAnsi"/>
        </w:rPr>
        <w:t>Over the last 100 years, more groundwater has been pumped from the underground aquifer than put back in. This deficit has caused a state of groundwater overdraft and steady groundwater level declines. The downward trend of the blue line shown on the left represents the decline of groundwater levels from 1920 through 2020 in the greater Fresno area.</w:t>
      </w:r>
    </w:p>
    <w:p w14:paraId="0EF94EB4" w14:textId="77777777" w:rsidR="008835E9" w:rsidRPr="00D9603A" w:rsidRDefault="008835E9" w:rsidP="006D2E21">
      <w:pPr>
        <w:pStyle w:val="BasicParagraph"/>
        <w:suppressAutoHyphens/>
        <w:spacing w:line="480" w:lineRule="auto"/>
        <w:rPr>
          <w:rFonts w:asciiTheme="minorHAnsi" w:hAnsiTheme="minorHAnsi" w:cstheme="minorHAnsi"/>
        </w:rPr>
      </w:pPr>
    </w:p>
    <w:p w14:paraId="1FE6D607" w14:textId="31169CFD" w:rsidR="00F64262" w:rsidRPr="0030682F" w:rsidRDefault="008835E9" w:rsidP="006D2E21">
      <w:pPr>
        <w:pStyle w:val="BasicParagraph"/>
        <w:spacing w:line="480" w:lineRule="auto"/>
        <w:rPr>
          <w:rFonts w:asciiTheme="minorHAnsi" w:hAnsiTheme="minorHAnsi" w:cstheme="minorHAnsi"/>
          <w:color w:val="000000" w:themeColor="text1"/>
          <w:w w:val="105"/>
        </w:rPr>
      </w:pPr>
      <w:r w:rsidRPr="0030682F">
        <w:rPr>
          <w:rFonts w:asciiTheme="minorHAnsi" w:hAnsiTheme="minorHAnsi" w:cstheme="minorHAnsi"/>
          <w:color w:val="000000" w:themeColor="text1"/>
          <w:w w:val="105"/>
        </w:rPr>
        <w:t>Achieving Groundwater Sustainability</w:t>
      </w:r>
    </w:p>
    <w:p w14:paraId="336FEEC5" w14:textId="77777777" w:rsidR="008835E9" w:rsidRPr="0030682F" w:rsidRDefault="008835E9" w:rsidP="006D2E21">
      <w:pPr>
        <w:pStyle w:val="BasicParagraph"/>
        <w:suppressAutoHyphens/>
        <w:spacing w:line="480" w:lineRule="auto"/>
        <w:rPr>
          <w:rFonts w:asciiTheme="minorHAnsi" w:hAnsiTheme="minorHAnsi" w:cstheme="minorHAnsi"/>
          <w:caps/>
          <w:color w:val="000000" w:themeColor="text1"/>
        </w:rPr>
      </w:pPr>
      <w:r w:rsidRPr="0030682F">
        <w:rPr>
          <w:rFonts w:asciiTheme="minorHAnsi" w:hAnsiTheme="minorHAnsi" w:cstheme="minorHAnsi"/>
          <w:caps/>
          <w:color w:val="000000" w:themeColor="text1"/>
        </w:rPr>
        <w:t>REGIONAL COORDINATION in the kings subbasin</w:t>
      </w:r>
    </w:p>
    <w:p w14:paraId="25116F14" w14:textId="77777777" w:rsidR="008835E9" w:rsidRPr="00D9603A" w:rsidRDefault="008835E9" w:rsidP="006D2E21">
      <w:pPr>
        <w:pStyle w:val="BasicParagraph"/>
        <w:suppressAutoHyphens/>
        <w:spacing w:line="480" w:lineRule="auto"/>
        <w:rPr>
          <w:rFonts w:asciiTheme="minorHAnsi" w:hAnsiTheme="minorHAnsi" w:cstheme="minorHAnsi"/>
        </w:rPr>
      </w:pPr>
      <w:r w:rsidRPr="00D9603A">
        <w:rPr>
          <w:rFonts w:asciiTheme="minorHAnsi" w:hAnsiTheme="minorHAnsi" w:cstheme="minorHAnsi"/>
        </w:rPr>
        <w:t>The North Kings GSA coordinates closely with the six other Groundwater Sustainability Agencies (GSAs) within the Kings Subbasin. Although each GSA is responsible to correct its own groundwater overdraft within its boundaries and reach sustainability by 2040, SGMA ultimately requires the entire Kings Subbasin to reach sustainability together. The GSAs cooperate under a signed Coordination Agreement and meet on a regular basis.</w:t>
      </w:r>
    </w:p>
    <w:p w14:paraId="2208301F" w14:textId="5409B376" w:rsidR="008835E9" w:rsidRPr="00D9603A" w:rsidRDefault="008835E9" w:rsidP="006D2E21">
      <w:pPr>
        <w:spacing w:line="480" w:lineRule="auto"/>
        <w:rPr>
          <w:rFonts w:cstheme="minorHAnsi"/>
          <w:b/>
          <w:bCs/>
          <w:sz w:val="28"/>
          <w:szCs w:val="28"/>
        </w:rPr>
      </w:pPr>
    </w:p>
    <w:p w14:paraId="6E408B0B" w14:textId="77777777" w:rsidR="0023464E" w:rsidRPr="0030682F" w:rsidRDefault="0023464E" w:rsidP="006D2E21">
      <w:pPr>
        <w:pStyle w:val="BasicParagraph"/>
        <w:suppressAutoHyphens/>
        <w:spacing w:line="480" w:lineRule="auto"/>
        <w:rPr>
          <w:rFonts w:asciiTheme="minorHAnsi" w:hAnsiTheme="minorHAnsi" w:cstheme="minorHAnsi"/>
          <w:caps/>
          <w:color w:val="000000" w:themeColor="text1"/>
        </w:rPr>
      </w:pPr>
      <w:r w:rsidRPr="0030682F">
        <w:rPr>
          <w:rFonts w:asciiTheme="minorHAnsi" w:hAnsiTheme="minorHAnsi" w:cstheme="minorHAnsi"/>
          <w:caps/>
          <w:color w:val="000000" w:themeColor="text1"/>
        </w:rPr>
        <w:t>groundwater sustainability plan</w:t>
      </w:r>
    </w:p>
    <w:p w14:paraId="5FDFC0A3" w14:textId="77777777" w:rsidR="0023464E" w:rsidRPr="00D9603A" w:rsidRDefault="0023464E" w:rsidP="006D2E21">
      <w:pPr>
        <w:pStyle w:val="BasicParagraph"/>
        <w:suppressAutoHyphens/>
        <w:spacing w:line="480" w:lineRule="auto"/>
        <w:rPr>
          <w:rFonts w:asciiTheme="minorHAnsi" w:hAnsiTheme="minorHAnsi" w:cstheme="minorHAnsi"/>
        </w:rPr>
      </w:pPr>
      <w:r w:rsidRPr="00D9603A">
        <w:rPr>
          <w:rFonts w:asciiTheme="minorHAnsi" w:hAnsiTheme="minorHAnsi" w:cstheme="minorHAnsi"/>
        </w:rPr>
        <w:t xml:space="preserve">The North Kings GSA’s Groundwater Sustainability Plan (GSP) is its roadmap for sustainability by 2040. The GSP includes a physical description of the groundwater management area including groundwater conditions, a water budget, management criteria, a monitoring program, and projects and management actions to reach its measurable objectives. Initially submitted in January 2020 and revised in 2022 after State review, the North Kings GSA will update its GSP every 5 years. </w:t>
      </w:r>
    </w:p>
    <w:p w14:paraId="1336A9B6" w14:textId="13E874E2" w:rsidR="0023464E" w:rsidRPr="00D9603A" w:rsidRDefault="0023464E" w:rsidP="006D2E21">
      <w:pPr>
        <w:spacing w:line="480" w:lineRule="auto"/>
        <w:rPr>
          <w:rFonts w:cstheme="minorHAnsi"/>
          <w:b/>
          <w:bCs/>
          <w:sz w:val="28"/>
          <w:szCs w:val="28"/>
        </w:rPr>
      </w:pPr>
    </w:p>
    <w:p w14:paraId="57D8B07B" w14:textId="0529F4F6" w:rsidR="0023464E" w:rsidRPr="0030682F" w:rsidRDefault="0023464E" w:rsidP="006D2E21">
      <w:pPr>
        <w:spacing w:line="480" w:lineRule="auto"/>
        <w:rPr>
          <w:rFonts w:cstheme="minorHAnsi"/>
          <w:sz w:val="28"/>
          <w:szCs w:val="28"/>
        </w:rPr>
      </w:pPr>
      <w:r w:rsidRPr="0030682F">
        <w:rPr>
          <w:rFonts w:cstheme="minorHAnsi"/>
          <w:sz w:val="28"/>
          <w:szCs w:val="28"/>
        </w:rPr>
        <w:lastRenderedPageBreak/>
        <w:t>Stay informed! Sign up for email updates at northkingsgsa.org/email</w:t>
      </w:r>
    </w:p>
    <w:sectPr w:rsidR="0023464E" w:rsidRPr="00306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06"/>
    <w:rsid w:val="0004530B"/>
    <w:rsid w:val="000500B0"/>
    <w:rsid w:val="0005682E"/>
    <w:rsid w:val="000D6B6B"/>
    <w:rsid w:val="002004B8"/>
    <w:rsid w:val="0023464E"/>
    <w:rsid w:val="00263101"/>
    <w:rsid w:val="0030682F"/>
    <w:rsid w:val="004B5206"/>
    <w:rsid w:val="006D2E21"/>
    <w:rsid w:val="007E176C"/>
    <w:rsid w:val="007F5415"/>
    <w:rsid w:val="008835E9"/>
    <w:rsid w:val="00966F7C"/>
    <w:rsid w:val="00986611"/>
    <w:rsid w:val="00A718C5"/>
    <w:rsid w:val="00BC2565"/>
    <w:rsid w:val="00C70AB2"/>
    <w:rsid w:val="00D9603A"/>
    <w:rsid w:val="00EE22B7"/>
    <w:rsid w:val="00F55B82"/>
    <w:rsid w:val="00F642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5BAA"/>
  <w15:chartTrackingRefBased/>
  <w15:docId w15:val="{B4E48D0A-35C5-44B6-99D7-F92D1B61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7E176C"/>
    <w:pPr>
      <w:autoSpaceDE w:val="0"/>
      <w:autoSpaceDN w:val="0"/>
      <w:adjustRightInd w:val="0"/>
      <w:spacing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521</Words>
  <Characters>2868</Characters>
  <Application>Microsoft Office Word</Application>
  <DocSecurity>0</DocSecurity>
  <Lines>23</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Breanna Hardy</dc:creator>
  <cp:keywords/>
  <dc:description/>
  <cp:lastModifiedBy>Reyna Castellanos</cp:lastModifiedBy>
  <cp:revision>2</cp:revision>
  <dcterms:created xsi:type="dcterms:W3CDTF">2022-09-29T06:39:00Z</dcterms:created>
  <dcterms:modified xsi:type="dcterms:W3CDTF">2022-09-29T06:39:00Z</dcterms:modified>
</cp:coreProperties>
</file>