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7F01" w14:textId="0EBAC8A9" w:rsidR="00C02B50" w:rsidRDefault="00D46F7B" w:rsidP="00D46F7B">
      <w:pPr>
        <w:jc w:val="center"/>
        <w:rPr>
          <w:rFonts w:ascii="Times New Roman" w:hAnsi="Times New Roman" w:cs="Times New Roman"/>
          <w:b/>
          <w:bCs/>
        </w:rPr>
      </w:pPr>
      <w:r>
        <w:rPr>
          <w:rFonts w:ascii="Times New Roman" w:hAnsi="Times New Roman" w:cs="Times New Roman"/>
          <w:b/>
          <w:bCs/>
        </w:rPr>
        <w:t>INTRODUCTION</w:t>
      </w:r>
    </w:p>
    <w:p w14:paraId="01CC9784" w14:textId="6FD4BBBB" w:rsidR="00473774" w:rsidRDefault="00715C06" w:rsidP="00BC0FE9">
      <w:pPr>
        <w:spacing w:line="360" w:lineRule="auto"/>
        <w:ind w:firstLine="720"/>
        <w:jc w:val="both"/>
        <w:rPr>
          <w:rFonts w:ascii="Times New Roman" w:hAnsi="Times New Roman" w:cs="Times New Roman"/>
        </w:rPr>
      </w:pPr>
      <w:r w:rsidRPr="00715C06">
        <w:rPr>
          <w:rFonts w:ascii="Times New Roman" w:hAnsi="Times New Roman" w:cs="Times New Roman"/>
        </w:rPr>
        <w:t>Kemajuan digitalisasi yang berlangsung pesat di seluruh dunia telah mendorong lonjakan permintaan perangkat elektronik secara besar-besaran, sehingga menjadikan e-waste sebagai kategori limbah padat dengan laju pertumbuhan paling cepat saat ini (Shahabuddin et al., 2023)</w:t>
      </w:r>
      <w:r>
        <w:rPr>
          <w:rFonts w:ascii="Times New Roman" w:hAnsi="Times New Roman" w:cs="Times New Roman"/>
        </w:rPr>
        <w:t xml:space="preserve">. </w:t>
      </w:r>
      <w:r w:rsidR="000C713E" w:rsidRPr="000C713E">
        <w:rPr>
          <w:rFonts w:ascii="Times New Roman" w:hAnsi="Times New Roman" w:cs="Times New Roman"/>
        </w:rPr>
        <w:t>Berdasarkan Global E-waste Monitor 2024, dunia menghasilkan sekitar 62 juta ton e-waste pada tahun 2022 dan diproyeksikan meningkat menjadi 82 juta ton pada tahun 2030, namun ironisnya hanya 22,3% dari total e-waste tersebut yang berhasil dikumpulkan dan didaur ulang secara resmi, sehingga menyisakan sumber daya alam yang dapat dipulihkan senilai USD 62 miliar yang tidak terlacak dan meningkatkan risiko pencemaran bagi masyarakat di seluruh dunia (Baldé et al., 2024</w:t>
      </w:r>
      <w:r w:rsidR="00473774">
        <w:rPr>
          <w:rFonts w:ascii="Times New Roman" w:hAnsi="Times New Roman" w:cs="Times New Roman"/>
        </w:rPr>
        <w:t>).</w:t>
      </w:r>
      <w:r w:rsidR="00EA127C" w:rsidRPr="00EA127C">
        <w:t xml:space="preserve"> </w:t>
      </w:r>
      <w:r w:rsidR="00201E9B" w:rsidRPr="00D02E09">
        <w:rPr>
          <w:rFonts w:ascii="Times New Roman" w:hAnsi="Times New Roman" w:cs="Times New Roman"/>
        </w:rPr>
        <w:t>Rendahnya tingkat daur ulang tersebut berdampak serius, sebab pembuangan e-waste yang tidak tepat melepaskan</w:t>
      </w:r>
      <w:r w:rsidR="00D02E09" w:rsidRPr="00D02E09">
        <w:rPr>
          <w:rFonts w:ascii="Times New Roman" w:hAnsi="Times New Roman" w:cs="Times New Roman"/>
        </w:rPr>
        <w:t xml:space="preserve"> </w:t>
      </w:r>
      <w:r w:rsidR="00473774" w:rsidRPr="00473774">
        <w:rPr>
          <w:rFonts w:ascii="Times New Roman" w:hAnsi="Times New Roman" w:cs="Times New Roman"/>
        </w:rPr>
        <w:t>logam beracun seperti merkuri, kadmium, dan timbal ke lingkungan, yang tidak hanya mencemari ekosistem tetapi juga menimbulkan berbagai dampak kesehatan serius bagi masyarakat, termasuk cacat lahir, penyakit pernapasan, dan kanker, sekaligus menyebabkan hilangnya logam bernilai tinggi yang seharusnya dapat dipulihkan melalui proses daur ulang yang layak (Andeobu et al., 2021).</w:t>
      </w:r>
    </w:p>
    <w:p w14:paraId="3001BCFA" w14:textId="77777777" w:rsidR="00182A8F" w:rsidRDefault="00182A8F" w:rsidP="00BC0FE9">
      <w:pPr>
        <w:spacing w:line="360" w:lineRule="auto"/>
        <w:ind w:firstLine="720"/>
        <w:jc w:val="both"/>
        <w:rPr>
          <w:rFonts w:ascii="Times New Roman" w:hAnsi="Times New Roman" w:cs="Times New Roman"/>
        </w:rPr>
      </w:pPr>
      <w:r w:rsidRPr="00182A8F">
        <w:rPr>
          <w:rFonts w:ascii="Times New Roman" w:hAnsi="Times New Roman" w:cs="Times New Roman"/>
        </w:rPr>
        <w:t>Permasalahan global ini terlihat jelas di Indonesia sebagai negara dengan beban e-waste terbesar di Asia Tenggara. Indonesia menghasilkan 1,9 juta ton limbah elektronik pada tahun 2022, menjadikannya negara penghasil e-waste terbesar di ASEAN (Baldé et al., 2024). Tren ini diperkirakan terus meningkat seiring pertumbuhan urbanisasi dan konsumsi perangkat elektronik, dengan timbulan e-waste nasional diproyeksikan mencapai 3,2 juta ton pada tahun 2040 (Firmansyah et al., 2025). Namun, pengelolaan e-waste di Indonesia masih menghadapi berbagai tantangan, seperti dominasi sektor informal, belum adanya regulasi khusus yang komprehensif, serta keterbatasan fasilitas daur ulang formal (Andeobu et al., 2021). Situasi ini menegaskan urgensi inovasi pengelolaan e-waste yang tidak hanya menekan pencemaran, tetapi juga mengoptimalkan pemulihan sumber daya bernilai yang terkandung di dalamnya.</w:t>
      </w:r>
    </w:p>
    <w:p w14:paraId="32711634" w14:textId="77777777" w:rsidR="00FF5007" w:rsidRDefault="003A47B8" w:rsidP="002C5B80">
      <w:pPr>
        <w:spacing w:line="360" w:lineRule="auto"/>
        <w:ind w:firstLine="720"/>
        <w:jc w:val="both"/>
        <w:rPr>
          <w:rFonts w:ascii="Times New Roman" w:hAnsi="Times New Roman" w:cs="Times New Roman"/>
        </w:rPr>
      </w:pPr>
      <w:r w:rsidRPr="003A47B8">
        <w:rPr>
          <w:rFonts w:ascii="Times New Roman" w:hAnsi="Times New Roman" w:cs="Times New Roman"/>
        </w:rPr>
        <w:lastRenderedPageBreak/>
        <w:t>Kesenjangan struktural antara pemilik e-waste dan industri daur ulang formal menjadi akar persoalan paling mendasar dalam ekosistem pengelolaan e-waste di Indonesia. Jutaan rumah tangga dan pelaku usaha menyimpan perangkat elektronik bekas karena tidak mengetahui ke mana harus menyerahkannya, sementara fasilitas daur ulang formal yang berlisensi justru kekurangan pasokan bahan baku akibat aliran e-waste yang terputus di tingkat pengumpulan (Xavier et al., 2024).</w:t>
      </w:r>
      <w:r>
        <w:rPr>
          <w:rFonts w:ascii="Times New Roman" w:hAnsi="Times New Roman" w:cs="Times New Roman"/>
        </w:rPr>
        <w:t xml:space="preserve"> </w:t>
      </w:r>
      <w:r w:rsidR="00790615" w:rsidRPr="00790615">
        <w:rPr>
          <w:rFonts w:ascii="Times New Roman" w:hAnsi="Times New Roman" w:cs="Times New Roman"/>
        </w:rPr>
        <w:t xml:space="preserve">Kondisi ini mempertegas bahwa solusi atas krisis e-waste di Indonesia tidak dapat bertumpu semata pada aspek regulasi, melainkan </w:t>
      </w:r>
      <w:r w:rsidR="00FF5007" w:rsidRPr="00FF5007">
        <w:rPr>
          <w:rFonts w:ascii="Times New Roman" w:hAnsi="Times New Roman" w:cs="Times New Roman"/>
        </w:rPr>
        <w:t>membutuhkan pendekatan berbasis teknologi yang mampu menjembatani kesenjangan struktural tersebut secara sistemik dan terukur</w:t>
      </w:r>
      <w:r w:rsidR="00FF5007">
        <w:rPr>
          <w:rFonts w:ascii="Times New Roman" w:hAnsi="Times New Roman" w:cs="Times New Roman"/>
        </w:rPr>
        <w:t>.</w:t>
      </w:r>
    </w:p>
    <w:p w14:paraId="23B12BCF" w14:textId="0C40F12E" w:rsidR="00673146" w:rsidRDefault="002C5B80" w:rsidP="002C5B80">
      <w:pPr>
        <w:spacing w:line="360" w:lineRule="auto"/>
        <w:ind w:firstLine="720"/>
        <w:jc w:val="both"/>
        <w:rPr>
          <w:rFonts w:ascii="Times New Roman" w:hAnsi="Times New Roman" w:cs="Times New Roman"/>
        </w:rPr>
      </w:pPr>
      <w:r w:rsidRPr="002C5B80">
        <w:rPr>
          <w:rFonts w:ascii="Times New Roman" w:hAnsi="Times New Roman" w:cs="Times New Roman"/>
        </w:rPr>
        <w:t>Berbagai penelitian telah menunjukkan bahwa e-waste mengandung logam dan material bernilai tinggi yang berpotensi dipulihkan melalui pendekatan urban mining sehingga dapat mendukung implementasi ekonomi sirkular (Liu et al., 2023). Namun, potensi tersebut belum dapat dimaksimalkan akibat rendahnya tingkat formalisasi rantai pengelolaan e-waste dan absennya mekanisme yang mendorong partisipasi aktif pelaku industri daur ulang (Andeobu et al., 2021). Di sisi lain, meskipun potensi urban mining di Indonesia sangat besar, pengembangannya masih terkendala oleh belum terintegrasinya sistem pengumpulan dan penyaluran e-waste yang mampu menghubungkan sumber limbah dengan fasilitas daur ulang secara efektif (Firmansyah et al., 2025). Oleh karena itu, penelitian ini mengembangkan konsep Urban Mining Connector sebagai platform digital yang secara langsung menghubungkan pemilik e-waste dengan industri daur ulang formal, guna menciptakan ekosistem pengelolaan e-waste yang efisien, transparan, dan bernilai ekonomi di Indonesia.</w:t>
      </w:r>
    </w:p>
    <w:p w14:paraId="77BB42B0" w14:textId="77777777" w:rsidR="00B03BAC" w:rsidRDefault="00B03BAC" w:rsidP="00B03BAC">
      <w:pPr>
        <w:spacing w:after="240" w:line="360" w:lineRule="auto"/>
        <w:ind w:firstLine="720"/>
        <w:jc w:val="both"/>
        <w:rPr>
          <w:rFonts w:ascii="Times New Roman" w:hAnsi="Times New Roman" w:cs="Times New Roman"/>
        </w:rPr>
      </w:pPr>
      <w:r w:rsidRPr="00974D67">
        <w:rPr>
          <w:rFonts w:ascii="Times New Roman" w:hAnsi="Times New Roman" w:cs="Times New Roman"/>
        </w:rPr>
        <w:t>Pemanfaatan teknologi digital membuka peluang yang sangat signifikan dalam mendorong efisiensi pengelolaan limbah elektronik, khususnya melalui pengembangan platform berbasis sistem informasi. Sejumlah penelitian mengungkapkan bahwa proses digitalisasi terbukti mampu meningkatkan transparansi operasional, memperkuat keterlacakan aliran material, memperlancar efisiensi logistik, serta mempererat koordinasi di antara berbagai pemangku kepentingan dalam kerangka penerapan ekonomi sirkular (Zhang et al., 2022).</w:t>
      </w:r>
      <w:r w:rsidRPr="002E17ED">
        <w:rPr>
          <w:rFonts w:ascii="Times New Roman" w:hAnsi="Times New Roman" w:cs="Times New Roman"/>
        </w:rPr>
        <w:t xml:space="preserve"> </w:t>
      </w:r>
      <w:r>
        <w:rPr>
          <w:rFonts w:ascii="Times New Roman" w:hAnsi="Times New Roman" w:cs="Times New Roman"/>
        </w:rPr>
        <w:t>Kehadiran</w:t>
      </w:r>
      <w:r w:rsidRPr="002E17ED">
        <w:rPr>
          <w:rFonts w:ascii="Times New Roman" w:hAnsi="Times New Roman" w:cs="Times New Roman"/>
        </w:rPr>
        <w:t xml:space="preserve"> platform digital, masyarakat dapat lebih mudah menemukan lokasi </w:t>
      </w:r>
      <w:r w:rsidRPr="002E17ED">
        <w:rPr>
          <w:rFonts w:ascii="Times New Roman" w:hAnsi="Times New Roman" w:cs="Times New Roman"/>
        </w:rPr>
        <w:lastRenderedPageBreak/>
        <w:t xml:space="preserve">pengumpulan e-waste, memperoleh informasi terkait jenis dan nilai material limbah elektronik, serta menyalurkan limbah kepada pihak pengelola yang terverifikasi. Selain itu, teknologi digital memungkinkan pengumpulan dan analisis data secara </w:t>
      </w:r>
      <w:r w:rsidRPr="002E17ED">
        <w:rPr>
          <w:rFonts w:ascii="Times New Roman" w:hAnsi="Times New Roman" w:cs="Times New Roman"/>
          <w:i/>
          <w:iCs/>
        </w:rPr>
        <w:t>real-time</w:t>
      </w:r>
      <w:r w:rsidRPr="002E17ED">
        <w:rPr>
          <w:rFonts w:ascii="Times New Roman" w:hAnsi="Times New Roman" w:cs="Times New Roman"/>
        </w:rPr>
        <w:t xml:space="preserve"> yang dapat mendukung pengambilan keputusan serta optimalisasi rantai pasok daur ulang. </w:t>
      </w:r>
      <w:r w:rsidRPr="00974D67">
        <w:rPr>
          <w:rFonts w:ascii="Times New Roman" w:hAnsi="Times New Roman" w:cs="Times New Roman"/>
        </w:rPr>
        <w:t>Oleh karena itu, integrasi teknologi digital dapat dipandang sebagai solusi strategis yang berpotensi mengatasi berbagai kendala dalam pengelolaan limbah elektronik, sekaligus meningkatkan partisipasi aktif masyarakat, memperkuat pelaksanaan prinsip ekonomi sirkular, dan berkontribusi pada pencapaian tujuan pembangunan yang berkelanjutan (Forti et al., 2024; Murthy &amp; Ramakrishna, 2022).</w:t>
      </w:r>
    </w:p>
    <w:p w14:paraId="7548A99A" w14:textId="77777777" w:rsidR="00B03BAC" w:rsidRDefault="00B03BAC" w:rsidP="00B03BAC">
      <w:pPr>
        <w:spacing w:line="360" w:lineRule="auto"/>
        <w:ind w:firstLine="720"/>
        <w:jc w:val="both"/>
        <w:rPr>
          <w:rFonts w:ascii="Times New Roman" w:hAnsi="Times New Roman" w:cs="Times New Roman"/>
        </w:rPr>
      </w:pPr>
      <w:r w:rsidRPr="00C73CF3">
        <w:rPr>
          <w:rFonts w:ascii="Times New Roman" w:hAnsi="Times New Roman" w:cs="Times New Roman"/>
        </w:rPr>
        <w:t xml:space="preserve">Berdasarkan permasalahan dan peluang </w:t>
      </w:r>
      <w:r>
        <w:rPr>
          <w:rFonts w:ascii="Times New Roman" w:hAnsi="Times New Roman" w:cs="Times New Roman"/>
        </w:rPr>
        <w:t xml:space="preserve">yang telah diidentifikasi </w:t>
      </w:r>
      <w:r w:rsidRPr="00C73CF3">
        <w:rPr>
          <w:rFonts w:ascii="Times New Roman" w:hAnsi="Times New Roman" w:cs="Times New Roman"/>
        </w:rPr>
        <w:t xml:space="preserve">, penelitian ini </w:t>
      </w:r>
      <w:r>
        <w:rPr>
          <w:rFonts w:ascii="Times New Roman" w:hAnsi="Times New Roman" w:cs="Times New Roman"/>
        </w:rPr>
        <w:t xml:space="preserve">mengembangkan sebuah solusi yang bernama </w:t>
      </w:r>
      <w:r w:rsidRPr="00B03BAC">
        <w:rPr>
          <w:rFonts w:ascii="Times New Roman" w:hAnsi="Times New Roman" w:cs="Times New Roman"/>
        </w:rPr>
        <w:t>Urban Mining Connector</w:t>
      </w:r>
      <w:r w:rsidRPr="00C73CF3">
        <w:rPr>
          <w:rFonts w:ascii="Times New Roman" w:hAnsi="Times New Roman" w:cs="Times New Roman"/>
        </w:rPr>
        <w:t>,</w:t>
      </w:r>
      <w:r>
        <w:rPr>
          <w:rFonts w:ascii="Times New Roman" w:hAnsi="Times New Roman" w:cs="Times New Roman"/>
        </w:rPr>
        <w:t xml:space="preserve"> yakni</w:t>
      </w:r>
      <w:r w:rsidRPr="00C73CF3">
        <w:rPr>
          <w:rFonts w:ascii="Times New Roman" w:hAnsi="Times New Roman" w:cs="Times New Roman"/>
        </w:rPr>
        <w:t xml:space="preserve"> sebuah platform digital berbasis web yang ber</w:t>
      </w:r>
      <w:r>
        <w:rPr>
          <w:rFonts w:ascii="Times New Roman" w:hAnsi="Times New Roman" w:cs="Times New Roman"/>
        </w:rPr>
        <w:t xml:space="preserve">peran </w:t>
      </w:r>
      <w:r w:rsidRPr="00C73CF3">
        <w:rPr>
          <w:rFonts w:ascii="Times New Roman" w:hAnsi="Times New Roman" w:cs="Times New Roman"/>
        </w:rPr>
        <w:t xml:space="preserve">sebagai penghubung antara pemilik sampah elektronik, pengepul, dan industri daur ulang. Platform ini dirancang </w:t>
      </w:r>
      <w:r>
        <w:rPr>
          <w:rFonts w:ascii="Times New Roman" w:hAnsi="Times New Roman" w:cs="Times New Roman"/>
        </w:rPr>
        <w:t>dengan tujuan</w:t>
      </w:r>
      <w:r w:rsidRPr="00C73CF3">
        <w:rPr>
          <w:rFonts w:ascii="Times New Roman" w:hAnsi="Times New Roman" w:cs="Times New Roman"/>
        </w:rPr>
        <w:t xml:space="preserve"> </w:t>
      </w:r>
      <w:r>
        <w:rPr>
          <w:rFonts w:ascii="Times New Roman" w:hAnsi="Times New Roman" w:cs="Times New Roman"/>
        </w:rPr>
        <w:t>mempermudah</w:t>
      </w:r>
      <w:r w:rsidRPr="00C73CF3">
        <w:rPr>
          <w:rFonts w:ascii="Times New Roman" w:hAnsi="Times New Roman" w:cs="Times New Roman"/>
        </w:rPr>
        <w:t xml:space="preserve"> proses pertukaran informasi, pencarian mitra pengelola terdekat, serta distribusi e-waste secara lebih efisien melalui sistem yang </w:t>
      </w:r>
      <w:r>
        <w:rPr>
          <w:rFonts w:ascii="Times New Roman" w:hAnsi="Times New Roman" w:cs="Times New Roman"/>
        </w:rPr>
        <w:t>saling terbuhung dengan terpadu</w:t>
      </w:r>
      <w:r w:rsidRPr="00C73CF3">
        <w:rPr>
          <w:rFonts w:ascii="Times New Roman" w:hAnsi="Times New Roman" w:cs="Times New Roman"/>
        </w:rPr>
        <w:t xml:space="preserve">. Berbeda dengan sistem pengelolaan konvensional yang masih terfragmentasi, </w:t>
      </w:r>
      <w:r w:rsidRPr="00C73CF3">
        <w:rPr>
          <w:rFonts w:ascii="Times New Roman" w:hAnsi="Times New Roman" w:cs="Times New Roman"/>
          <w:i/>
          <w:iCs/>
        </w:rPr>
        <w:t>Urban Mining Connector</w:t>
      </w:r>
      <w:r w:rsidRPr="00C73CF3">
        <w:rPr>
          <w:rFonts w:ascii="Times New Roman" w:hAnsi="Times New Roman" w:cs="Times New Roman"/>
        </w:rPr>
        <w:t xml:space="preserve"> mengedepankan konsep kolaboratif dengan memanfaatkan teknologi digital untuk mempertemukan seluruh aktor dalam ekosistem daur ulang. Melalui pendekatan tersebut, platform ini diharapkan mampu meningkatkan tingkat pengumpulan e-waste, memperluas akses masyarakat terhadap layanan daur ulang formal, serta memperkuat implementasi ekonomi sirkular melalui optimalisasi pemanfaatan sumber daya sekunder yang terkandung dalam sampah elektronik (Sustainability, 2024; Sustainability, 2022; IJETT, 2023; Circular Economy Reports, 2024).</w:t>
      </w:r>
    </w:p>
    <w:p w14:paraId="012FA915" w14:textId="19F14DB2" w:rsidR="000C713E" w:rsidRDefault="00B03BAC" w:rsidP="00B03BAC">
      <w:pPr>
        <w:spacing w:after="120" w:line="360" w:lineRule="auto"/>
        <w:ind w:firstLine="720"/>
        <w:jc w:val="both"/>
        <w:rPr>
          <w:rFonts w:ascii="Times New Roman" w:hAnsi="Times New Roman" w:cs="Times New Roman"/>
        </w:rPr>
      </w:pPr>
      <w:r w:rsidRPr="000B1E52">
        <w:rPr>
          <w:rFonts w:ascii="Times New Roman" w:hAnsi="Times New Roman" w:cs="Times New Roman"/>
        </w:rPr>
        <w:t xml:space="preserve">Penelitian ini bertujuan untuk merancang dan mengembangkan </w:t>
      </w:r>
      <w:r w:rsidRPr="00B03BAC">
        <w:rPr>
          <w:rFonts w:ascii="Times New Roman" w:hAnsi="Times New Roman" w:cs="Times New Roman"/>
        </w:rPr>
        <w:t>Urban Mining Connector</w:t>
      </w:r>
      <w:r w:rsidRPr="000B1E52">
        <w:rPr>
          <w:rFonts w:ascii="Times New Roman" w:hAnsi="Times New Roman" w:cs="Times New Roman"/>
        </w:rPr>
        <w:t xml:space="preserve"> sebagai platform digital yang mampu menjembatani interaksi antara pemilik e-waste, pengumpul, dan industri daur ulang. Melalui pengembangan platform tersebut, diharapkan tercipta sistem pengelolaan sampah elektronik yang lebih efisien, transparan, dan berkelanjutan sehingga mampu meningkatkan tingkat pengumpulan serta pemanfaatan kembali material dari e-</w:t>
      </w:r>
      <w:r w:rsidRPr="000B1E52">
        <w:rPr>
          <w:rFonts w:ascii="Times New Roman" w:hAnsi="Times New Roman" w:cs="Times New Roman"/>
        </w:rPr>
        <w:lastRenderedPageBreak/>
        <w:t xml:space="preserve">waste melalui pendekatan ekonomi sirkular. Pendekatan ekonomi sirkular terbukti berkontribusi terhadap pembangunan berkelanjutan melalui optimalisasi penggunaan sumber daya, pengurangan limbah, dan peningkatan pemanfaatan kembali material (Panchal et al., 2021). Selain itu, penguatan sistem pengelolaan e-waste yang terintegrasi diperlukan untuk meningkatkan efektivitas rantai pengumpulan dan daur ulang limbah elektronik di Indonesia (Mairizal et al., 2021; Wibowo et al., 2021). </w:t>
      </w:r>
      <w:r>
        <w:rPr>
          <w:rFonts w:ascii="Times New Roman" w:hAnsi="Times New Roman" w:cs="Times New Roman"/>
        </w:rPr>
        <w:t>Dengan i</w:t>
      </w:r>
      <w:r w:rsidRPr="000B1E52">
        <w:rPr>
          <w:rFonts w:ascii="Times New Roman" w:hAnsi="Times New Roman" w:cs="Times New Roman"/>
        </w:rPr>
        <w:t xml:space="preserve">novasi ini </w:t>
      </w:r>
      <w:r>
        <w:rPr>
          <w:rFonts w:ascii="Times New Roman" w:hAnsi="Times New Roman" w:cs="Times New Roman"/>
        </w:rPr>
        <w:t xml:space="preserve">dapat </w:t>
      </w:r>
      <w:r w:rsidRPr="000B1E52">
        <w:rPr>
          <w:rFonts w:ascii="Times New Roman" w:hAnsi="Times New Roman" w:cs="Times New Roman"/>
        </w:rPr>
        <w:t xml:space="preserve">mendukung pencapaian </w:t>
      </w:r>
      <w:r w:rsidRPr="000B1E52">
        <w:rPr>
          <w:rFonts w:ascii="Times New Roman" w:hAnsi="Times New Roman" w:cs="Times New Roman"/>
          <w:b/>
          <w:bCs/>
        </w:rPr>
        <w:t>SDGs 12 (Responsible Consumption and Production)</w:t>
      </w:r>
      <w:r w:rsidRPr="000B1E52">
        <w:rPr>
          <w:rFonts w:ascii="Times New Roman" w:hAnsi="Times New Roman" w:cs="Times New Roman"/>
        </w:rPr>
        <w:t xml:space="preserve"> melalui penerapan pola konsumsi dan produksi yang lebih bertanggung jawab serta pengelolaan sumber daya yang berkelanjutan.</w:t>
      </w:r>
    </w:p>
    <w:p w14:paraId="1FF8F7B8" w14:textId="77777777" w:rsidR="000C713E" w:rsidRDefault="000C713E" w:rsidP="00D46F7B">
      <w:pPr>
        <w:spacing w:line="360" w:lineRule="auto"/>
        <w:ind w:firstLine="720"/>
        <w:jc w:val="both"/>
        <w:rPr>
          <w:rFonts w:ascii="Times New Roman" w:hAnsi="Times New Roman" w:cs="Times New Roman"/>
        </w:rPr>
      </w:pPr>
    </w:p>
    <w:p w14:paraId="26E4C217" w14:textId="74C296AB" w:rsidR="000C713E" w:rsidRDefault="000C713E" w:rsidP="000C713E">
      <w:pPr>
        <w:spacing w:line="360" w:lineRule="auto"/>
        <w:ind w:firstLine="720"/>
        <w:jc w:val="center"/>
        <w:rPr>
          <w:rFonts w:ascii="Times New Roman" w:hAnsi="Times New Roman" w:cs="Times New Roman"/>
          <w:b/>
          <w:bCs/>
        </w:rPr>
      </w:pPr>
      <w:r>
        <w:rPr>
          <w:rFonts w:ascii="Times New Roman" w:hAnsi="Times New Roman" w:cs="Times New Roman"/>
          <w:b/>
          <w:bCs/>
        </w:rPr>
        <w:t>DAFTAR PUSTAKA</w:t>
      </w:r>
    </w:p>
    <w:p w14:paraId="1235D7B6" w14:textId="77777777" w:rsidR="00B03BAC" w:rsidRPr="000C713E" w:rsidRDefault="00B03BAC" w:rsidP="000C713E">
      <w:pPr>
        <w:spacing w:line="360" w:lineRule="auto"/>
        <w:ind w:left="1440" w:hanging="720"/>
        <w:jc w:val="both"/>
        <w:rPr>
          <w:rFonts w:ascii="Times New Roman" w:hAnsi="Times New Roman" w:cs="Times New Roman"/>
        </w:rPr>
      </w:pPr>
    </w:p>
    <w:p w14:paraId="36A12993" w14:textId="77777777" w:rsidR="00B03BAC" w:rsidRPr="000C713E" w:rsidRDefault="00B03BAC" w:rsidP="000C713E">
      <w:pPr>
        <w:spacing w:line="360" w:lineRule="auto"/>
        <w:ind w:firstLine="720"/>
        <w:jc w:val="both"/>
        <w:rPr>
          <w:rFonts w:ascii="Times New Roman" w:hAnsi="Times New Roman" w:cs="Times New Roman"/>
        </w:rPr>
      </w:pPr>
    </w:p>
    <w:p w14:paraId="5FC4B8AD" w14:textId="77777777" w:rsidR="00B03BAC" w:rsidRDefault="00B03BAC" w:rsidP="000C713E">
      <w:pPr>
        <w:spacing w:line="360" w:lineRule="auto"/>
        <w:ind w:left="1440" w:hanging="720"/>
        <w:jc w:val="both"/>
        <w:rPr>
          <w:rFonts w:ascii="Times New Roman" w:hAnsi="Times New Roman" w:cs="Times New Roman"/>
        </w:rPr>
      </w:pPr>
      <w:r w:rsidRPr="00FD2A14">
        <w:rPr>
          <w:rFonts w:ascii="Times New Roman" w:hAnsi="Times New Roman" w:cs="Times New Roman"/>
        </w:rPr>
        <w:t xml:space="preserve">Andeobu, L., Wibowo, S., &amp; Grandhi, S. (2021). A systematic review of e-waste generation and environmental management of Asia Pacific countries. </w:t>
      </w:r>
      <w:r w:rsidRPr="00FD2A14">
        <w:rPr>
          <w:rFonts w:ascii="Times New Roman" w:hAnsi="Times New Roman" w:cs="Times New Roman"/>
          <w:i/>
          <w:iCs/>
        </w:rPr>
        <w:t>International Journal of Environmental Research and Public Health</w:t>
      </w:r>
      <w:r w:rsidRPr="00FD2A14">
        <w:rPr>
          <w:rFonts w:ascii="Times New Roman" w:hAnsi="Times New Roman" w:cs="Times New Roman"/>
        </w:rPr>
        <w:t xml:space="preserve">, </w:t>
      </w:r>
      <w:r w:rsidRPr="00FD2A14">
        <w:rPr>
          <w:rFonts w:ascii="Times New Roman" w:hAnsi="Times New Roman" w:cs="Times New Roman"/>
          <w:i/>
          <w:iCs/>
        </w:rPr>
        <w:t>18</w:t>
      </w:r>
      <w:r w:rsidRPr="00FD2A14">
        <w:rPr>
          <w:rFonts w:ascii="Times New Roman" w:hAnsi="Times New Roman" w:cs="Times New Roman"/>
        </w:rPr>
        <w:t xml:space="preserve">(17), 9051. </w:t>
      </w:r>
      <w:hyperlink r:id="rId7" w:history="1">
        <w:r w:rsidRPr="00FD2A14">
          <w:rPr>
            <w:rStyle w:val="Hyperlink"/>
            <w:rFonts w:ascii="Times New Roman" w:hAnsi="Times New Roman" w:cs="Times New Roman"/>
          </w:rPr>
          <w:t>https://doi.org/10.3390/ijerph18179051</w:t>
        </w:r>
      </w:hyperlink>
    </w:p>
    <w:p w14:paraId="18EDC19B" w14:textId="77777777" w:rsidR="00B03BAC" w:rsidRDefault="00B03BAC" w:rsidP="000C713E">
      <w:pPr>
        <w:spacing w:line="360" w:lineRule="auto"/>
        <w:ind w:left="1440" w:hanging="720"/>
        <w:jc w:val="both"/>
        <w:rPr>
          <w:rFonts w:ascii="Times New Roman" w:hAnsi="Times New Roman" w:cs="Times New Roman"/>
        </w:rPr>
      </w:pPr>
      <w:r w:rsidRPr="00B03BAC">
        <w:rPr>
          <w:rFonts w:ascii="Times New Roman" w:hAnsi="Times New Roman" w:cs="Times New Roman"/>
        </w:rPr>
        <w:t xml:space="preserve">Baldé, C. P., Burrows, E., Raman, G., Lonji, S., Kuehr, R., &amp; Radhakrishnan, G. (2024). </w:t>
      </w:r>
      <w:r w:rsidRPr="00B03BAC">
        <w:rPr>
          <w:rFonts w:ascii="Times New Roman" w:hAnsi="Times New Roman" w:cs="Times New Roman"/>
          <w:i/>
          <w:iCs/>
        </w:rPr>
        <w:t>Global E-waste Monitor 2024</w:t>
      </w:r>
      <w:r w:rsidRPr="00B03BAC">
        <w:rPr>
          <w:rFonts w:ascii="Times New Roman" w:hAnsi="Times New Roman" w:cs="Times New Roman"/>
        </w:rPr>
        <w:t xml:space="preserve">. International Telecommunication Union (ITU) &amp; United Nations Institute for Training and Research (UNITAR). </w:t>
      </w:r>
      <w:hyperlink r:id="rId8" w:tgtFrame="_blank" w:history="1">
        <w:r w:rsidRPr="00B03BAC">
          <w:rPr>
            <w:rStyle w:val="Hyperlink"/>
            <w:rFonts w:ascii="Times New Roman" w:hAnsi="Times New Roman" w:cs="Times New Roman"/>
          </w:rPr>
          <w:t>https://www.itu.int/en/publications/ITU-D/pages/publications.aspx?media=electronic&amp;parent=D-GEN-E_WASTE.01-2024</w:t>
        </w:r>
      </w:hyperlink>
    </w:p>
    <w:p w14:paraId="74291B57" w14:textId="77777777" w:rsidR="00B03BAC" w:rsidRPr="000C713E" w:rsidRDefault="00B03BAC" w:rsidP="000C713E">
      <w:pPr>
        <w:spacing w:line="360" w:lineRule="auto"/>
        <w:ind w:left="1440" w:hanging="720"/>
        <w:jc w:val="both"/>
        <w:rPr>
          <w:rFonts w:ascii="Times New Roman" w:hAnsi="Times New Roman" w:cs="Times New Roman"/>
        </w:rPr>
      </w:pPr>
      <w:r w:rsidRPr="000C713E">
        <w:rPr>
          <w:rFonts w:ascii="Times New Roman" w:hAnsi="Times New Roman" w:cs="Times New Roman"/>
        </w:rPr>
        <w:t xml:space="preserve">Baldé, C. P., Kuehr, R., Yamamoto, T., McDonald, R., D'Angelo, E., Althaf, S., Bel, G., Deubzer, O., Fernandez-Cubillo, E., Forti, V., &amp; Gray, V. (2024). </w:t>
      </w:r>
      <w:r w:rsidRPr="000C713E">
        <w:rPr>
          <w:rFonts w:ascii="Times New Roman" w:hAnsi="Times New Roman" w:cs="Times New Roman"/>
          <w:i/>
          <w:iCs/>
        </w:rPr>
        <w:t>The global e-waste monitor 2024: Electronic waste rising five times faster than documented e-waste recycling</w:t>
      </w:r>
      <w:r w:rsidRPr="000C713E">
        <w:rPr>
          <w:rFonts w:ascii="Times New Roman" w:hAnsi="Times New Roman" w:cs="Times New Roman"/>
        </w:rPr>
        <w:t xml:space="preserve">. United Nations </w:t>
      </w:r>
      <w:r w:rsidRPr="000C713E">
        <w:rPr>
          <w:rFonts w:ascii="Times New Roman" w:hAnsi="Times New Roman" w:cs="Times New Roman"/>
        </w:rPr>
        <w:lastRenderedPageBreak/>
        <w:t xml:space="preserve">Institute for Training and Research (UNITAR) / International Telecommunication Union (ITU). </w:t>
      </w:r>
      <w:hyperlink r:id="rId9" w:history="1">
        <w:r w:rsidRPr="000C713E">
          <w:rPr>
            <w:rStyle w:val="Hyperlink"/>
            <w:rFonts w:ascii="Times New Roman" w:hAnsi="Times New Roman" w:cs="Times New Roman"/>
          </w:rPr>
          <w:t>https://www.itu.int/en/ITU-D/Environment/Pages/Publications/The-Global-E-waste-Monitor-2024.aspx</w:t>
        </w:r>
      </w:hyperlink>
    </w:p>
    <w:p w14:paraId="680AD61C" w14:textId="77777777" w:rsidR="00B03BAC" w:rsidRDefault="00B03BAC" w:rsidP="000C713E">
      <w:pPr>
        <w:spacing w:line="360" w:lineRule="auto"/>
        <w:ind w:left="1440" w:hanging="720"/>
        <w:jc w:val="both"/>
        <w:rPr>
          <w:rFonts w:ascii="Times New Roman" w:hAnsi="Times New Roman" w:cs="Times New Roman"/>
        </w:rPr>
      </w:pPr>
      <w:r w:rsidRPr="00B03BAC">
        <w:rPr>
          <w:rFonts w:ascii="Times New Roman" w:hAnsi="Times New Roman" w:cs="Times New Roman"/>
        </w:rPr>
        <w:t xml:space="preserve">Echegaray, F. (2021). Consumers' reactions to product obsolescence in emerging markets: The case of Brazil. </w:t>
      </w:r>
      <w:r w:rsidRPr="00B03BAC">
        <w:rPr>
          <w:rFonts w:ascii="Times New Roman" w:hAnsi="Times New Roman" w:cs="Times New Roman"/>
          <w:i/>
          <w:iCs/>
        </w:rPr>
        <w:t>Journal of Cleaner Production</w:t>
      </w:r>
      <w:r w:rsidRPr="00B03BAC">
        <w:rPr>
          <w:rFonts w:ascii="Times New Roman" w:hAnsi="Times New Roman" w:cs="Times New Roman"/>
        </w:rPr>
        <w:t xml:space="preserve">, 289, 125164. </w:t>
      </w:r>
      <w:hyperlink r:id="rId10" w:tgtFrame="_blank" w:history="1">
        <w:r w:rsidRPr="00B03BAC">
          <w:rPr>
            <w:rStyle w:val="Hyperlink"/>
            <w:rFonts w:ascii="Times New Roman" w:hAnsi="Times New Roman" w:cs="Times New Roman"/>
          </w:rPr>
          <w:t>https://doi.org/10.1016/j.jclepro.2021.125164</w:t>
        </w:r>
      </w:hyperlink>
    </w:p>
    <w:p w14:paraId="02C4D39B" w14:textId="77777777" w:rsidR="00B03BAC" w:rsidRDefault="00B03BAC" w:rsidP="000C713E">
      <w:pPr>
        <w:spacing w:line="360" w:lineRule="auto"/>
        <w:ind w:left="1440" w:hanging="720"/>
        <w:jc w:val="both"/>
        <w:rPr>
          <w:rFonts w:ascii="Times New Roman" w:hAnsi="Times New Roman" w:cs="Times New Roman"/>
        </w:rPr>
      </w:pPr>
      <w:r w:rsidRPr="00172E0F">
        <w:rPr>
          <w:rFonts w:ascii="Times New Roman" w:hAnsi="Times New Roman" w:cs="Times New Roman"/>
        </w:rPr>
        <w:t>Firmansyah, M. L., Rizki, I. N., &amp; Ullah, N. (2025).</w:t>
      </w:r>
      <w:r w:rsidRPr="00C67DAF">
        <w:rPr>
          <w:rFonts w:ascii="Times New Roman" w:hAnsi="Times New Roman" w:cs="Times New Roman"/>
        </w:rPr>
        <w:t xml:space="preserve"> Recent advances in urban mining technology: A focus on electronic waste recycling potential in Indonesia. </w:t>
      </w:r>
      <w:r w:rsidRPr="00C67DAF">
        <w:rPr>
          <w:rFonts w:ascii="Times New Roman" w:hAnsi="Times New Roman" w:cs="Times New Roman"/>
          <w:i/>
          <w:iCs/>
        </w:rPr>
        <w:t>Cleaner Waste Systems</w:t>
      </w:r>
      <w:r w:rsidRPr="00C67DAF">
        <w:rPr>
          <w:rFonts w:ascii="Times New Roman" w:hAnsi="Times New Roman" w:cs="Times New Roman"/>
        </w:rPr>
        <w:t xml:space="preserve">, </w:t>
      </w:r>
      <w:r w:rsidRPr="00C67DAF">
        <w:rPr>
          <w:rFonts w:ascii="Times New Roman" w:hAnsi="Times New Roman" w:cs="Times New Roman"/>
          <w:i/>
          <w:iCs/>
        </w:rPr>
        <w:t>10</w:t>
      </w:r>
      <w:r w:rsidRPr="00C67DAF">
        <w:rPr>
          <w:rFonts w:ascii="Times New Roman" w:hAnsi="Times New Roman" w:cs="Times New Roman"/>
        </w:rPr>
        <w:t xml:space="preserve">, 100239. </w:t>
      </w:r>
      <w:hyperlink r:id="rId11" w:history="1">
        <w:r w:rsidRPr="00C67DAF">
          <w:rPr>
            <w:rStyle w:val="Hyperlink"/>
            <w:rFonts w:ascii="Times New Roman" w:hAnsi="Times New Roman" w:cs="Times New Roman"/>
          </w:rPr>
          <w:t>https://doi.org/10.1016/j.clwas.2025.100239</w:t>
        </w:r>
      </w:hyperlink>
    </w:p>
    <w:p w14:paraId="53F69635" w14:textId="77777777" w:rsidR="00B03BAC" w:rsidRPr="00B03BAC" w:rsidRDefault="00B03BAC" w:rsidP="00B03BAC">
      <w:pPr>
        <w:spacing w:line="360" w:lineRule="auto"/>
        <w:ind w:left="1440" w:hanging="720"/>
        <w:jc w:val="both"/>
        <w:rPr>
          <w:rFonts w:ascii="Times New Roman" w:hAnsi="Times New Roman" w:cs="Times New Roman"/>
        </w:rPr>
      </w:pPr>
      <w:r w:rsidRPr="00B03BAC">
        <w:rPr>
          <w:rFonts w:ascii="Times New Roman" w:hAnsi="Times New Roman" w:cs="Times New Roman"/>
        </w:rPr>
        <w:t xml:space="preserve">Gajanayake, A., &amp; Yan, X. (2024). A comprehensive review on e-waste management: Generation, environmental impacts, and sustainable recycling strategies. </w:t>
      </w:r>
      <w:r w:rsidRPr="00B03BAC">
        <w:rPr>
          <w:rFonts w:ascii="Times New Roman" w:hAnsi="Times New Roman" w:cs="Times New Roman"/>
          <w:i/>
          <w:iCs/>
        </w:rPr>
        <w:t>Sustainable Chemistry and Pharmacy</w:t>
      </w:r>
      <w:r w:rsidRPr="00B03BAC">
        <w:rPr>
          <w:rFonts w:ascii="Times New Roman" w:hAnsi="Times New Roman" w:cs="Times New Roman"/>
        </w:rPr>
        <w:t xml:space="preserve">, 39, 101534. </w:t>
      </w:r>
      <w:hyperlink r:id="rId12" w:tgtFrame="_blank" w:history="1">
        <w:r w:rsidRPr="00B03BAC">
          <w:rPr>
            <w:rStyle w:val="Hyperlink"/>
            <w:rFonts w:ascii="Times New Roman" w:hAnsi="Times New Roman" w:cs="Times New Roman"/>
          </w:rPr>
          <w:t>https://doi.org/10.1016/j.scp.2024.101534</w:t>
        </w:r>
      </w:hyperlink>
    </w:p>
    <w:p w14:paraId="35ED523D" w14:textId="77777777" w:rsidR="00B03BAC" w:rsidRPr="00B03BAC" w:rsidRDefault="00B03BAC" w:rsidP="00B03BAC">
      <w:pPr>
        <w:spacing w:line="360" w:lineRule="auto"/>
        <w:ind w:left="1440" w:hanging="720"/>
        <w:jc w:val="both"/>
        <w:rPr>
          <w:rFonts w:ascii="Times New Roman" w:hAnsi="Times New Roman" w:cs="Times New Roman"/>
        </w:rPr>
      </w:pPr>
      <w:r w:rsidRPr="00B03BAC">
        <w:rPr>
          <w:rFonts w:ascii="Times New Roman" w:hAnsi="Times New Roman" w:cs="Times New Roman"/>
        </w:rPr>
        <w:t xml:space="preserve">Kurniawan, T. A., Liang, X., Othman, M. H. D., Goh, H. H., Gikas, P., Chou, K. W., Chong, M. N., &amp; Wang, J. (2022). Transformation of solid waste management in China: Moving towards sustainability through bio-economy. </w:t>
      </w:r>
      <w:r w:rsidRPr="00B03BAC">
        <w:rPr>
          <w:rFonts w:ascii="Times New Roman" w:hAnsi="Times New Roman" w:cs="Times New Roman"/>
          <w:i/>
          <w:iCs/>
        </w:rPr>
        <w:t>Journal of Cleaner Production</w:t>
      </w:r>
      <w:r w:rsidRPr="00B03BAC">
        <w:rPr>
          <w:rFonts w:ascii="Times New Roman" w:hAnsi="Times New Roman" w:cs="Times New Roman"/>
        </w:rPr>
        <w:t xml:space="preserve">, 349, 131441. </w:t>
      </w:r>
      <w:hyperlink r:id="rId13" w:tgtFrame="_blank" w:history="1">
        <w:r w:rsidRPr="00B03BAC">
          <w:rPr>
            <w:rStyle w:val="Hyperlink"/>
            <w:rFonts w:ascii="Times New Roman" w:hAnsi="Times New Roman" w:cs="Times New Roman"/>
          </w:rPr>
          <w:t>https://doi.org/10.1016/j.jclepro.2022.131441</w:t>
        </w:r>
      </w:hyperlink>
    </w:p>
    <w:p w14:paraId="6C78B69D" w14:textId="77777777" w:rsidR="00B03BAC" w:rsidRDefault="00B03BAC" w:rsidP="00B03BAC">
      <w:pPr>
        <w:spacing w:line="360" w:lineRule="auto"/>
        <w:ind w:left="1440" w:hanging="720"/>
        <w:jc w:val="both"/>
        <w:rPr>
          <w:rFonts w:ascii="Times New Roman" w:hAnsi="Times New Roman" w:cs="Times New Roman"/>
        </w:rPr>
      </w:pPr>
      <w:r w:rsidRPr="002D5F14">
        <w:rPr>
          <w:rFonts w:ascii="Times New Roman" w:hAnsi="Times New Roman" w:cs="Times New Roman"/>
        </w:rPr>
        <w:t xml:space="preserve">Liu, K., Tan, Q., Yu, J., &amp; Wang, M. (2023). A global perspective on e-waste recycling. </w:t>
      </w:r>
      <w:r w:rsidRPr="002D5F14">
        <w:rPr>
          <w:rFonts w:ascii="Times New Roman" w:hAnsi="Times New Roman" w:cs="Times New Roman"/>
          <w:i/>
          <w:iCs/>
        </w:rPr>
        <w:t>Circular Economy</w:t>
      </w:r>
      <w:r w:rsidRPr="002D5F14">
        <w:rPr>
          <w:rFonts w:ascii="Times New Roman" w:hAnsi="Times New Roman" w:cs="Times New Roman"/>
        </w:rPr>
        <w:t xml:space="preserve">, </w:t>
      </w:r>
      <w:r w:rsidRPr="002D5F14">
        <w:rPr>
          <w:rFonts w:ascii="Times New Roman" w:hAnsi="Times New Roman" w:cs="Times New Roman"/>
          <w:i/>
          <w:iCs/>
        </w:rPr>
        <w:t>2</w:t>
      </w:r>
      <w:r w:rsidRPr="002D5F14">
        <w:rPr>
          <w:rFonts w:ascii="Times New Roman" w:hAnsi="Times New Roman" w:cs="Times New Roman"/>
        </w:rPr>
        <w:t xml:space="preserve">(1), 100028. </w:t>
      </w:r>
      <w:hyperlink r:id="rId14" w:history="1">
        <w:r w:rsidRPr="002D5F14">
          <w:rPr>
            <w:rStyle w:val="Hyperlink"/>
            <w:rFonts w:ascii="Times New Roman" w:hAnsi="Times New Roman" w:cs="Times New Roman"/>
          </w:rPr>
          <w:t>https://doi.org/10.1016/j.cec.2023.100028</w:t>
        </w:r>
      </w:hyperlink>
    </w:p>
    <w:p w14:paraId="6E0297AC" w14:textId="77777777" w:rsidR="00B03BAC" w:rsidRPr="000C713E" w:rsidRDefault="00B03BAC" w:rsidP="000C713E">
      <w:pPr>
        <w:spacing w:line="360" w:lineRule="auto"/>
        <w:ind w:left="1440" w:hanging="720"/>
        <w:jc w:val="both"/>
        <w:rPr>
          <w:rFonts w:ascii="Times New Roman" w:hAnsi="Times New Roman" w:cs="Times New Roman"/>
        </w:rPr>
      </w:pPr>
      <w:r w:rsidRPr="000C713E">
        <w:rPr>
          <w:rFonts w:ascii="Times New Roman" w:hAnsi="Times New Roman" w:cs="Times New Roman"/>
        </w:rPr>
        <w:t xml:space="preserve">Shahabuddin, M., Uddin, M. N., Chowdhury, J. I., Ahmed, S. F., Uddin, M. N., Mofijur, M., &amp; Uddin, M. A. (2023). A review of the recent development, challenges, and opportunities of electronic waste (e-waste). </w:t>
      </w:r>
      <w:r w:rsidRPr="000C713E">
        <w:rPr>
          <w:rFonts w:ascii="Times New Roman" w:hAnsi="Times New Roman" w:cs="Times New Roman"/>
          <w:i/>
          <w:iCs/>
        </w:rPr>
        <w:t>International Journal of Environmental Science and Technology</w:t>
      </w:r>
      <w:r w:rsidRPr="000C713E">
        <w:rPr>
          <w:rFonts w:ascii="Times New Roman" w:hAnsi="Times New Roman" w:cs="Times New Roman"/>
        </w:rPr>
        <w:t xml:space="preserve">, </w:t>
      </w:r>
      <w:r w:rsidRPr="000C713E">
        <w:rPr>
          <w:rFonts w:ascii="Times New Roman" w:hAnsi="Times New Roman" w:cs="Times New Roman"/>
          <w:i/>
          <w:iCs/>
        </w:rPr>
        <w:t>20</w:t>
      </w:r>
      <w:r w:rsidRPr="000C713E">
        <w:rPr>
          <w:rFonts w:ascii="Times New Roman" w:hAnsi="Times New Roman" w:cs="Times New Roman"/>
        </w:rPr>
        <w:t xml:space="preserve">, 4513–4520. </w:t>
      </w:r>
      <w:hyperlink r:id="rId15" w:history="1">
        <w:r w:rsidRPr="000C713E">
          <w:rPr>
            <w:rStyle w:val="Hyperlink"/>
            <w:rFonts w:ascii="Times New Roman" w:hAnsi="Times New Roman" w:cs="Times New Roman"/>
          </w:rPr>
          <w:t>https://doi.org/10.1007/s13762-022-04274-w</w:t>
        </w:r>
      </w:hyperlink>
    </w:p>
    <w:p w14:paraId="74819E63" w14:textId="77777777" w:rsidR="00B03BAC" w:rsidRPr="00B03BAC" w:rsidRDefault="00B03BAC" w:rsidP="00B03BAC">
      <w:pPr>
        <w:spacing w:line="360" w:lineRule="auto"/>
        <w:ind w:left="1440" w:hanging="720"/>
        <w:jc w:val="both"/>
        <w:rPr>
          <w:rFonts w:ascii="Times New Roman" w:hAnsi="Times New Roman" w:cs="Times New Roman"/>
        </w:rPr>
      </w:pPr>
      <w:r w:rsidRPr="00B03BAC">
        <w:rPr>
          <w:rFonts w:ascii="Times New Roman" w:hAnsi="Times New Roman" w:cs="Times New Roman"/>
        </w:rPr>
        <w:lastRenderedPageBreak/>
        <w:t xml:space="preserve">Sivakumar, M., &amp; Thanalakshmi, M. (2023). IoT based smart e-waste management system for sustainable environment. </w:t>
      </w:r>
      <w:r w:rsidRPr="00B03BAC">
        <w:rPr>
          <w:rFonts w:ascii="Times New Roman" w:hAnsi="Times New Roman" w:cs="Times New Roman"/>
          <w:i/>
          <w:iCs/>
        </w:rPr>
        <w:t>International Journal of Engineering Trends and Technology</w:t>
      </w:r>
      <w:r w:rsidRPr="00B03BAC">
        <w:rPr>
          <w:rFonts w:ascii="Times New Roman" w:hAnsi="Times New Roman" w:cs="Times New Roman"/>
        </w:rPr>
        <w:t xml:space="preserve">, 71(12), 173-182. </w:t>
      </w:r>
      <w:hyperlink r:id="rId16" w:tgtFrame="_blank" w:history="1">
        <w:r w:rsidRPr="00B03BAC">
          <w:rPr>
            <w:rStyle w:val="Hyperlink"/>
            <w:rFonts w:ascii="Times New Roman" w:hAnsi="Times New Roman" w:cs="Times New Roman"/>
          </w:rPr>
          <w:t>https://doi.org/10.14445/22315381/IJETT-V71I12P216</w:t>
        </w:r>
      </w:hyperlink>
    </w:p>
    <w:p w14:paraId="2BA63460" w14:textId="77777777" w:rsidR="00B03BAC" w:rsidRPr="00B03BAC" w:rsidRDefault="00B03BAC" w:rsidP="00B03BAC">
      <w:pPr>
        <w:spacing w:line="360" w:lineRule="auto"/>
        <w:ind w:left="1440" w:hanging="720"/>
        <w:jc w:val="both"/>
        <w:rPr>
          <w:rFonts w:ascii="Times New Roman" w:hAnsi="Times New Roman" w:cs="Times New Roman"/>
        </w:rPr>
      </w:pPr>
      <w:r w:rsidRPr="00B03BAC">
        <w:rPr>
          <w:rFonts w:ascii="Times New Roman" w:hAnsi="Times New Roman" w:cs="Times New Roman"/>
        </w:rPr>
        <w:t xml:space="preserve">Sobbry, M. A., &amp; Al-Rahmi, W. M. (2024). Sustainable e-waste management practices: A systematic literature review and future research agenda. </w:t>
      </w:r>
      <w:r w:rsidRPr="00B03BAC">
        <w:rPr>
          <w:rFonts w:ascii="Times New Roman" w:hAnsi="Times New Roman" w:cs="Times New Roman"/>
          <w:i/>
          <w:iCs/>
        </w:rPr>
        <w:t>Sustainability</w:t>
      </w:r>
      <w:r w:rsidRPr="00B03BAC">
        <w:rPr>
          <w:rFonts w:ascii="Times New Roman" w:hAnsi="Times New Roman" w:cs="Times New Roman"/>
        </w:rPr>
        <w:t xml:space="preserve">, 16(15), 6389. </w:t>
      </w:r>
      <w:hyperlink r:id="rId17" w:tgtFrame="_blank" w:history="1">
        <w:r w:rsidRPr="00B03BAC">
          <w:rPr>
            <w:rStyle w:val="Hyperlink"/>
            <w:rFonts w:ascii="Times New Roman" w:hAnsi="Times New Roman" w:cs="Times New Roman"/>
          </w:rPr>
          <w:t>https://doi.org/10.3390/su16156389</w:t>
        </w:r>
      </w:hyperlink>
    </w:p>
    <w:p w14:paraId="22341CD2" w14:textId="77777777" w:rsidR="00B03BAC" w:rsidRPr="00B03BAC" w:rsidRDefault="00B03BAC" w:rsidP="00B03BAC">
      <w:pPr>
        <w:spacing w:line="360" w:lineRule="auto"/>
        <w:ind w:left="1440" w:hanging="720"/>
        <w:jc w:val="both"/>
        <w:rPr>
          <w:rFonts w:ascii="Times New Roman" w:hAnsi="Times New Roman" w:cs="Times New Roman"/>
        </w:rPr>
      </w:pPr>
      <w:r w:rsidRPr="00B03BAC">
        <w:rPr>
          <w:rFonts w:ascii="Times New Roman" w:hAnsi="Times New Roman" w:cs="Times New Roman"/>
        </w:rPr>
        <w:t xml:space="preserve">Vasanthi, S., &amp; Srinivasan, V. (2022). E-waste management behavior among digital device users: An empirical study. </w:t>
      </w:r>
      <w:r w:rsidRPr="00B03BAC">
        <w:rPr>
          <w:rFonts w:ascii="Times New Roman" w:hAnsi="Times New Roman" w:cs="Times New Roman"/>
          <w:i/>
          <w:iCs/>
        </w:rPr>
        <w:t>Sustainability</w:t>
      </w:r>
      <w:r w:rsidRPr="00B03BAC">
        <w:rPr>
          <w:rFonts w:ascii="Times New Roman" w:hAnsi="Times New Roman" w:cs="Times New Roman"/>
        </w:rPr>
        <w:t xml:space="preserve">, 14(2), 647. </w:t>
      </w:r>
      <w:hyperlink r:id="rId18" w:tgtFrame="_blank" w:history="1">
        <w:r w:rsidRPr="00B03BAC">
          <w:rPr>
            <w:rStyle w:val="Hyperlink"/>
            <w:rFonts w:ascii="Times New Roman" w:hAnsi="Times New Roman" w:cs="Times New Roman"/>
          </w:rPr>
          <w:t>https://doi.org/10.3390/su14020647</w:t>
        </w:r>
      </w:hyperlink>
    </w:p>
    <w:p w14:paraId="444264E1" w14:textId="77777777" w:rsidR="00B03BAC" w:rsidRPr="00B03BAC" w:rsidRDefault="00B03BAC" w:rsidP="00B03BAC">
      <w:pPr>
        <w:spacing w:line="360" w:lineRule="auto"/>
        <w:ind w:left="1440" w:hanging="720"/>
        <w:jc w:val="both"/>
        <w:rPr>
          <w:rFonts w:ascii="Times New Roman" w:hAnsi="Times New Roman" w:cs="Times New Roman"/>
        </w:rPr>
      </w:pPr>
      <w:r w:rsidRPr="00B03BAC">
        <w:rPr>
          <w:rFonts w:ascii="Times New Roman" w:hAnsi="Times New Roman" w:cs="Times New Roman"/>
        </w:rPr>
        <w:t xml:space="preserve">Wang, Z., Zhang, B., &amp; Guan, D. (2021). Life cycle assessment of e-waste recycling processes: A case study in China. </w:t>
      </w:r>
      <w:r w:rsidRPr="00B03BAC">
        <w:rPr>
          <w:rFonts w:ascii="Times New Roman" w:hAnsi="Times New Roman" w:cs="Times New Roman"/>
          <w:i/>
          <w:iCs/>
        </w:rPr>
        <w:t>Journal of Environmental Management</w:t>
      </w:r>
      <w:r w:rsidRPr="00B03BAC">
        <w:rPr>
          <w:rFonts w:ascii="Times New Roman" w:hAnsi="Times New Roman" w:cs="Times New Roman"/>
        </w:rPr>
        <w:t xml:space="preserve">, 294, 112967. </w:t>
      </w:r>
      <w:hyperlink r:id="rId19" w:tgtFrame="_blank" w:history="1">
        <w:r w:rsidRPr="00B03BAC">
          <w:rPr>
            <w:rStyle w:val="Hyperlink"/>
            <w:rFonts w:ascii="Times New Roman" w:hAnsi="Times New Roman" w:cs="Times New Roman"/>
          </w:rPr>
          <w:t>https://doi.org/10.1016/j.jenvman.2021.112967</w:t>
        </w:r>
      </w:hyperlink>
    </w:p>
    <w:p w14:paraId="4224D53E" w14:textId="77777777" w:rsidR="00B03BAC" w:rsidRDefault="00B03BAC" w:rsidP="000C713E">
      <w:pPr>
        <w:spacing w:line="360" w:lineRule="auto"/>
        <w:ind w:left="1440" w:hanging="720"/>
        <w:jc w:val="both"/>
      </w:pPr>
      <w:r w:rsidRPr="000C713E">
        <w:rPr>
          <w:rFonts w:ascii="Times New Roman" w:hAnsi="Times New Roman" w:cs="Times New Roman"/>
        </w:rPr>
        <w:t xml:space="preserve">Xavier, L. H., Ottoni, M., &amp; Abdala, L. C. (2024). Urban mining of e-waste management globally: Literature review. </w:t>
      </w:r>
      <w:r w:rsidRPr="000C713E">
        <w:rPr>
          <w:rFonts w:ascii="Times New Roman" w:hAnsi="Times New Roman" w:cs="Times New Roman"/>
          <w:i/>
          <w:iCs/>
        </w:rPr>
        <w:t>Cleaner Waste Systems</w:t>
      </w:r>
      <w:r w:rsidRPr="000C713E">
        <w:rPr>
          <w:rFonts w:ascii="Times New Roman" w:hAnsi="Times New Roman" w:cs="Times New Roman"/>
        </w:rPr>
        <w:t xml:space="preserve">, </w:t>
      </w:r>
      <w:r w:rsidRPr="000C713E">
        <w:rPr>
          <w:rFonts w:ascii="Times New Roman" w:hAnsi="Times New Roman" w:cs="Times New Roman"/>
          <w:i/>
          <w:iCs/>
        </w:rPr>
        <w:t>7</w:t>
      </w:r>
      <w:r w:rsidRPr="000C713E">
        <w:rPr>
          <w:rFonts w:ascii="Times New Roman" w:hAnsi="Times New Roman" w:cs="Times New Roman"/>
        </w:rPr>
        <w:t xml:space="preserve">, 100130. </w:t>
      </w:r>
      <w:hyperlink r:id="rId20" w:history="1">
        <w:r w:rsidRPr="000C713E">
          <w:rPr>
            <w:rStyle w:val="Hyperlink"/>
            <w:rFonts w:ascii="Times New Roman" w:hAnsi="Times New Roman" w:cs="Times New Roman"/>
          </w:rPr>
          <w:t>https://doi.org/10.1016/j.clwas.2024.100130</w:t>
        </w:r>
      </w:hyperlink>
    </w:p>
    <w:sectPr w:rsidR="00B03BAC" w:rsidSect="00D03601">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0A3A4" w14:textId="77777777" w:rsidR="00A14149" w:rsidRDefault="00A14149" w:rsidP="000C713E">
      <w:pPr>
        <w:spacing w:after="0" w:line="240" w:lineRule="auto"/>
      </w:pPr>
      <w:r>
        <w:separator/>
      </w:r>
    </w:p>
  </w:endnote>
  <w:endnote w:type="continuationSeparator" w:id="0">
    <w:p w14:paraId="518F0BEA" w14:textId="77777777" w:rsidR="00A14149" w:rsidRDefault="00A14149" w:rsidP="000C7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FB03" w14:textId="77777777" w:rsidR="00A14149" w:rsidRDefault="00A14149" w:rsidP="000C713E">
      <w:pPr>
        <w:spacing w:after="0" w:line="240" w:lineRule="auto"/>
      </w:pPr>
      <w:r>
        <w:separator/>
      </w:r>
    </w:p>
  </w:footnote>
  <w:footnote w:type="continuationSeparator" w:id="0">
    <w:p w14:paraId="062D21C5" w14:textId="77777777" w:rsidR="00A14149" w:rsidRDefault="00A14149" w:rsidP="000C71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F7B"/>
    <w:rsid w:val="000A7B37"/>
    <w:rsid w:val="000C713E"/>
    <w:rsid w:val="000D4989"/>
    <w:rsid w:val="000D64C0"/>
    <w:rsid w:val="000E4D94"/>
    <w:rsid w:val="001021ED"/>
    <w:rsid w:val="00172E0F"/>
    <w:rsid w:val="00182A8F"/>
    <w:rsid w:val="00186C3F"/>
    <w:rsid w:val="001A18A5"/>
    <w:rsid w:val="00201E9B"/>
    <w:rsid w:val="0022673A"/>
    <w:rsid w:val="002C5B80"/>
    <w:rsid w:val="002D5F14"/>
    <w:rsid w:val="00300CD8"/>
    <w:rsid w:val="003A47B8"/>
    <w:rsid w:val="003D5877"/>
    <w:rsid w:val="003E0756"/>
    <w:rsid w:val="00423E01"/>
    <w:rsid w:val="00473774"/>
    <w:rsid w:val="00476FD7"/>
    <w:rsid w:val="004B6964"/>
    <w:rsid w:val="004E4887"/>
    <w:rsid w:val="006236EB"/>
    <w:rsid w:val="00645E1C"/>
    <w:rsid w:val="00673146"/>
    <w:rsid w:val="006C1CBB"/>
    <w:rsid w:val="007054A1"/>
    <w:rsid w:val="0071192A"/>
    <w:rsid w:val="00715C06"/>
    <w:rsid w:val="00737D94"/>
    <w:rsid w:val="00753A2E"/>
    <w:rsid w:val="00790615"/>
    <w:rsid w:val="007C28B6"/>
    <w:rsid w:val="007F492D"/>
    <w:rsid w:val="00970C01"/>
    <w:rsid w:val="0099127F"/>
    <w:rsid w:val="0099548B"/>
    <w:rsid w:val="009C03FF"/>
    <w:rsid w:val="009D6EBE"/>
    <w:rsid w:val="009F4FDB"/>
    <w:rsid w:val="00A14149"/>
    <w:rsid w:val="00A81AC8"/>
    <w:rsid w:val="00A92D5A"/>
    <w:rsid w:val="00AC6461"/>
    <w:rsid w:val="00B03BAC"/>
    <w:rsid w:val="00B266EC"/>
    <w:rsid w:val="00B3442B"/>
    <w:rsid w:val="00BB63B3"/>
    <w:rsid w:val="00BC0FE9"/>
    <w:rsid w:val="00C02B50"/>
    <w:rsid w:val="00C25B33"/>
    <w:rsid w:val="00C67DAF"/>
    <w:rsid w:val="00C85CA4"/>
    <w:rsid w:val="00CE13BD"/>
    <w:rsid w:val="00D02E09"/>
    <w:rsid w:val="00D03601"/>
    <w:rsid w:val="00D17E65"/>
    <w:rsid w:val="00D4210C"/>
    <w:rsid w:val="00D46F7B"/>
    <w:rsid w:val="00D742A5"/>
    <w:rsid w:val="00DB3EFE"/>
    <w:rsid w:val="00DD6899"/>
    <w:rsid w:val="00E7236E"/>
    <w:rsid w:val="00E92C24"/>
    <w:rsid w:val="00EA127C"/>
    <w:rsid w:val="00EB2194"/>
    <w:rsid w:val="00EE00BB"/>
    <w:rsid w:val="00F12AD7"/>
    <w:rsid w:val="00F4199D"/>
    <w:rsid w:val="00FB1091"/>
    <w:rsid w:val="00FD2A14"/>
    <w:rsid w:val="00FF500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DFD2"/>
  <w15:chartTrackingRefBased/>
  <w15:docId w15:val="{F774D90B-BB1D-4B9B-8EAD-17997264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F7B"/>
    <w:rPr>
      <w:rFonts w:eastAsiaTheme="majorEastAsia" w:cstheme="majorBidi"/>
      <w:color w:val="272727" w:themeColor="text1" w:themeTint="D8"/>
    </w:rPr>
  </w:style>
  <w:style w:type="paragraph" w:styleId="Title">
    <w:name w:val="Title"/>
    <w:basedOn w:val="Normal"/>
    <w:next w:val="Normal"/>
    <w:link w:val="TitleChar"/>
    <w:uiPriority w:val="10"/>
    <w:qFormat/>
    <w:rsid w:val="00D46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F7B"/>
    <w:pPr>
      <w:spacing w:before="160"/>
      <w:jc w:val="center"/>
    </w:pPr>
    <w:rPr>
      <w:i/>
      <w:iCs/>
      <w:color w:val="404040" w:themeColor="text1" w:themeTint="BF"/>
    </w:rPr>
  </w:style>
  <w:style w:type="character" w:customStyle="1" w:styleId="QuoteChar">
    <w:name w:val="Quote Char"/>
    <w:basedOn w:val="DefaultParagraphFont"/>
    <w:link w:val="Quote"/>
    <w:uiPriority w:val="29"/>
    <w:rsid w:val="00D46F7B"/>
    <w:rPr>
      <w:i/>
      <w:iCs/>
      <w:color w:val="404040" w:themeColor="text1" w:themeTint="BF"/>
    </w:rPr>
  </w:style>
  <w:style w:type="paragraph" w:styleId="ListParagraph">
    <w:name w:val="List Paragraph"/>
    <w:basedOn w:val="Normal"/>
    <w:uiPriority w:val="34"/>
    <w:qFormat/>
    <w:rsid w:val="00D46F7B"/>
    <w:pPr>
      <w:ind w:left="720"/>
      <w:contextualSpacing/>
    </w:pPr>
  </w:style>
  <w:style w:type="character" w:styleId="IntenseEmphasis">
    <w:name w:val="Intense Emphasis"/>
    <w:basedOn w:val="DefaultParagraphFont"/>
    <w:uiPriority w:val="21"/>
    <w:qFormat/>
    <w:rsid w:val="00D46F7B"/>
    <w:rPr>
      <w:i/>
      <w:iCs/>
      <w:color w:val="2F5496" w:themeColor="accent1" w:themeShade="BF"/>
    </w:rPr>
  </w:style>
  <w:style w:type="paragraph" w:styleId="IntenseQuote">
    <w:name w:val="Intense Quote"/>
    <w:basedOn w:val="Normal"/>
    <w:next w:val="Normal"/>
    <w:link w:val="IntenseQuoteChar"/>
    <w:uiPriority w:val="30"/>
    <w:qFormat/>
    <w:rsid w:val="00D46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F7B"/>
    <w:rPr>
      <w:i/>
      <w:iCs/>
      <w:color w:val="2F5496" w:themeColor="accent1" w:themeShade="BF"/>
    </w:rPr>
  </w:style>
  <w:style w:type="character" w:styleId="IntenseReference">
    <w:name w:val="Intense Reference"/>
    <w:basedOn w:val="DefaultParagraphFont"/>
    <w:uiPriority w:val="32"/>
    <w:qFormat/>
    <w:rsid w:val="00D46F7B"/>
    <w:rPr>
      <w:b/>
      <w:bCs/>
      <w:smallCaps/>
      <w:color w:val="2F5496" w:themeColor="accent1" w:themeShade="BF"/>
      <w:spacing w:val="5"/>
    </w:rPr>
  </w:style>
  <w:style w:type="paragraph" w:styleId="NormalWeb">
    <w:name w:val="Normal (Web)"/>
    <w:basedOn w:val="Normal"/>
    <w:uiPriority w:val="99"/>
    <w:semiHidden/>
    <w:unhideWhenUsed/>
    <w:rsid w:val="001021ED"/>
    <w:rPr>
      <w:rFonts w:ascii="Times New Roman" w:hAnsi="Times New Roman" w:cs="Times New Roman"/>
    </w:rPr>
  </w:style>
  <w:style w:type="character" w:styleId="Hyperlink">
    <w:name w:val="Hyperlink"/>
    <w:basedOn w:val="DefaultParagraphFont"/>
    <w:uiPriority w:val="99"/>
    <w:unhideWhenUsed/>
    <w:rsid w:val="000C713E"/>
    <w:rPr>
      <w:color w:val="0563C1" w:themeColor="hyperlink"/>
      <w:u w:val="single"/>
    </w:rPr>
  </w:style>
  <w:style w:type="character" w:styleId="UnresolvedMention">
    <w:name w:val="Unresolved Mention"/>
    <w:basedOn w:val="DefaultParagraphFont"/>
    <w:uiPriority w:val="99"/>
    <w:semiHidden/>
    <w:unhideWhenUsed/>
    <w:rsid w:val="000C713E"/>
    <w:rPr>
      <w:color w:val="605E5C"/>
      <w:shd w:val="clear" w:color="auto" w:fill="E1DFDD"/>
    </w:rPr>
  </w:style>
  <w:style w:type="paragraph" w:styleId="FootnoteText">
    <w:name w:val="footnote text"/>
    <w:basedOn w:val="Normal"/>
    <w:link w:val="FootnoteTextChar"/>
    <w:uiPriority w:val="99"/>
    <w:semiHidden/>
    <w:unhideWhenUsed/>
    <w:rsid w:val="000C71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713E"/>
    <w:rPr>
      <w:sz w:val="20"/>
      <w:szCs w:val="20"/>
    </w:rPr>
  </w:style>
  <w:style w:type="character" w:styleId="FootnoteReference">
    <w:name w:val="footnote reference"/>
    <w:basedOn w:val="DefaultParagraphFont"/>
    <w:uiPriority w:val="99"/>
    <w:semiHidden/>
    <w:unhideWhenUsed/>
    <w:rsid w:val="000C713E"/>
    <w:rPr>
      <w:vertAlign w:val="superscript"/>
    </w:rPr>
  </w:style>
  <w:style w:type="character" w:styleId="FollowedHyperlink">
    <w:name w:val="FollowedHyperlink"/>
    <w:basedOn w:val="DefaultParagraphFont"/>
    <w:uiPriority w:val="99"/>
    <w:semiHidden/>
    <w:unhideWhenUsed/>
    <w:rsid w:val="009F4F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itu.int/en/publications/ITU-D/pages/publications.aspx%3Fmedia%3Delectronic%26parent%3DD-GEN-E_WASTE.01-2024" TargetMode="External"/><Relationship Id="rId13" Type="http://schemas.openxmlformats.org/officeDocument/2006/relationships/hyperlink" Target="https://www.google.com/search?q=https://doi.org/10.1016/j.jclepro.2022.131441" TargetMode="External"/><Relationship Id="rId18" Type="http://schemas.openxmlformats.org/officeDocument/2006/relationships/hyperlink" Target="https://www.google.com/search?q=https://doi.org/10.3390/su1402064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3390/ijerph18179051" TargetMode="External"/><Relationship Id="rId12" Type="http://schemas.openxmlformats.org/officeDocument/2006/relationships/hyperlink" Target="https://www.google.com/search?q=https://doi.org/10.1016/j.scp.2024.101534" TargetMode="External"/><Relationship Id="rId17" Type="http://schemas.openxmlformats.org/officeDocument/2006/relationships/hyperlink" Target="https://www.google.com/search?q=https://doi.org/10.3390/su16156389" TargetMode="External"/><Relationship Id="rId2" Type="http://schemas.openxmlformats.org/officeDocument/2006/relationships/styles" Target="styles.xml"/><Relationship Id="rId16" Type="http://schemas.openxmlformats.org/officeDocument/2006/relationships/hyperlink" Target="https://doi.org/10.14445/22315381/IJETT-V71I12P216" TargetMode="External"/><Relationship Id="rId20" Type="http://schemas.openxmlformats.org/officeDocument/2006/relationships/hyperlink" Target="https://doi.org/10.1016/j.clwas.2024.10013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6/j.clwas.2025.100239" TargetMode="External"/><Relationship Id="rId5" Type="http://schemas.openxmlformats.org/officeDocument/2006/relationships/footnotes" Target="footnotes.xml"/><Relationship Id="rId15" Type="http://schemas.openxmlformats.org/officeDocument/2006/relationships/hyperlink" Target="https://doi.org/10.1007/s13762-022-04274-w" TargetMode="External"/><Relationship Id="rId10" Type="http://schemas.openxmlformats.org/officeDocument/2006/relationships/hyperlink" Target="https://www.google.com/search?q=https://doi.org/10.1016/j.jclepro.2021.125164" TargetMode="External"/><Relationship Id="rId19" Type="http://schemas.openxmlformats.org/officeDocument/2006/relationships/hyperlink" Target="https://www.google.com/search?q=https://doi.org/10.1016/j.jenvman.2021.112967" TargetMode="External"/><Relationship Id="rId4" Type="http://schemas.openxmlformats.org/officeDocument/2006/relationships/webSettings" Target="webSettings.xml"/><Relationship Id="rId9" Type="http://schemas.openxmlformats.org/officeDocument/2006/relationships/hyperlink" Target="https://www.itu.int/en/ITU-D/Environment/Pages/Publications/The-Global-E-waste-Monitor-2024.aspx" TargetMode="External"/><Relationship Id="rId14" Type="http://schemas.openxmlformats.org/officeDocument/2006/relationships/hyperlink" Target="https://doi.org/10.1016/j.cec.2023.100028" TargetMode="External"/><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D757A-47A8-4833-A617-C10CD4D34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 akhsya</dc:creator>
  <cp:keywords/>
  <dc:description/>
  <cp:lastModifiedBy>User</cp:lastModifiedBy>
  <cp:revision>2</cp:revision>
  <dcterms:created xsi:type="dcterms:W3CDTF">2026-06-25T04:43:00Z</dcterms:created>
  <dcterms:modified xsi:type="dcterms:W3CDTF">2026-06-25T04:43:00Z</dcterms:modified>
</cp:coreProperties>
</file>