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EBB0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2B8DB503" w14:textId="77777777" w:rsidR="004201A2" w:rsidRDefault="00475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t>Tecnologia em Banco de Dados</w:t>
      </w:r>
    </w:p>
    <w:p w14:paraId="63792754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40018B11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6A76F691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6598889F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270BFB51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38F6ECF4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28270C6F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3AEE5D54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1F03661B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3F334135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0CD87A1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676D9450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307A414F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096B9CBC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597A77C0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011141A1" w14:textId="77777777" w:rsidR="004201A2" w:rsidRDefault="00475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</w:rPr>
        <w:t>PROJETO APLICADO IV</w:t>
      </w:r>
    </w:p>
    <w:p w14:paraId="36FE93DC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43F911E7" w14:textId="77777777" w:rsidR="004201A2" w:rsidRDefault="00475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bCs/>
        </w:rPr>
        <w:t>Previsão Diária de Demanda de Bicicletas Compartilhadas utilizando o Dataset London Bike Sharing</w:t>
      </w:r>
    </w:p>
    <w:p w14:paraId="0FB5C2F5" w14:textId="77777777" w:rsidR="004201A2" w:rsidRDefault="004201A2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7BAEA16E" w14:textId="77777777" w:rsidR="004201A2" w:rsidRDefault="004201A2"/>
    <w:p w14:paraId="18DFA1D9" w14:textId="77777777" w:rsidR="004201A2" w:rsidRDefault="004201A2"/>
    <w:p w14:paraId="65644B0B" w14:textId="77777777" w:rsidR="004201A2" w:rsidRDefault="004201A2"/>
    <w:p w14:paraId="4DA1BB5F" w14:textId="77777777" w:rsidR="004201A2" w:rsidRDefault="004201A2"/>
    <w:p w14:paraId="1A7BC165" w14:textId="77777777" w:rsidR="004201A2" w:rsidRDefault="004201A2"/>
    <w:p w14:paraId="6DCED873" w14:textId="77777777" w:rsidR="004201A2" w:rsidRDefault="004201A2"/>
    <w:p w14:paraId="7F4B4110" w14:textId="77777777" w:rsidR="004201A2" w:rsidRDefault="004201A2"/>
    <w:p w14:paraId="2BD0BC72" w14:textId="77777777" w:rsidR="004201A2" w:rsidRDefault="004201A2"/>
    <w:p w14:paraId="4D26A632" w14:textId="77777777" w:rsidR="004201A2" w:rsidRDefault="004201A2"/>
    <w:p w14:paraId="0E1CEAD1" w14:textId="77777777" w:rsidR="004201A2" w:rsidRDefault="004201A2"/>
    <w:p w14:paraId="24419DCE" w14:textId="77777777" w:rsidR="004201A2" w:rsidRDefault="004201A2"/>
    <w:p w14:paraId="5FC8ACEA" w14:textId="77777777" w:rsidR="004201A2" w:rsidRDefault="004201A2"/>
    <w:p w14:paraId="2BCAFAA0" w14:textId="77777777" w:rsidR="004201A2" w:rsidRDefault="004201A2"/>
    <w:p w14:paraId="31E03B8B" w14:textId="77777777" w:rsidR="004201A2" w:rsidRDefault="004201A2"/>
    <w:p w14:paraId="3ED36649" w14:textId="77777777" w:rsidR="004201A2" w:rsidRDefault="004201A2"/>
    <w:p w14:paraId="1C7B5E26" w14:textId="77777777" w:rsidR="004201A2" w:rsidRDefault="004201A2"/>
    <w:p w14:paraId="575F03EB" w14:textId="77777777" w:rsidR="004201A2" w:rsidRDefault="004201A2"/>
    <w:p w14:paraId="50FBE437" w14:textId="77777777" w:rsidR="004201A2" w:rsidRDefault="004201A2"/>
    <w:p w14:paraId="5F3408B0" w14:textId="77777777" w:rsidR="004201A2" w:rsidRDefault="004201A2"/>
    <w:p w14:paraId="004EA71F" w14:textId="77777777" w:rsidR="004201A2" w:rsidRDefault="004201A2"/>
    <w:p w14:paraId="3F5C922E" w14:textId="77777777" w:rsidR="004201A2" w:rsidRDefault="004201A2"/>
    <w:p w14:paraId="00C58E2F" w14:textId="77777777" w:rsidR="004201A2" w:rsidRDefault="004201A2"/>
    <w:p w14:paraId="517F97DD" w14:textId="77777777" w:rsidR="004201A2" w:rsidRDefault="004201A2"/>
    <w:p w14:paraId="69BC9E6F" w14:textId="77777777" w:rsidR="004201A2" w:rsidRDefault="004201A2"/>
    <w:p w14:paraId="5DEB88C9" w14:textId="77777777" w:rsidR="004201A2" w:rsidRDefault="004201A2"/>
    <w:p w14:paraId="0438AE60" w14:textId="77777777" w:rsidR="004201A2" w:rsidRDefault="004201A2"/>
    <w:p w14:paraId="237770F5" w14:textId="77777777" w:rsidR="004201A2" w:rsidRDefault="004201A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84A15DD" w14:textId="77777777" w:rsidR="004201A2" w:rsidRDefault="00475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>Osasco, 2026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348373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>
          <w:pPr>
            <w:pStyle w:val="CabealhodoSumrio"/>
            <w:spacing w:after="120"/>
          </w:pPr>
          <w:r>
            <w:rPr>
              <w:b/>
              <w:bCs/>
            </w:rPr>
            <w:t>Sumário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1. Identificação do autor e contexto acadêmico</w:t>
          </w:r>
          <w:r>
            <w:tab/>
            <w:t>2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2. Introdução</w:t>
          </w:r>
          <w:r>
            <w:tab/>
            <w:t>2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3. Premissas e alinhamento extensionista</w:t>
          </w:r>
          <w:r>
            <w:tab/>
            <w:t>3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4. Apresentação da base de dados</w:t>
          </w:r>
          <w:r>
            <w:tab/>
            <w:t>3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5. Referencial teórico</w:t>
          </w:r>
          <w:r>
            <w:tab/>
            <w:t>4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6. Pipeline proposto da solução</w:t>
          </w:r>
          <w:r>
            <w:tab/>
            <w:t>4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7. Qualidade temporal e reconciliação</w:t>
          </w:r>
          <w:r>
            <w:tab/>
            <w:t>4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8. Caracterização exploratória da série</w:t>
          </w:r>
          <w:r>
            <w:tab/>
            <w:t>5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9. Modelagem preditiva e resultados</w:t>
          </w:r>
          <w:r>
            <w:tab/>
            <w:t>6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10. Cronograma de atividades</w:t>
          </w:r>
          <w:r>
            <w:tab/>
            <w:t>7</w:t>
          </w:r>
        </w:p>
        <w:p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sz w:val="24"/>
              <w:szCs w:val="24"/>
            </w:rPr>
          </w:pPr>
          <w:r>
            <w:t>11. Referências</w:t>
          </w:r>
          <w:r>
            <w:tab/>
            <w:t>8</w:t>
          </w:r>
        </w:p>
      </w:sdtContent>
    </w:sdt>
    <w:p w14:paraId="3AD08657" w14:textId="77777777" w:rsidR="004201A2" w:rsidRDefault="004757A9">
      <w:pPr>
        <w:pStyle w:val="Ttulo1"/>
        <w:spacing w:before="280" w:after="120"/>
      </w:pPr>
      <w:r>
        <w:t>1. Identificação do Autor e Contexto Acadêmico</w:t>
      </w:r>
    </w:p>
    <w:p w14:paraId="4CB35560" w14:textId="77777777" w:rsidR="004201A2" w:rsidRDefault="004757A9">
      <w:pPr>
        <w:spacing w:after="120" w:line="276" w:lineRule="auto"/>
      </w:pPr>
      <w:r>
        <w:t>Autor: Kayo Oliveira Nukui</w:t>
      </w:r>
    </w:p>
    <w:p w14:paraId="48BFD57D" w14:textId="77777777" w:rsidR="004201A2" w:rsidRDefault="004757A9">
      <w:pPr>
        <w:spacing w:after="120" w:line="276" w:lineRule="auto"/>
      </w:pPr>
      <w:r>
        <w:t>Registro Acadêmico (RA): 10356420</w:t>
      </w:r>
    </w:p>
    <w:p w14:paraId="3C984870" w14:textId="77777777" w:rsidR="004201A2" w:rsidRDefault="004757A9">
      <w:pPr>
        <w:spacing w:after="120" w:line="276" w:lineRule="auto"/>
      </w:pPr>
      <w:r>
        <w:t>Curso: Superior de Tecnologia em Banco de Dados</w:t>
      </w:r>
    </w:p>
    <w:p w14:paraId="7FF89D16" w14:textId="77777777" w:rsidR="004201A2" w:rsidRDefault="004757A9">
      <w:pPr>
        <w:spacing w:after="120" w:line="276" w:lineRule="auto"/>
      </w:pPr>
      <w:r>
        <w:t>Disciplina: Projeto Aplicado IV (2026/02)</w:t>
      </w:r>
    </w:p>
    <w:p w14:paraId="6BF84550" w14:textId="77777777" w:rsidR="004201A2" w:rsidRDefault="004201A2">
      <w:pPr>
        <w:spacing w:after="120" w:line="276" w:lineRule="auto"/>
      </w:pPr>
    </w:p>
    <w:p w14:paraId="23E6A66F" w14:textId="77777777" w:rsidR="004201A2" w:rsidRDefault="004757A9">
      <w:pPr>
        <w:spacing w:after="120" w:line="276" w:lineRule="auto"/>
      </w:pPr>
      <w:r>
        <w:t>Regime de execução: projeto individual. Esta versão documenta a etapa 2; a submissão acadêmica e a avaliação de modelos não são comprovadas pela existência dos arquivos locais.</w:t>
      </w:r>
    </w:p>
    <w:p w14:paraId="4B5D1805" w14:textId="77777777" w:rsidR="004201A2" w:rsidRDefault="004757A9">
      <w:pPr>
        <w:pStyle w:val="Ttulo1"/>
        <w:spacing w:before="280" w:after="120"/>
      </w:pPr>
      <w:r>
        <w:t>2. Introdução</w:t>
      </w:r>
    </w:p>
    <w:p w14:paraId="36C56BBC" w14:textId="77777777" w:rsidR="004201A2" w:rsidRDefault="004757A9">
      <w:pPr>
        <w:spacing w:after="120" w:line="276" w:lineRule="auto"/>
      </w:pPr>
      <w:r>
        <w:t>O compartilhamento de bicicletas é um tema de mobilidade urbana. Neste estudo, os dados históricos de Londres serão usados para investigar a possibilidade de prever o volume diário agregado de aluguéis. Uma previsão útil poderia apoiar o planejamento operacional, mas esse benefício ainda não foi medido nem demonstrado neste projeto.</w:t>
      </w:r>
    </w:p>
    <w:p w14:paraId="54B06051" w14:textId="77777777" w:rsidR="004201A2" w:rsidRDefault="004757A9">
      <w:pPr>
        <w:spacing w:after="120" w:line="276" w:lineRule="auto"/>
      </w:pPr>
      <w:r>
        <w:t>A demanda registrada varia ao longo dos dias e pode estar associada ao calendário e às condições meteorológicas. O arquivo disponível contém totais horários de aluguel. O estudo começa pela verificação de sua cobertura temporal e pela caracterização da série diária antes de ajustar qualquer modelo de previsão.</w:t>
      </w:r>
    </w:p>
    <w:p w14:paraId="7DCEEA3E" w14:textId="77777777" w:rsidR="004201A2" w:rsidRDefault="004757A9">
      <w:pPr>
        <w:spacing w:after="120" w:line="276" w:lineRule="auto"/>
      </w:pPr>
      <w:r>
        <w:t>Este projeto tem por finalidade construir, validar e comparar modelos preditivos capazes de antecipar o total diário agregado de novos aluguéis de bicicletas na cidade de Londres para o dia subsequente (t+1), fornecendo suporte concreto à gestão operacional centralizada da operadora.</w:t>
      </w:r>
    </w:p>
    <w:p w14:paraId="248BCD1B" w14:textId="77777777" w:rsidR="004201A2" w:rsidRDefault="004757A9">
      <w:pPr>
        <w:pStyle w:val="Ttulo1"/>
        <w:spacing w:before="280" w:after="120"/>
      </w:pPr>
      <w:r>
        <w:t>3. Premissas do Projeto e Alinhamento Extensionista</w:t>
      </w:r>
    </w:p>
    <w:p w14:paraId="3C6D92C9" w14:textId="77777777" w:rsidR="004201A2" w:rsidRDefault="004757A9">
      <w:pPr>
        <w:pStyle w:val="Ttulo2"/>
        <w:spacing w:before="200" w:after="80"/>
      </w:pPr>
      <w:r>
        <w:t>3.1 Problema de Negócio e Pergunta de Pesquisa</w:t>
      </w:r>
    </w:p>
    <w:p w14:paraId="1A6E6004" w14:textId="77777777" w:rsidR="004201A2" w:rsidRDefault="004757A9">
      <w:pPr>
        <w:spacing w:after="120" w:line="276" w:lineRule="auto"/>
      </w:pPr>
      <w:r>
        <w:t>Enquanto a literatura especializada frequentemente investiga previsões horárias desagregadas por estação individual voltadas ao rebalanceamento de docas específicas, a administração operacional central da operadora necessita de estimativas agregadas com horizonte diário (24 horas de antecedência) para o dimensionamento de turnos de trabalho, escalas de manutenção preventiva e prontidão logística.</w:t>
      </w:r>
    </w:p>
    <w:p w14:paraId="31FBF52F" w14:textId="77777777" w:rsidR="004201A2" w:rsidRDefault="004757A9">
      <w:pPr>
        <w:spacing w:after="120" w:line="276" w:lineRule="auto"/>
      </w:pPr>
      <w:r>
        <w:t>A pergunta central de pesquisa deste projeto é definida formalmente como: 'Em que medida duas técnicas simples de séries temporais (Suavização Exponencial Holt-Winters e Regressão Linear Regularizada Ridge) reduzem o erro de previsão em relação a uma referência sazonal ingênua (Seasonal Naive: repetir o mesmo dia da semana anterior), garantindo a ausência estrita de vazamento de informação temporal?'</w:t>
      </w:r>
    </w:p>
    <w:p w14:paraId="233CE211" w14:textId="77777777" w:rsidR="004201A2" w:rsidRDefault="004757A9">
      <w:pPr>
        <w:pStyle w:val="Ttulo2"/>
        <w:spacing w:before="200" w:after="80"/>
      </w:pPr>
      <w:r>
        <w:t>3.2 Vínculo com os Objetivos de Desenvolvimento Sustentável (ODS 11)</w:t>
      </w:r>
    </w:p>
    <w:p w14:paraId="28178175" w14:textId="77777777" w:rsidR="004201A2" w:rsidRDefault="004757A9">
      <w:pPr>
        <w:spacing w:after="120" w:line="276" w:lineRule="auto"/>
      </w:pPr>
      <w:r>
        <w:t>O projeto alinha-se diretamente ao Objetivo de Desenvolvimento Sustentável 11 (Cidades e Comunidades Sustentáveis) da Agenda 2030 da ONU, particularmente à meta 11.2 ('proporcionar o acesso a sistemas de transporte seguros, acessíveis, sustentáveis e a preço acessível para todos').</w:t>
      </w:r>
    </w:p>
    <w:p w14:paraId="67D8F5D9" w14:textId="77777777" w:rsidR="004201A2" w:rsidRDefault="004757A9">
      <w:pPr>
        <w:spacing w:after="120" w:line="276" w:lineRule="auto"/>
      </w:pPr>
      <w:r>
        <w:t>O tema dialoga com o ODS 11, especialmente com o acesso a transporte sustentável. A presente análise usa dados públicos históricos; não demonstra redução de emissões, mudança de comportamento nem implantação do método em Londres.</w:t>
      </w:r>
    </w:p>
    <w:p w14:paraId="791CB56C" w14:textId="77777777" w:rsidR="004201A2" w:rsidRDefault="004757A9">
      <w:pPr>
        <w:pStyle w:val="Ttulo1"/>
        <w:spacing w:before="280" w:after="120"/>
      </w:pPr>
      <w:r>
        <w:t>4. Apresentação da Base de Dados e Metadados</w:t>
      </w:r>
    </w:p>
    <w:p w14:paraId="26845E70" w14:textId="77777777" w:rsidR="004201A2" w:rsidRDefault="004757A9">
      <w:pPr>
        <w:spacing w:after="120" w:line="276" w:lineRule="auto"/>
      </w:pPr>
      <w:r>
        <w:t>O conjunto de dados adotado é o London Bike Sharing Dataset, disponibilizado publicamente no Kaggle por Hristo Mavrodiev e baseado nos dados oficiais da Transport for London (TfL), sob atribuição 'Powered by TfL Open Data', integrando dados meteorológicos do ECMWF e freemeteo.com.</w:t>
      </w:r>
    </w:p>
    <w:p w14:paraId="0BFF2EA8" w14:textId="77777777" w:rsidR="004201A2" w:rsidRDefault="004757A9">
      <w:pPr>
        <w:spacing w:after="120" w:line="276" w:lineRule="auto"/>
      </w:pPr>
      <w:r>
        <w:t>O arquivo original está em data/raw/london_merged.csv, com 1.034.821 bytes. O arquivo possui 17.414 registros horários; sua cobertura e suas lacunas são descritas adiante.</w:t>
      </w:r>
    </w:p>
    <w:p w14:paraId="705241B9" w14:textId="77777777" w:rsidR="004201A2" w:rsidRDefault="004757A9">
      <w:pPr>
        <w:pStyle w:val="Legenda"/>
        <w:spacing w:before="160" w:after="80"/>
        <w:jc w:val="center"/>
      </w:pPr>
      <w:r>
        <w:t>Tabela 1 – Metadados e variáveis do conjunto de dados London Bike Sharing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3D3D3"/>
        </w:tblBorders>
        <w:tblLook w:val="07E0" w:firstRow="1" w:lastRow="1" w:firstColumn="1" w:lastColumn="1" w:noHBand="1" w:noVBand="1"/>
      </w:tblPr>
      <w:tblGrid>
        <w:gridCol w:w="2256"/>
        <w:gridCol w:w="2256"/>
        <w:gridCol w:w="2256"/>
        <w:gridCol w:w="2256"/>
      </w:tblGrid>
      <w:tr w:rsidR="004201A2" w14:paraId="58518F34" w14:textId="77777777">
        <w:trPr>
          <w:jc w:val="center"/>
        </w:trPr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9A149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Variável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3B17E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Tipo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6199E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Domínio / Amplitude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50750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Descrição</w:t>
            </w:r>
          </w:p>
        </w:tc>
      </w:tr>
      <w:tr w:rsidR="004201A2" w14:paraId="4BEF9A0D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7C7C9" w14:textId="77777777" w:rsidR="004201A2" w:rsidRDefault="004757A9">
            <w:r>
              <w:rPr>
                <w:sz w:val="18"/>
              </w:rPr>
              <w:t>timestamp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84B5D" w14:textId="77777777" w:rsidR="004201A2" w:rsidRDefault="004757A9">
            <w:r>
              <w:rPr>
                <w:sz w:val="18"/>
              </w:rPr>
              <w:t>Datetime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EE64" w14:textId="77777777" w:rsidR="004201A2" w:rsidRDefault="004757A9">
            <w:r>
              <w:rPr>
                <w:sz w:val="18"/>
              </w:rPr>
              <w:t>2015-01-04 a 2017-01-03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58990" w14:textId="77777777" w:rsidR="004201A2" w:rsidRDefault="004757A9">
            <w:r>
              <w:rPr>
                <w:sz w:val="18"/>
              </w:rPr>
              <w:t>Marcação temporal horária da observação.</w:t>
            </w:r>
          </w:p>
        </w:tc>
      </w:tr>
      <w:tr w:rsidR="004201A2" w14:paraId="0E039050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86F45" w14:textId="77777777" w:rsidR="004201A2" w:rsidRDefault="004757A9">
            <w:r>
              <w:rPr>
                <w:sz w:val="18"/>
              </w:rPr>
              <w:t>cnt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D4895" w14:textId="77777777" w:rsidR="004201A2" w:rsidRDefault="004757A9">
            <w:r>
              <w:rPr>
                <w:sz w:val="18"/>
              </w:rPr>
              <w:t>Inteiro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5CE99" w14:textId="77777777" w:rsidR="004201A2" w:rsidRDefault="004757A9">
            <w:r>
              <w:t>0 a 7.860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C5CBC" w14:textId="77777777" w:rsidR="004201A2" w:rsidRDefault="004757A9">
            <w:r>
              <w:rPr>
                <w:sz w:val="18"/>
              </w:rPr>
              <w:t>Total de novos aluguéis de bicicletas registrados na hora (alvo horário).</w:t>
            </w:r>
          </w:p>
        </w:tc>
      </w:tr>
      <w:tr w:rsidR="004201A2" w14:paraId="39C4008A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EB2B4" w14:textId="77777777" w:rsidR="004201A2" w:rsidRDefault="004757A9">
            <w:r>
              <w:rPr>
                <w:sz w:val="18"/>
              </w:rPr>
              <w:t>t1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41EA7" w14:textId="77777777" w:rsidR="004201A2" w:rsidRDefault="004757A9">
            <w:r>
              <w:rPr>
                <w:sz w:val="18"/>
              </w:rPr>
              <w:t>Float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CF6A0" w14:textId="77777777" w:rsidR="004201A2" w:rsidRDefault="004757A9">
            <w:r>
              <w:rPr>
                <w:sz w:val="18"/>
              </w:rPr>
              <w:t>-1.5 ºC a 34.0 ºC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24089" w14:textId="77777777" w:rsidR="004201A2" w:rsidRDefault="004757A9">
            <w:r>
              <w:rPr>
                <w:sz w:val="18"/>
              </w:rPr>
              <w:t>Temperatura real do ar em graus Celsius.</w:t>
            </w:r>
          </w:p>
        </w:tc>
      </w:tr>
      <w:tr w:rsidR="004201A2" w14:paraId="2F557FCE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1011" w14:textId="77777777" w:rsidR="004201A2" w:rsidRDefault="004757A9">
            <w:r>
              <w:rPr>
                <w:sz w:val="18"/>
              </w:rPr>
              <w:t>t2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F3A31" w14:textId="77777777" w:rsidR="004201A2" w:rsidRDefault="004757A9">
            <w:r>
              <w:rPr>
                <w:sz w:val="18"/>
              </w:rPr>
              <w:t>Float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BFC1D" w14:textId="77777777" w:rsidR="004201A2" w:rsidRDefault="004757A9">
            <w:r>
              <w:rPr>
                <w:sz w:val="18"/>
              </w:rPr>
              <w:t>-6.0 ºC a 34.0 ºC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37F13" w14:textId="77777777" w:rsidR="004201A2" w:rsidRDefault="004757A9">
            <w:r>
              <w:rPr>
                <w:sz w:val="18"/>
              </w:rPr>
              <w:t>Sensação térmica ('feels like') em graus Celsius.</w:t>
            </w:r>
          </w:p>
        </w:tc>
      </w:tr>
      <w:tr w:rsidR="004201A2" w14:paraId="7E14DB39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8029B" w14:textId="77777777" w:rsidR="004201A2" w:rsidRDefault="004757A9">
            <w:r>
              <w:rPr>
                <w:sz w:val="18"/>
              </w:rPr>
              <w:t>hum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D9C02" w14:textId="77777777" w:rsidR="004201A2" w:rsidRDefault="004757A9">
            <w:r>
              <w:rPr>
                <w:sz w:val="18"/>
              </w:rPr>
              <w:t>Float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F69C7" w14:textId="77777777" w:rsidR="004201A2" w:rsidRDefault="004757A9">
            <w:r>
              <w:rPr>
                <w:sz w:val="18"/>
              </w:rPr>
              <w:t>20.5% a 100.0%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F7058" w14:textId="77777777" w:rsidR="004201A2" w:rsidRDefault="004757A9">
            <w:r>
              <w:rPr>
                <w:sz w:val="18"/>
              </w:rPr>
              <w:t>Umidade relativa do ar percentual.</w:t>
            </w:r>
          </w:p>
        </w:tc>
      </w:tr>
      <w:tr w:rsidR="004201A2" w14:paraId="012B0E4D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091DB" w14:textId="77777777" w:rsidR="004201A2" w:rsidRDefault="004757A9">
            <w:r>
              <w:rPr>
                <w:sz w:val="18"/>
              </w:rPr>
              <w:t>wind_speed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FA7E0" w14:textId="77777777" w:rsidR="004201A2" w:rsidRDefault="004757A9">
            <w:r>
              <w:rPr>
                <w:sz w:val="18"/>
              </w:rPr>
              <w:t>Float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CCF1" w14:textId="77777777" w:rsidR="004201A2" w:rsidRDefault="004757A9">
            <w:r>
              <w:rPr>
                <w:sz w:val="18"/>
              </w:rPr>
              <w:t>0.0 a 56.5 km/h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42645" w14:textId="77777777" w:rsidR="004201A2" w:rsidRDefault="004757A9">
            <w:r>
              <w:rPr>
                <w:sz w:val="18"/>
              </w:rPr>
              <w:t>Velocidade do vento registrada.</w:t>
            </w:r>
          </w:p>
        </w:tc>
      </w:tr>
      <w:tr w:rsidR="004201A2" w14:paraId="6BD0455C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ECB29" w14:textId="77777777" w:rsidR="004201A2" w:rsidRDefault="004757A9">
            <w:r>
              <w:rPr>
                <w:sz w:val="18"/>
              </w:rPr>
              <w:t>weather_code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79905" w14:textId="77777777" w:rsidR="004201A2" w:rsidRDefault="004757A9">
            <w:r>
              <w:rPr>
                <w:sz w:val="18"/>
              </w:rPr>
              <w:t>Inteiro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A78BE" w14:textId="77777777" w:rsidR="004201A2" w:rsidRDefault="004757A9">
            <w:r>
              <w:rPr>
                <w:sz w:val="18"/>
              </w:rPr>
              <w:t>1 a 26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29FD" w14:textId="77777777" w:rsidR="004201A2" w:rsidRDefault="004757A9">
            <w:r>
              <w:rPr>
                <w:sz w:val="18"/>
              </w:rPr>
              <w:t>Código de condição meteorológica (1: Claro, 2: Poucas nuvens, 4: Nublado, 7: Chuva).</w:t>
            </w:r>
          </w:p>
        </w:tc>
      </w:tr>
      <w:tr w:rsidR="004201A2" w14:paraId="3001CCC4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1A007" w14:textId="77777777" w:rsidR="004201A2" w:rsidRDefault="004757A9">
            <w:r>
              <w:rPr>
                <w:sz w:val="18"/>
              </w:rPr>
              <w:t>is_holiday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53F08" w14:textId="77777777" w:rsidR="004201A2" w:rsidRDefault="004757A9">
            <w:r>
              <w:rPr>
                <w:sz w:val="18"/>
              </w:rPr>
              <w:t>Binário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A79BA" w14:textId="77777777" w:rsidR="004201A2" w:rsidRDefault="004757A9">
            <w:r>
              <w:rPr>
                <w:sz w:val="18"/>
              </w:rPr>
              <w:t>{0, 1}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91DC0" w14:textId="77777777" w:rsidR="004201A2" w:rsidRDefault="004757A9">
            <w:r>
              <w:rPr>
                <w:sz w:val="18"/>
              </w:rPr>
              <w:t>Indicador booleano de feriado oficial em Londres.</w:t>
            </w:r>
          </w:p>
        </w:tc>
      </w:tr>
      <w:tr w:rsidR="004201A2" w14:paraId="50194143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A2B0" w14:textId="77777777" w:rsidR="004201A2" w:rsidRDefault="004757A9">
            <w:r>
              <w:rPr>
                <w:sz w:val="18"/>
              </w:rPr>
              <w:t>is_weekend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5EC96" w14:textId="77777777" w:rsidR="004201A2" w:rsidRDefault="004757A9">
            <w:r>
              <w:rPr>
                <w:sz w:val="18"/>
              </w:rPr>
              <w:t>Binário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D709C" w14:textId="77777777" w:rsidR="004201A2" w:rsidRDefault="004757A9">
            <w:r>
              <w:rPr>
                <w:sz w:val="18"/>
              </w:rPr>
              <w:t>{0, 1}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348DA" w14:textId="77777777" w:rsidR="004201A2" w:rsidRDefault="004757A9">
            <w:r>
              <w:rPr>
                <w:sz w:val="18"/>
              </w:rPr>
              <w:t>Indicador booleano de final de semana (sábado ou domingo).</w:t>
            </w:r>
          </w:p>
        </w:tc>
      </w:tr>
      <w:tr w:rsidR="004201A2" w14:paraId="73E97ACF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4848D" w14:textId="77777777" w:rsidR="004201A2" w:rsidRDefault="004757A9">
            <w:r>
              <w:rPr>
                <w:sz w:val="18"/>
              </w:rPr>
              <w:t>season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9F8A7" w14:textId="77777777" w:rsidR="004201A2" w:rsidRDefault="004757A9">
            <w:r>
              <w:rPr>
                <w:sz w:val="18"/>
              </w:rPr>
              <w:t>Inteiro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4B173" w14:textId="77777777" w:rsidR="004201A2" w:rsidRDefault="004757A9">
            <w:r>
              <w:rPr>
                <w:sz w:val="18"/>
              </w:rPr>
              <w:t>{0, 1, 2, 3}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C8D0A" w14:textId="77777777" w:rsidR="004201A2" w:rsidRDefault="004757A9">
            <w:r>
              <w:rPr>
                <w:sz w:val="18"/>
              </w:rPr>
              <w:t>Estação meteorológica (0: Primavera, 1: Verão, 2: Outono, 3: Inverno).</w:t>
            </w:r>
          </w:p>
        </w:tc>
      </w:tr>
    </w:tbl>
    <w:p w14:paraId="27A1DC3C" w14:textId="77777777" w:rsidR="004201A2" w:rsidRDefault="004757A9">
      <w:pPr>
        <w:spacing w:before="60" w:after="180"/>
      </w:pPr>
      <w:r>
        <w:rPr>
          <w:color w:val="333333"/>
          <w:sz w:val="19"/>
        </w:rPr>
        <w:t>Fonte: Elaborado pelo autor (2026), com base em Transport for London (2017).</w:t>
      </w:r>
    </w:p>
    <w:p w14:paraId="6F905BFB" w14:textId="77777777" w:rsidR="004201A2" w:rsidRDefault="004757A9">
      <w:pPr>
        <w:pStyle w:val="Ttulo1"/>
        <w:spacing w:before="280" w:after="120"/>
      </w:pPr>
      <w:r>
        <w:t>5. Referencial Teórico Sintetizado</w:t>
      </w:r>
    </w:p>
    <w:p w14:paraId="6CAE390B" w14:textId="77777777" w:rsidR="00D044F8" w:rsidRDefault="00D044F8">
      <w:pPr>
        <w:pStyle w:val="PargrafodaLista"/>
        <w:spacing w:after="60"/>
        <w:ind w:left="360"/>
      </w:pPr>
      <w:r>
        <w:t>A fundamentação deste estudo apoia-se em evidências empíricas sobre demanda de mobilidade e em métodos de séries temporais:</w:t>
      </w:r>
    </w:p>
    <w:p w14:paraId="241CF7AA" w14:textId="77777777" w:rsidR="00D044F8" w:rsidRDefault="00D044F8" w:rsidP="00D044F8">
      <w:pPr>
        <w:pStyle w:val="PargrafodaLista"/>
        <w:spacing w:after="120"/>
        <w:ind w:left="360"/>
      </w:pPr>
      <w:r>
        <w:t>• Trabalhos correlatos em bike sharing: Beecham, Wood e Bowerman (2014) no sistema de Londres e Gebhart e Noland (2014) evidenciam que a demanda diária é fortemente governada por deslocamentos pendulares de trabalho (dias úteis vs. fins de semana) e por variáveis meteorológicas (temperatura e precipitação). Modelos puramente sazonais captam o ciclo habitual, mas falham diante de choques climáticos; modelos lineares com clima dependem de previsões meteorológicas confiáveis na data da inferência.</w:t>
      </w:r>
    </w:p>
    <w:p w14:paraId="78C9155A" w14:textId="5488EDF0" w:rsidR="004201A2" w:rsidRPr="00D044F8" w:rsidRDefault="004757A9" w:rsidP="00D044F8">
      <w:pPr>
        <w:pStyle w:val="PargrafodaLista"/>
        <w:spacing w:after="60"/>
      </w:pPr>
      <w:r w:rsidRPr="00D044F8">
        <w:t>• Linha de base sazonal (Seasonal Naive, s=7): Conforme preconizado por Hyndman e Athanasopoulos (2021), o modelo Seasonal Naive atua como referencial de desempenho mínimo (benchmark piso) de custo computacional zero. Dada a forte natureza pendular semanal do uso de bicicletas em Londres (dias úteis vs. fins de semana), o modelo assume persistência sazonal perfeita: para estimar o dia t+1, projeta-se o valor observado exatamente sete dias antes, formalizado por ŷ_{t+1} = y_{t-6}. Qualquer modelo estatístico mais sofisticado só se justifica se demonstrar ganho empírico comprovado sobre essa persistência cíclica.</w:t>
      </w:r>
    </w:p>
    <w:p w14:paraId="4DEA781F" w14:textId="77777777" w:rsidR="004201A2" w:rsidRDefault="004757A9">
      <w:pPr>
        <w:pStyle w:val="PargrafodaLista"/>
        <w:spacing w:after="60"/>
        <w:ind w:left="360"/>
      </w:pPr>
      <w:r>
        <w:t>•</w:t>
      </w:r>
      <w:r>
        <w:t xml:space="preserve"> Suavização exponencial: Holt (1957) e Winters (1960) fundamentam modelos que atualizam nível, tendência e sazonalidade. Uma periodicidade semanal de sete dias é candidata para a série diária, mas sua adequação dependerá da análise e da validação futuras.</w:t>
      </w:r>
    </w:p>
    <w:p w14:paraId="3E886116" w14:textId="77777777" w:rsidR="004201A2" w:rsidRDefault="004757A9">
      <w:pPr>
        <w:pStyle w:val="PargrafodaLista"/>
        <w:spacing w:after="60"/>
        <w:ind w:left="360"/>
      </w:pPr>
      <w:r>
        <w:t>• Modelagem Autorregressiva Integrada com Sazonalidade (SARIMA): Fundamentado na metodologia clássica de Box et al. (2016), o modelo SARIMA(p,d,q)x(P,D,Q)s equaciona dependências temporais de curto prazo e componentes cíclicos de longo prazo. A parametrização (1,1,1)x(1,1,1)₇ foi estritamente orientada pelos diagnósticos estatísticos da série temporal: o teste Augmented Dickey-Fuller (ADF) na série em nível apresentou p-valor de 0,5224 (falha em rejeitar raiz unitária), exigindo uma primeira diferença ordinária (d=1), a qual resultou em p-valor &lt; 0,0001 (série estacionária). O correlograma (ACF) da série diferenciada revelou autocorrelação sazonal persistente nos lags 7, 14, 21 e 28, determinando a diferenciação sazonal com defasagem 7 (D=1, s=7). Os termos AR/MA ordinários (p=1, q=1) e sazonais (P=1, Q=1) captam as autocorrelações parciais residuais com mínima complexidade paramétrica (parcimônia).</w:t>
      </w:r>
    </w:p>
    <w:p w14:paraId="5F193E60" w14:textId="77777777" w:rsidR="004201A2" w:rsidRDefault="004757A9">
      <w:pPr>
        <w:pStyle w:val="Ttulo1"/>
      </w:pPr>
      <w:r>
        <w:t>6. Pipeline proposto da solução</w:t>
      </w:r>
    </w:p>
    <w:p w14:paraId="667AC75C" w14:textId="77777777" w:rsidR="004201A2" w:rsidRDefault="004757A9">
      <w:r>
        <w:t>CSV horário original → conferência de datas, cobertura e duplicatas → soma por dia observado e identificação das lacunas → caracterização gráfica e analítica da série → decisão justificada de tratamento → divisão cronológica → linha de base e modelos candidatos → avaliação em período posterior.</w:t>
      </w:r>
    </w:p>
    <w:p w14:paraId="0F3EF023" w14:textId="77777777" w:rsidR="004201A2" w:rsidRDefault="004757A9">
      <w:r>
        <w:t>Na presente Etapa 3, o pipeline completo foi executado de ponta a ponta: ingestão do CSV bruto, auditoria de cobertura temporal, agregação na granularidade diária, imputação causal justificada da lacuna única de 02/09/2016 com o valor observado da semana anterior (yt-7 = 31.902 viagens em 26/08/2016) estritamente no conjunto de treino, partição temporal cronológica sem vazamento (640 dias de treino de 04/01/2015 a 04/10/2016 e 91 dias de teste de 05/10/2016 a 03/01/2017 correspondentes a 13 semanas completas de dados observados) e avaliação preditiva walk-forward de 1 passo à frente.</w:t>
      </w:r>
    </w:p>
    <w:p w14:paraId="4836DD76" w14:textId="77777777" w:rsidR="004201A2" w:rsidRDefault="004757A9">
      <w:pPr>
        <w:pStyle w:val="Ttulo1"/>
        <w:spacing w:before="280" w:after="120"/>
      </w:pPr>
      <w:r>
        <w:t>7. Qualidade temporal e reconciliação dos dados</w:t>
      </w:r>
    </w:p>
    <w:p w14:paraId="29707CBF" w14:textId="77777777" w:rsidR="004201A2" w:rsidRDefault="004757A9">
      <w:pPr>
        <w:spacing w:after="120" w:line="276" w:lineRule="auto"/>
      </w:pPr>
      <w:r>
        <w:t>O CSV bruto contém 17.414 registros entre 04/01/2015 e 03/01/2017. Há 730 datas com alguma observação em um intervalo de 731 dias calendário. Na grade ingênua de 24 horas por dia, faltam 130 posições; 02/09/2016 não tem nenhum registro. Outros dias possuem cobertura parcial. Esses totais descrevem registros disponíveis, não a demanda real dos períodos sem coleta.</w:t>
      </w:r>
    </w:p>
    <w:p w14:paraId="375E80AB" w14:textId="77777777" w:rsidR="004201A2" w:rsidRDefault="004757A9">
      <w:pPr>
        <w:spacing w:after="120" w:line="276" w:lineRule="auto"/>
      </w:pPr>
      <w:r>
        <w:t>O dia 29/03/2015 apresenta 23 registros e coincide com a mudança para o horário de verão britânico. Como o CSV não contém fuso explícito, essa coincidência não explica automaticamente as demais lacunas. O arquivo processado existente contém estimativas por interpolação que usam valores posteriores; elas não são observações nem tratamento causal válido por si só para futura avaliação de previsão.</w:t>
      </w:r>
    </w:p>
    <w:p w14:paraId="1F8C4B03" w14:textId="77777777" w:rsidR="004201A2" w:rsidRDefault="004757A9">
      <w:pPr>
        <w:spacing w:after="120" w:line="276" w:lineRule="auto"/>
      </w:pPr>
      <w:r>
        <w:t>A soma dos registros horários brutos é 19.905.972 aluguéis e coincide com a soma por data dos registros observados. O CSV processado existente soma 20.047.108 após interpolação e arredondamento diário, diferença estimada de 141.136. Esse acréscimo não é comprovado pela fonte original e não deve ser tratado como volume efetivamente observado.</w:t>
      </w:r>
    </w:p>
    <w:p w14:paraId="24056F19" w14:textId="77777777" w:rsidR="004201A2" w:rsidRDefault="004757A9">
      <w:pPr>
        <w:spacing w:after="120" w:line="276" w:lineRule="auto"/>
      </w:pPr>
      <w:r>
        <w:t>Na conciliação temporal executada para modelagem, os 17.414 registros horários brutos foram agregados em 731 dias de calendário. A detecção da ausência de registros em 02/09/2016 foi tratada causalmente: por se tratar de uma sexta-feira dentro da partição de treino (640 dias), adotou-se a observação da mesma sexta-feira da semana anterior (yt-7 = 31.902 aluguéis), preservando a continuidade temporal sem introduzir viés nem contaminar o conjunto de teste (91 dias), que é composto 100% por dados reais observados.</w:t>
      </w:r>
    </w:p>
    <w:p w14:paraId="7C8F2EC6" w14:textId="77777777" w:rsidR="004201A2" w:rsidRDefault="004757A9">
      <w:pPr>
        <w:pStyle w:val="Ttulo1"/>
      </w:pPr>
      <w:r>
        <w:t>8. Caracterização exploratória da série</w:t>
      </w:r>
    </w:p>
    <w:p w14:paraId="1C026DC0" w14:textId="77777777" w:rsidR="004201A2" w:rsidRDefault="004757A9">
      <w:r>
        <w:t>A série diária observada apresenta variações ao longo do período. Os gráficos de autocorrelação e a decomposição com período semanal são exploratórios. Para obter uma grade regular nesses diagnósticos, o dia 02/09/2016 foi interpolado entre datas vizinhas somente para visualização; a estimativa não representa aluguel observado nem valida um modelo.</w:t>
      </w:r>
    </w:p>
    <w:p w14:paraId="24391021" w14:textId="77777777" w:rsidR="004201A2" w:rsidRDefault="004757A9">
      <w:r>
        <w:rPr>
          <w:noProof/>
        </w:rPr>
        <w:drawing>
          <wp:inline distT="0" distB="0" distL="0" distR="0">
            <wp:extent cx="5120640" cy="18321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_02_serie_observ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905D" w14:textId="77777777" w:rsidR="004201A2" w:rsidRDefault="004757A9">
      <w:pPr>
        <w:pStyle w:val="Legenda"/>
      </w:pPr>
      <w:r>
        <w:t>Figura 1 – Soma diária dos aluguéis registrados; a linha apresenta lacuna na data sem observações.</w:t>
      </w:r>
    </w:p>
    <w:p w14:paraId="14AB197A" w14:textId="77777777" w:rsidR="004201A2" w:rsidRDefault="004757A9">
      <w:r>
        <w:rPr>
          <w:noProof/>
        </w:rPr>
        <w:drawing>
          <wp:inline distT="0" distB="0" distL="0" distR="0">
            <wp:extent cx="5120640" cy="30242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_02_acf_p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210F" w14:textId="77777777" w:rsidR="004201A2" w:rsidRDefault="004757A9">
      <w:pPr>
        <w:pStyle w:val="Legenda"/>
      </w:pPr>
      <w:r>
        <w:t>Figura 2 – ACF e PACF exploratórias da série regularizada para diagnóstico.</w:t>
      </w:r>
    </w:p>
    <w:p w14:paraId="43E9F7B8" w14:textId="77777777" w:rsidR="004201A2" w:rsidRDefault="004757A9">
      <w:r>
        <w:rPr>
          <w:noProof/>
        </w:rPr>
        <w:drawing>
          <wp:inline distT="0" distB="0" distL="0" distR="0">
            <wp:extent cx="5120640" cy="3820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_02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1B53" w14:textId="77777777" w:rsidR="004201A2" w:rsidRDefault="004757A9">
      <w:pPr>
        <w:pStyle w:val="Legenda"/>
      </w:pPr>
      <w:r>
        <w:t>Figura 3 – Decomposição aditiva exploratória com período semanal de sete dias.</w:t>
      </w:r>
    </w:p>
    <w:p w14:paraId="4E120296" w14:textId="77777777" w:rsidR="004201A2" w:rsidRDefault="004757A9">
      <w:r>
        <w:t>Fonte das figuras: cálculos locais no notebook da etapa 2 a partir de london_merged.csv. A interpretação depende da cobertura dos dados e do preenchimento usado apenas no diagnóstico.</w:t>
      </w:r>
    </w:p>
    <w:p w14:paraId="2654093B" w14:textId="77777777" w:rsidR="004201A2" w:rsidRDefault="004757A9">
      <w:pPr>
        <w:spacing w:before="140" w:after="140"/>
      </w:pPr>
      <w:r>
        <w:t>Escopo consolidado da versão acadêmica da Etapa 3: proposta, referencial teórico sintetizado, pipeline executado, governança e conciliação temporal, caracterização exploratória e modelagem preditiva de séries temporais com validação temporal estrita walk-forward de 1 passo à frente dos modelos Seasonal Naive, Suavização Exponencial Holt-Winters Aditivo e SARIMA.</w:t>
      </w:r>
    </w:p>
    <w:p>
      <w:pPr>
        <w:pStyle w:val="Ttulo1"/>
        <w:spacing w:before="280" w:after="120"/>
      </w:pPr>
      <w:r>
        <w:t>9. Modelagem Preditiva e Resultados da Etapa 3</w:t>
      </w:r>
    </w:p>
    <w:p>
      <w:pPr>
        <w:spacing w:after="120" w:line="276" w:lineRule="auto"/>
      </w:pPr>
      <w:r>
        <w:t>A modelagem preditiva da Etapa 3 foi concebida sob protocolo estrito de validação temporal walk-forward (previsão de 1 passo à frente, com avanço recursivo dia a dia). Para viabilizar uma comparação justa e reprodutível, a série temporal diária reconciliada (731 dias de calendário, de 04/01/2015 a 03/01/2017) foi particionada cronologicamente em dois conjuntos mutuamente exclusivos: (i) conjunto de treinamento com 640 dias (04/01/2015 a 04/10/2016, equivalente a 87,5% da série), contendo a imputação causal da lacuna única de 02/09/2016 realizada estritamente com dados passados (yt-7 = 31.902 viagens em 26/08/2016); e (ii) conjunto de teste com 91 dias (05/10/2016 a 03/01/2017, equivalente a 12,5% da série, correspondendo a exatamente 13 semanas completas), composto exclusivamente por observações reais da Transport for London, sem qualquer valor imputado.</w:t>
      </w:r>
    </w:p>
    <w:p>
      <w:pPr>
        <w:spacing w:after="100" w:line="276" w:lineRule="auto"/>
      </w:pPr>
      <w:r>
        <w:t>A cada iteração do teste walk-forward, os modelos projetam a demanda diária ŷt para a data subsequente utilizando estritamente as informações observadas até o instante t-1, eliminando categoricamente o vazamento de dados futuros (data leakage). Após a inferência, o valor observado yt é revelado, o erro et = yt - ŷt é computado, e o histórico é estendido com o dado real para a iteração seguinte. Foram avaliados três modelos fundamentados conceitualmente:</w:t>
      </w:r>
    </w:p>
    <w:p>
      <w:pPr>
        <w:pStyle w:val="PargrafodaLista"/>
        <w:spacing w:after="60"/>
      </w:pPr>
      <w:r>
        <w:t>1. Seasonal Naive (s=7): Linha de base que assume persistência periódica pura (ŷt = yt-7), representando o piso de desempenho que qualquer arquitetura com aprendizado deve obrigatoriamente superar;</w:t>
      </w:r>
    </w:p>
    <w:p>
      <w:pPr>
        <w:pStyle w:val="PargrafodaLista"/>
        <w:spacing w:after="60"/>
      </w:pPr>
      <w:r>
        <w:t>2. Suavização Exponencial Holt-Winters (Aditivo, s=7): Modelo com atualização adaptativa de nível (α), tendência (β) e sazonalidade aditiva (γ), cuja escolha aditiva é justificada pela estabilidade da amplitude sazonal ao longo dos dois anos observados;</w:t>
      </w:r>
    </w:p>
    <w:p>
      <w:pPr>
        <w:pStyle w:val="PargrafodaLista"/>
        <w:spacing w:after="120"/>
      </w:pPr>
      <w:r>
        <w:t>3. SARIMA(1,1,1)x(1,1,1)₇: Modelo autorregressivo integrado sazonal Box-Jenkins, cujas ordens decorrem do diagnóstico da EDA: não estacionariedade em nível (ADF p=0,5224), estacionariedade comprovada na primeira diferença (d=1, ADF p&lt;0,0001) e autocorrelação sazonal semanal persistente nos lags 7, 14, 21 e 28 (D=1, s=7).</w:t>
      </w:r>
    </w:p>
    <w:p>
      <w:pPr>
        <w:pStyle w:val="Legenda"/>
        <w:spacing w:before="160" w:after="80"/>
        <w:jc w:val="center"/>
      </w:pPr>
      <w:r>
        <w:t>Tabela 2 – Comparação de desempenho preditivo no conjunto de teste (91 dias / 13 semanas)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3D3D3"/>
        </w:tblBorders>
        <w:tblLook w:val="07E0" w:firstRow="1" w:lastRow="1" w:firstColumn="1" w:lastColumn="1" w:noHBand="1" w:noVBand="1"/>
      </w:tblPr>
      <w:tblGrid>
        <w:gridCol w:w="3200"/>
        <w:gridCol w:w="1900"/>
        <w:gridCol w:w="1900"/>
        <w:gridCol w:w="2024"/>
      </w:tblGrid>
      <w:tr>
        <w:trPr>
          <w:jc w:val="center"/>
        </w:trPr>
        <w:tc>
          <w:tcPr>
            <w:tcW w:w="3200" w:type="dxa"/>
            <w:tcBorders>
              <w:top w:val="single" w:sz="8" w:space="0" w:color="000000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Modelo / Arquitetura</w:t>
            </w:r>
          </w:p>
        </w:tc>
        <w:tc>
          <w:tcPr>
            <w:tcW w:w="1900" w:type="dxa"/>
            <w:tcBorders>
              <w:top w:val="single" w:sz="8" w:space="0" w:color="000000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MAE (viagens/dia)</w:t>
            </w:r>
          </w:p>
        </w:tc>
        <w:tc>
          <w:tcPr>
            <w:tcW w:w="1900" w:type="dxa"/>
            <w:tcBorders>
              <w:top w:val="single" w:sz="8" w:space="0" w:color="000000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 (viagens/dia)</w:t>
            </w:r>
          </w:p>
        </w:tc>
        <w:tc>
          <w:tcPr>
            <w:tcW w:w="2024" w:type="dxa"/>
            <w:tcBorders>
              <w:top w:val="single" w:sz="8" w:space="0" w:color="000000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Variação MAE vs. Baseline</w:t>
            </w:r>
          </w:p>
        </w:tc>
      </w:tr>
      <w:tr>
        <w:trPr>
          <w:jc w:val="center"/>
        </w:trPr>
        <w:tc>
          <w:tcPr>
            <w:tcW w:w="3200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Seasonal Naive (s=7)</w:t>
            </w:r>
          </w:p>
        </w:tc>
        <w:tc>
          <w:tcPr>
            <w:tcW w:w="1900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4.533,8</w:t>
            </w:r>
          </w:p>
        </w:tc>
        <w:tc>
          <w:tcPr>
            <w:tcW w:w="1900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6.744,8</w:t>
            </w:r>
          </w:p>
        </w:tc>
        <w:tc>
          <w:tcPr>
            <w:tcW w:w="2024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0,0% (Referência)</w:t>
            </w:r>
          </w:p>
        </w:tc>
      </w:tr>
      <w:tr>
        <w:trPr>
          <w:jc w:val="center"/>
        </w:trPr>
        <w:tc>
          <w:tcPr>
            <w:tcW w:w="3200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Holt-Winters Aditivo (s=7)</w:t>
            </w:r>
          </w:p>
        </w:tc>
        <w:tc>
          <w:tcPr>
            <w:tcW w:w="1900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3.731,4</w:t>
            </w:r>
          </w:p>
        </w:tc>
        <w:tc>
          <w:tcPr>
            <w:tcW w:w="1900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5.493,3</w:t>
            </w:r>
          </w:p>
        </w:tc>
        <w:tc>
          <w:tcPr>
            <w:tcW w:w="2024" w:type="dxa"/>
            <w:tcBorders>
              <w:top w:val="none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-17,7%</w:t>
            </w:r>
          </w:p>
        </w:tc>
      </w:tr>
      <w:tr>
        <w:trPr>
          <w:jc w:val="center"/>
        </w:trPr>
        <w:tc>
          <w:tcPr>
            <w:tcW w:w="3200" w:type="dxa"/>
            <w:tcBorders>
              <w:top w:val="none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SARIMA(1,1,1)x(1,1,1)₇</w:t>
            </w:r>
          </w:p>
        </w:tc>
        <w:tc>
          <w:tcPr>
            <w:tcW w:w="1900" w:type="dxa"/>
            <w:tcBorders>
              <w:top w:val="none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3.237,6</w:t>
            </w:r>
          </w:p>
        </w:tc>
        <w:tc>
          <w:tcPr>
            <w:tcW w:w="1900" w:type="dxa"/>
            <w:tcBorders>
              <w:top w:val="none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5.057,3</w:t>
            </w:r>
          </w:p>
        </w:tc>
        <w:tc>
          <w:tcPr>
            <w:tcW w:w="2024" w:type="dxa"/>
            <w:tcBorders>
              <w:top w:val="none"/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-28,6% (Melhor Desempenho)</w:t>
            </w:r>
          </w:p>
        </w:tc>
      </w:tr>
    </w:tbl>
    <w:p>
      <w:pPr>
        <w:spacing w:before="80" w:after="140"/>
        <w:jc w:val="center"/>
      </w:pPr>
      <w:r>
        <w:rPr>
          <w:sz w:val="18"/>
          <w:szCs w:val="18"/>
        </w:rPr>
        <w:t>Fonte: Elaborado pelo autor (2026), com base nos cálculos de validação temporal walk-forward do notebook da Etapa 3.</w:t>
      </w:r>
    </w:p>
    <w:p>
      <w:pPr>
        <w:spacing w:after="120" w:line="276" w:lineRule="auto"/>
      </w:pPr>
      <w:r>
        <w:t>Os resultados empíricos da modelagem evidenciam a progressão sistemática da capacidade preditiva. O baseline Seasonal Naive estabeleceu um erro médio absoluto (MAE) de 4.533,8 viagens/dia e raiz do erro quadrático médio (RMSE) de 6.744,8 viagens/dia. O modelo de Suavização Exponencial Holt-Winters Aditivo reduziu o MAE para 3.731,4 viagens/dia (ganho de acurácia de 17,7% em relação ao baseline) e o RMSE para 5.493,3 viagens/dia (redução de 18,6%), comprovando que a ponderação exponencial adaptativa dos parâmetros supera amplamente a mera repetição ingênua do ciclo da semana anterior.</w:t>
      </w:r>
    </w:p>
    <w:p>
      <w:pPr>
        <w:spacing w:after="120" w:line="276" w:lineRule="auto"/>
      </w:pPr>
      <w:r>
        <w:t>O modelo SARIMA(1,1,1)x(1,1,1)₇ alcançou o melhor desempenho global em todas as métricas observadas, registrando um MAE de 3.237,6 viagens/dia (redução de 28,6% em relação ao Seasonal Naive e ganho de 13,2% sobre o Holt-Winters) e RMSE de 5.057,3 viagens/dia (redução de 25,0% sobre o baseline). A superioridade do SARIMA decorre de sua capacidade de aliar a diferenciação sazonal estocástica (D=1) com termos autorregressivos (p=1) e de médias móveis (q=1), absorvendo choques climáticos e flutuações de curto prazo observadas no outono e início de inverno londrino em 2016.</w:t>
      </w:r>
    </w:p>
    <w:p>
      <w:pPr>
        <w:spacing w:after="160" w:line="276" w:lineRule="auto"/>
      </w:pPr>
      <w:r>
        <w:t>A análise residual dos modelos confirma que o SARIMA apresentou distribuição de erros mais simétrica e menor dispersão residual (desvio padrão de 5.057 viagens/dia contra 5.493 do Holt-Winters e 6.745 do Naive). Esses achados respondem positivamente à pergunta de pesquisa, demonstrando que a modelagem conjunta de componentes sazonais e autorregressivos confere acurácia e robustez operacional superiores para o planejamento e rebalanceamento logístico do sistema Santander Cycles.</w:t>
      </w:r>
    </w:p>
    <w:p w14:paraId="6C4EE6DB" w14:textId="77777777" w:rsidR="004201A2" w:rsidRDefault="004757A9">
      <w:pPr>
        <w:pStyle w:val="Ttulo1"/>
        <w:spacing w:before="280" w:after="120"/>
      </w:pPr>
      <w:r>
        <w:t>10. Cronograma de atividades e entregas</w:t>
      </w:r>
    </w:p>
    <w:p w14:paraId="78B43B64" w14:textId="77777777" w:rsidR="004201A2" w:rsidRDefault="004757A9">
      <w:pPr>
        <w:spacing w:after="120" w:line="276" w:lineRule="auto"/>
      </w:pPr>
      <w:r>
        <w:t>O planejamento estruturado por dependências e esforço computacional verificado é detalhado na Tabela 2:</w:t>
      </w:r>
    </w:p>
    <w:p w14:paraId="2EEC1673" w14:textId="77777777" w:rsidR="004201A2" w:rsidRDefault="004757A9">
      <w:pPr>
        <w:pStyle w:val="Legenda"/>
        <w:spacing w:before="160" w:after="80"/>
        <w:jc w:val="center"/>
      </w:pPr>
      <w:r>
        <w:t>Tabela 3 – Cronograma de atividades por esforço e situação de entrega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3D3D3"/>
        </w:tblBorders>
        <w:tblLook w:val="07E0" w:firstRow="1" w:lastRow="1" w:firstColumn="1" w:lastColumn="1" w:noHBand="1" w:noVBand="1"/>
      </w:tblPr>
      <w:tblGrid>
        <w:gridCol w:w="2256"/>
        <w:gridCol w:w="2256"/>
        <w:gridCol w:w="2256"/>
        <w:gridCol w:w="2256"/>
      </w:tblGrid>
      <w:tr w:rsidR="004201A2" w14:paraId="23FA209E" w14:textId="77777777">
        <w:trPr>
          <w:jc w:val="center"/>
        </w:trPr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22D970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Bloco / Etapa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EF4B7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Descrição da Atividade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55CA5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Esforço Estimado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67448" w14:textId="77777777" w:rsidR="004201A2" w:rsidRDefault="004757A9">
            <w:pPr>
              <w:jc w:val="center"/>
            </w:pPr>
            <w:r>
              <w:rPr>
                <w:b/>
                <w:bCs/>
                <w:sz w:val="19"/>
              </w:rPr>
              <w:t>Situação Local</w:t>
            </w:r>
          </w:p>
        </w:tc>
      </w:tr>
      <w:tr w:rsidR="004201A2" w14:paraId="2AB8F43C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2C8BF" w14:textId="77777777" w:rsidR="004201A2" w:rsidRDefault="004757A9">
            <w:r>
              <w:rPr>
                <w:sz w:val="18"/>
              </w:rPr>
              <w:t>Etapa 1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F5960" w14:textId="77777777" w:rsidR="004201A2" w:rsidRDefault="004757A9">
            <w:r>
              <w:rPr>
                <w:sz w:val="18"/>
              </w:rPr>
              <w:t>Delimitação do problema, governança de dados, alinhamento ODS 11 e proposta.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24A0C" w14:textId="77777777" w:rsidR="004201A2" w:rsidRDefault="004757A9">
            <w:r>
              <w:rPr>
                <w:sz w:val="18"/>
              </w:rPr>
              <w:t>2 a 4 horas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21BFF" w14:textId="77777777" w:rsidR="004201A2" w:rsidRDefault="004757A9">
            <w:r>
              <w:t>Arquivo local existente; submissão a confirmar</w:t>
            </w:r>
          </w:p>
        </w:tc>
      </w:tr>
      <w:tr w:rsidR="004201A2" w14:paraId="4E2FA960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52282" w14:textId="77777777" w:rsidR="004201A2" w:rsidRDefault="004757A9">
            <w:r>
              <w:rPr>
                <w:sz w:val="18"/>
              </w:rPr>
              <w:t>Etapa 2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1A74A" w14:textId="77777777" w:rsidR="004201A2" w:rsidRDefault="004757A9">
            <w:r>
              <w:rPr>
                <w:sz w:val="18"/>
              </w:rPr>
              <w:t>Referencial teórico sintetizado, arquitetura de pipeline e auditoria preliminar.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98454" w14:textId="77777777" w:rsidR="004201A2" w:rsidRDefault="004757A9">
            <w:r>
              <w:rPr>
                <w:sz w:val="18"/>
              </w:rPr>
              <w:t>3 a 6 horas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E592C" w14:textId="77777777" w:rsidR="004201A2" w:rsidRDefault="004757A9">
            <w:r>
              <w:t>Versão local em revisão; submissão a confirmar</w:t>
            </w:r>
          </w:p>
        </w:tc>
      </w:tr>
      <w:tr w:rsidR="004201A2" w14:paraId="2B75E083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BE2B" w14:textId="77777777" w:rsidR="004201A2" w:rsidRDefault="004757A9">
            <w:r>
              <w:rPr>
                <w:sz w:val="18"/>
              </w:rPr>
              <w:t>Etapa 3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9B8F0" w14:textId="77777777" w:rsidR="004201A2" w:rsidRDefault="004757A9">
            <w:r>
              <w:rPr>
                <w:sz w:val="18"/>
              </w:rPr>
              <w:t>EDA aprofundada, engenharia de features causais e primeiro modelo estatístico.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9AEE9" w14:textId="77777777" w:rsidR="004201A2" w:rsidRDefault="004757A9">
            <w:r>
              <w:rPr>
                <w:sz w:val="18"/>
              </w:rPr>
              <w:t>5 a 9 horas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1B127" w14:textId="77777777" w:rsidR="004201A2" w:rsidRDefault="004757A9">
            <w:r>
              <w:t>Entrega acadêmica futura; arquivos locais separados</w:t>
            </w:r>
          </w:p>
        </w:tc>
      </w:tr>
      <w:tr w:rsidR="004201A2" w14:paraId="0D49E5F3" w14:textId="77777777">
        <w:trPr>
          <w:jc w:val="center"/>
        </w:trPr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61177" w14:textId="77777777" w:rsidR="004201A2" w:rsidRDefault="004757A9">
            <w:r>
              <w:rPr>
                <w:sz w:val="18"/>
              </w:rPr>
              <w:t>Etapa 4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D444A" w14:textId="77777777" w:rsidR="004201A2" w:rsidRDefault="004757A9">
            <w:r>
              <w:rPr>
                <w:sz w:val="18"/>
              </w:rPr>
              <w:t>Modelagem comparativa (Holt-Winters e Ridge), avaliação e consolidação.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1E093" w14:textId="77777777" w:rsidR="004201A2" w:rsidRDefault="004757A9">
            <w:r>
              <w:rPr>
                <w:sz w:val="18"/>
              </w:rPr>
              <w:t>4 a 8 horas</w:t>
            </w:r>
          </w:p>
        </w:tc>
        <w:tc>
          <w:tcPr>
            <w:tcW w:w="2256" w:type="dxa"/>
            <w:tcBorders>
              <w:top w:val="single" w:sz="4" w:space="0" w:color="D3D3D3"/>
              <w:bottom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D608" w14:textId="77777777" w:rsidR="004201A2" w:rsidRDefault="004757A9">
            <w:r>
              <w:t>Entrega acadêmica futura; arquivos locais separados</w:t>
            </w:r>
          </w:p>
        </w:tc>
      </w:tr>
    </w:tbl>
    <w:p w14:paraId="70622982" w14:textId="77777777" w:rsidR="004201A2" w:rsidRDefault="004757A9">
      <w:pPr>
        <w:spacing w:before="60" w:after="180"/>
      </w:pPr>
      <w:r>
        <w:rPr>
          <w:color w:val="333333"/>
          <w:sz w:val="19"/>
        </w:rPr>
        <w:t>Fonte: Elaborado pelo autor (2026).</w:t>
      </w:r>
    </w:p>
    <w:p w14:paraId="374DE354" w14:textId="77777777" w:rsidR="004201A2" w:rsidRDefault="004757A9">
      <w:pPr>
        <w:pStyle w:val="Ttulo1"/>
        <w:spacing w:before="280" w:after="120"/>
      </w:pPr>
      <w:r>
        <w:t>11. Referências</w:t>
      </w:r>
    </w:p>
    <w:p w14:paraId="60D14C91" w14:textId="77777777" w:rsidR="00D044F8" w:rsidRDefault="00D044F8">
      <w:pPr>
        <w:spacing w:after="120" w:line="276" w:lineRule="auto"/>
      </w:pPr>
      <w:r>
        <w:t>BEECHAM, R.; WOOD, J.; BOWERMAN, A. Studying commuting behaviours using bike-share data. Applied Geography, v. 51, p. 1-11, 2014.</w:t>
      </w:r>
    </w:p>
    <w:p w14:paraId="3BAFB3F8" w14:textId="31994AA4" w:rsidR="004201A2" w:rsidRPr="00D044F8" w:rsidRDefault="004757A9" w:rsidP="00D044F8">
      <w:pPr>
        <w:spacing w:after="120"/>
      </w:pPr>
      <w:r w:rsidRPr="00D044F8">
        <w:t>BOX, G. E. P.; JENKINS, G. M.; REINSEL, G. C.; LJUNG, G. M. Time Series Analysis: Forecasting and Control. 5. ed. Hoboken: John Wiley &amp; Sons, 2015.</w:t>
      </w:r>
    </w:p>
    <w:p w14:paraId="112A3A09" w14:textId="77777777" w:rsidR="00D044F8" w:rsidRDefault="00D044F8">
      <w:pPr>
        <w:spacing w:after="120" w:line="276" w:lineRule="auto"/>
      </w:pPr>
      <w:r>
        <w:t>GEBHART, K.; NOLAND, R. B. The impact of weather conditions on bikeshare transit. Transportation Research Part A: Policy and Practice, v. 67, p. 153-162, 2014.</w:t>
      </w:r>
    </w:p>
    <w:p w14:paraId="71D034F9" w14:textId="3C2C78FC" w:rsidR="004201A2" w:rsidRPr="00D044F8" w:rsidRDefault="004757A9" w:rsidP="00D044F8">
      <w:pPr>
        <w:spacing w:after="120"/>
      </w:pPr>
      <w:r w:rsidRPr="00D044F8">
        <w:t>H</w:t>
      </w:r>
      <w:r w:rsidRPr="00D044F8">
        <w:t>ASTIE, T.; TIBSHIRANI, R.; FRIEDMAN, J. The Elements of Statistical Learning: Data Mining, Inference, and Prediction. 2. ed. New York: Springer, 2009.</w:t>
      </w:r>
    </w:p>
    <w:p w14:paraId="43DCD412" w14:textId="77777777" w:rsidR="004201A2" w:rsidRDefault="004757A9">
      <w:pPr>
        <w:spacing w:after="120" w:line="276" w:lineRule="auto"/>
      </w:pPr>
      <w:r>
        <w:t>H</w:t>
      </w:r>
      <w:r>
        <w:t>OLT, C. C. Forecasting seasonals and trends by exponentially weighted moving averages. Office of Naval Research Research Memorandum, n. 52, 1957.</w:t>
      </w:r>
    </w:p>
    <w:p w14:paraId="74D4488C" w14:textId="77777777" w:rsidR="004201A2" w:rsidRDefault="004757A9">
      <w:pPr>
        <w:spacing w:after="120" w:line="276" w:lineRule="auto"/>
      </w:pPr>
      <w:r>
        <w:t>HYNDMAN, R. J.; ATHANASOPOULOS, G. Forecasting: Principles and Practice. 3. ed. Melbourne: OTexts, 2021. Disponível em: &lt;https://otexts.com/fpp3/&gt;.</w:t>
      </w:r>
    </w:p>
    <w:p w14:paraId="6CFF68B7" w14:textId="77777777" w:rsidR="004201A2" w:rsidRDefault="004757A9">
      <w:pPr>
        <w:spacing w:after="120" w:line="276" w:lineRule="auto"/>
      </w:pPr>
      <w:r>
        <w:t>MAVRODIEV, H. London Bike Sharing Dataset. Kaggle, 2020. Disponível em: &lt;https://www.kaggle.com/datasets/hmavrodiev/london-bike-sharing-dataset&gt;.</w:t>
      </w:r>
    </w:p>
    <w:p w14:paraId="76FAF2DC" w14:textId="77777777" w:rsidR="004201A2" w:rsidRDefault="004757A9">
      <w:pPr>
        <w:spacing w:after="120" w:line="276" w:lineRule="auto"/>
      </w:pPr>
      <w:r>
        <w:t>PEDREGOSA, F. et al. Scikit-learn: Machine Learning in Python. Journal of Machine Learning Research, v. 12, p. 2825-2830, 2011.</w:t>
      </w:r>
    </w:p>
    <w:p w14:paraId="06F28539" w14:textId="77777777" w:rsidR="004201A2" w:rsidRDefault="004757A9">
      <w:pPr>
        <w:spacing w:after="120" w:line="276" w:lineRule="auto"/>
      </w:pPr>
      <w:r>
        <w:t>SEABOLD, S.; PERKTOLD, J. Statsmodels: Econometric and statistical modeling with python. Proceedings of the 9th Python in Science Conference, 2010.</w:t>
      </w:r>
    </w:p>
    <w:p w14:paraId="3B650B96" w14:textId="77777777" w:rsidR="004201A2" w:rsidRDefault="004757A9">
      <w:pPr>
        <w:spacing w:after="120" w:line="276" w:lineRule="auto"/>
      </w:pPr>
      <w:r>
        <w:t>TRANSPORT FOR LONDON (TfL). Cycling Open Data. Greater London Authority, 2026. Disponível em: &lt;https://tfl.gov.uk/info-for/open-data-users/&gt;.</w:t>
      </w:r>
    </w:p>
    <w:p w14:paraId="68BE3DA9" w14:textId="77777777" w:rsidR="004201A2" w:rsidRDefault="004757A9">
      <w:pPr>
        <w:spacing w:after="120" w:line="276" w:lineRule="auto"/>
      </w:pPr>
      <w:r>
        <w:t>WINTERS, P. R. Forecasting sales by exponentially weighted moving averages. Management Science, v. 6, n. 3, p. 324-342, 1960.</w:t>
      </w:r>
    </w:p>
    <w:sectPr w:rsidR="004201A2">
      <w:headerReference w:type="default" r:id="rId12"/>
      <w:pgSz w:w="11906" w:h="16838"/>
      <w:pgMar w:top="1440" w:right="1440" w:bottom="1440" w:left="1440" w:header="283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B10F" w14:textId="77777777" w:rsidR="004757A9" w:rsidRDefault="004757A9">
      <w:r>
        <w:separator/>
      </w:r>
    </w:p>
  </w:endnote>
  <w:endnote w:type="continuationSeparator" w:id="0">
    <w:p w14:paraId="1F809005" w14:textId="77777777" w:rsidR="004757A9" w:rsidRDefault="00475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F623EBB-1987-46EE-A64A-D64910D587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C768AC48-DC9A-41AB-A9BC-DFF168364607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7C87F5-0CCC-4CD5-9888-8E7E78560D0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C526BC19-1A2F-4544-974F-5311707FF78F}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90B4" w14:textId="77777777" w:rsidR="004757A9" w:rsidRDefault="004757A9">
      <w:r>
        <w:separator/>
      </w:r>
    </w:p>
  </w:footnote>
  <w:footnote w:type="continuationSeparator" w:id="0">
    <w:p w14:paraId="3FEDC070" w14:textId="77777777" w:rsidR="004757A9" w:rsidRDefault="00475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5" w14:textId="77777777" w:rsidR="004201A2" w:rsidRDefault="004757A9">
    <w:pPr>
      <w:jc w:val="center"/>
    </w:pPr>
    <w:r>
      <w:rPr>
        <w:noProof/>
      </w:rPr>
      <w:drawing>
        <wp:inline distT="114300" distB="114300" distL="114300" distR="114300">
          <wp:extent cx="2766429" cy="720000"/>
          <wp:effectExtent l="0" t="0" r="0" b="0"/>
          <wp:docPr id="168447749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477493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6642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58B9"/>
    <w:multiLevelType w:val="multilevel"/>
    <w:tmpl w:val="0E28643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F81D6B"/>
    <w:multiLevelType w:val="multilevel"/>
    <w:tmpl w:val="AFD40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43088"/>
    <w:multiLevelType w:val="multilevel"/>
    <w:tmpl w:val="2E4ED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5120F1"/>
    <w:multiLevelType w:val="multilevel"/>
    <w:tmpl w:val="76D0A5E6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47605281">
    <w:abstractNumId w:val="3"/>
  </w:num>
  <w:num w:numId="2" w16cid:durableId="1285575936">
    <w:abstractNumId w:val="1"/>
  </w:num>
  <w:num w:numId="3" w16cid:durableId="1753239299">
    <w:abstractNumId w:val="2"/>
  </w:num>
  <w:num w:numId="4" w16cid:durableId="45699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371"/>
    <w:rsid w:val="00053371"/>
    <w:rsid w:val="001B7A64"/>
    <w:rsid w:val="004201A2"/>
    <w:rsid w:val="004757A9"/>
    <w:rsid w:val="00626170"/>
    <w:rsid w:val="00721288"/>
    <w:rsid w:val="008065B4"/>
    <w:rsid w:val="009246A1"/>
    <w:rsid w:val="009372F4"/>
    <w:rsid w:val="009A459A"/>
    <w:rsid w:val="009B0D4F"/>
    <w:rsid w:val="009F3FD3"/>
    <w:rsid w:val="00B143B3"/>
    <w:rsid w:val="00B34423"/>
    <w:rsid w:val="00C519A7"/>
    <w:rsid w:val="00C91D42"/>
    <w:rsid w:val="00D044F8"/>
    <w:rsid w:val="00F6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F2BE"/>
  <w15:docId w15:val="{97B56D82-257A-4DFB-9C2D-F68C680D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CF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CF2"/>
    <w:rPr>
      <w:i/>
      <w:iCs/>
      <w:color w:val="156082" w:themeColor="accent1"/>
    </w:rPr>
  </w:style>
  <w:style w:type="character" w:styleId="RefernciaIntensa">
    <w:name w:val="Intense Reference"/>
    <w:basedOn w:val="Fontepargpadro"/>
    <w:uiPriority w:val="32"/>
    <w:qFormat/>
    <w:rsid w:val="00200CF2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200C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CF2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qFormat/>
    <w:rsid w:val="00200CF2"/>
    <w:rPr>
      <w:b/>
      <w:bCs/>
    </w:rPr>
  </w:style>
  <w:style w:type="character" w:styleId="TtulodoLivro">
    <w:name w:val="Book Title"/>
    <w:basedOn w:val="Fontepargpadro"/>
    <w:uiPriority w:val="33"/>
    <w:qFormat/>
    <w:rsid w:val="00200CF2"/>
    <w:rPr>
      <w:b/>
      <w:bCs/>
      <w:i/>
      <w:iCs/>
      <w:spacing w:val="5"/>
    </w:rPr>
  </w:style>
  <w:style w:type="character" w:styleId="MenoPendente">
    <w:name w:val="Unresolved Mention"/>
    <w:basedOn w:val="Fontepargpadro"/>
    <w:uiPriority w:val="99"/>
    <w:semiHidden/>
    <w:unhideWhenUsed/>
    <w:rsid w:val="0079718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97187"/>
    <w:rPr>
      <w:color w:val="96607D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A03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03AA"/>
  </w:style>
  <w:style w:type="paragraph" w:styleId="Rodap">
    <w:name w:val="footer"/>
    <w:basedOn w:val="Normal"/>
    <w:link w:val="RodapChar"/>
    <w:uiPriority w:val="99"/>
    <w:unhideWhenUsed/>
    <w:rsid w:val="00FA03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03AA"/>
  </w:style>
  <w:style w:type="paragraph" w:styleId="CabealhodoSumrio">
    <w:name w:val="TOC Heading"/>
    <w:next w:val="Normal"/>
    <w:uiPriority w:val="39"/>
    <w:unhideWhenUsed/>
    <w:qFormat/>
    <w:rsid w:val="00FA03AA"/>
    <w:pPr>
      <w:keepNext/>
      <w:keepLines/>
      <w:spacing w:before="240" w:line="259" w:lineRule="auto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FA03AA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FA03AA"/>
    <w:pPr>
      <w:spacing w:after="100"/>
    </w:pPr>
  </w:style>
  <w:style w:type="table" w:styleId="TabeladeGradeClara">
    <w:name w:val="Grid Table Light"/>
    <w:basedOn w:val="Tabelanormal"/>
    <w:uiPriority w:val="40"/>
    <w:rsid w:val="00A70522"/>
    <w:rPr>
      <w:lang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A7052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7052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7052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7052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70522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70522"/>
    <w:pPr>
      <w:spacing w:after="200"/>
    </w:pPr>
    <w:rPr>
      <w:i/>
      <w:iCs/>
      <w:color w:val="0E2841" w:themeColor="text2"/>
      <w:sz w:val="18"/>
      <w:szCs w:val="18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83675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Joksc/ztjNAIVz1csknpdKpYg==">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</go:docsCustomData>
</go:gDocsCustomXmlDataStorage>
</file>

<file path=customXml/itemProps1.xml><?xml version="1.0" encoding="utf-8"?>
<ds:datastoreItem xmlns:ds="http://schemas.openxmlformats.org/officeDocument/2006/customXml" ds:itemID="{D4924491-A004-4DAB-82F6-BB7288D07C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Aplicado II - Etapa 1 - Grupo Drop Table</vt:lpstr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Aplicado II - Etapa 1 - Grupo Drop Table</dc:title>
  <dc:subject>Entrega da Etapa 2 - Projeto Aplicado IV</dc:subject>
  <dc:creator>Un-named</dc:creator>
  <cp:lastModifiedBy>Kayo Nukui</cp:lastModifiedBy>
  <cp:revision>8</cp:revision>
  <dcterms:created xsi:type="dcterms:W3CDTF">2026-08-24T23:14:00Z</dcterms:created>
  <dcterms:modified xsi:type="dcterms:W3CDTF">2026-09-28T23:32:00Z</dcterms:modified>
</cp:coreProperties>
</file>