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AB79" w14:textId="6C26B514" w:rsidR="009E25E2" w:rsidRDefault="00D01B76" w:rsidP="00242FCD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proofErr w:type="spellStart"/>
      <w:r w:rsidRPr="00242FCD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Ijāza</w:t>
      </w:r>
      <w:r w:rsidRPr="00C62EDB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s</w:t>
      </w:r>
      <w:proofErr w:type="spellEnd"/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in the Saharan West: Shaykh </w:t>
      </w:r>
      <w:proofErr w:type="spellStart"/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>Sīd</w:t>
      </w:r>
      <w:r w:rsidR="0052116A">
        <w:rPr>
          <w:rFonts w:asciiTheme="majorBidi" w:hAnsiTheme="majorBidi" w:cstheme="majorBidi"/>
          <w:b/>
          <w:bCs/>
          <w:sz w:val="40"/>
          <w:szCs w:val="40"/>
          <w:lang w:val="en-US"/>
        </w:rPr>
        <w:t>i</w:t>
      </w:r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>yy</w:t>
      </w:r>
      <w:proofErr w:type="spellEnd"/>
      <w:r w:rsidR="0052116A">
        <w:rPr>
          <w:rFonts w:asciiTheme="majorBidi" w:hAnsiTheme="majorBidi" w:cstheme="majorBidi" w:hint="cs"/>
          <w:b/>
          <w:bCs/>
          <w:sz w:val="40"/>
          <w:szCs w:val="40"/>
          <w:rtl/>
          <w:lang w:val="en-US"/>
        </w:rPr>
        <w:t>ā</w:t>
      </w:r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and the </w:t>
      </w:r>
      <w:proofErr w:type="spellStart"/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>Q</w:t>
      </w:r>
      <w:r w:rsidR="0052116A">
        <w:rPr>
          <w:rFonts w:asciiTheme="majorBidi" w:hAnsiTheme="majorBidi" w:cstheme="majorBidi"/>
          <w:b/>
          <w:bCs/>
          <w:sz w:val="40"/>
          <w:szCs w:val="40"/>
          <w:lang w:val="en-US"/>
        </w:rPr>
        <w:t>ā</w:t>
      </w:r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>d</w:t>
      </w:r>
      <w:r w:rsidR="0052116A">
        <w:rPr>
          <w:rFonts w:asciiTheme="majorBidi" w:hAnsiTheme="majorBidi" w:cstheme="majorBidi"/>
          <w:b/>
          <w:bCs/>
          <w:sz w:val="40"/>
          <w:szCs w:val="40"/>
          <w:lang w:val="en-US"/>
        </w:rPr>
        <w:t>i</w:t>
      </w:r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>riyya</w:t>
      </w:r>
      <w:proofErr w:type="spellEnd"/>
      <w:r w:rsidRPr="00242FCD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Brotherhood</w:t>
      </w:r>
    </w:p>
    <w:p w14:paraId="61E6653E" w14:textId="77777777" w:rsidR="00242FCD" w:rsidRDefault="00242FCD" w:rsidP="00242FCD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0F94C433" w14:textId="043FA9A3" w:rsidR="00242FCD" w:rsidRPr="00027B87" w:rsidRDefault="00BF7712" w:rsidP="00242FCD">
      <w:pPr>
        <w:rPr>
          <w:sz w:val="32"/>
          <w:szCs w:val="32"/>
          <w:lang w:val="en-US"/>
        </w:rPr>
      </w:pPr>
      <w:r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An </w:t>
      </w:r>
      <w:r w:rsidR="004D35D4">
        <w:rPr>
          <w:rFonts w:asciiTheme="majorBidi" w:hAnsiTheme="majorBidi" w:cstheme="majorBidi"/>
          <w:b/>
          <w:bCs/>
          <w:sz w:val="32"/>
          <w:szCs w:val="32"/>
          <w:lang w:val="en-US"/>
        </w:rPr>
        <w:t>I</w:t>
      </w:r>
      <w:r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ntroduction to </w:t>
      </w:r>
      <w:r w:rsidR="004D35D4">
        <w:rPr>
          <w:rFonts w:asciiTheme="majorBidi" w:hAnsiTheme="majorBidi" w:cstheme="majorBidi"/>
          <w:b/>
          <w:bCs/>
          <w:sz w:val="32"/>
          <w:szCs w:val="32"/>
          <w:lang w:val="en-US"/>
        </w:rPr>
        <w:t>T</w:t>
      </w:r>
      <w:r w:rsidR="00FB69B6"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>h</w:t>
      </w:r>
      <w:r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ree </w:t>
      </w:r>
      <w:proofErr w:type="spellStart"/>
      <w:r w:rsidR="004D35D4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>I</w:t>
      </w:r>
      <w:r w:rsidRPr="3F821AFC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>j</w:t>
      </w:r>
      <w:r w:rsidR="00512FC1" w:rsidRPr="3F821AFC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>āzas</w:t>
      </w:r>
      <w:proofErr w:type="spellEnd"/>
      <w:r w:rsidR="00CC6425"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4D35D4">
        <w:rPr>
          <w:rFonts w:asciiTheme="majorBidi" w:hAnsiTheme="majorBidi" w:cstheme="majorBidi"/>
          <w:b/>
          <w:bCs/>
          <w:sz w:val="32"/>
          <w:szCs w:val="32"/>
          <w:lang w:val="en-US"/>
        </w:rPr>
        <w:t>G</w:t>
      </w:r>
      <w:r w:rsidR="00CC6425"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ranted to Shaykh </w:t>
      </w:r>
      <w:proofErr w:type="spellStart"/>
      <w:r w:rsidR="00CC6425"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>Sīdiyy</w:t>
      </w:r>
      <w:r w:rsidR="00C73207" w:rsidRPr="3F821AFC">
        <w:rPr>
          <w:rFonts w:asciiTheme="majorBidi" w:hAnsiTheme="majorBidi" w:cstheme="majorBidi"/>
          <w:b/>
          <w:bCs/>
          <w:sz w:val="32"/>
          <w:szCs w:val="32"/>
          <w:lang w:val="en-US"/>
        </w:rPr>
        <w:t>ā</w:t>
      </w:r>
      <w:proofErr w:type="spellEnd"/>
    </w:p>
    <w:p w14:paraId="25B9A175" w14:textId="77777777" w:rsidR="00D01B76" w:rsidRDefault="00D01B76" w:rsidP="00E73926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14:paraId="5EF11C1A" w14:textId="48EE39DD" w:rsidR="00C62EDB" w:rsidRPr="004C4F58" w:rsidRDefault="00C62EDB" w:rsidP="00200B58">
      <w:pPr>
        <w:rPr>
          <w:rFonts w:asciiTheme="majorBidi" w:hAnsiTheme="majorBidi" w:cstheme="majorBidi"/>
          <w:lang w:val="en-US"/>
        </w:rPr>
      </w:pPr>
      <w:r w:rsidRPr="004C4F58">
        <w:rPr>
          <w:rFonts w:asciiTheme="majorBidi" w:hAnsiTheme="majorBidi" w:cstheme="majorBidi"/>
          <w:i/>
          <w:iCs/>
          <w:lang w:val="en-US"/>
        </w:rPr>
        <w:t xml:space="preserve">Said </w:t>
      </w:r>
      <w:proofErr w:type="spellStart"/>
      <w:r w:rsidRPr="004C4F58">
        <w:rPr>
          <w:rFonts w:asciiTheme="majorBidi" w:hAnsiTheme="majorBidi" w:cstheme="majorBidi"/>
          <w:i/>
          <w:iCs/>
          <w:lang w:val="en-US"/>
        </w:rPr>
        <w:t>Bousbina</w:t>
      </w:r>
      <w:proofErr w:type="spellEnd"/>
      <w:r w:rsidR="004C4F58">
        <w:rPr>
          <w:rFonts w:asciiTheme="majorBidi" w:hAnsiTheme="majorBidi" w:cstheme="majorBidi"/>
          <w:lang w:val="en-US"/>
        </w:rPr>
        <w:br/>
      </w:r>
      <w:r w:rsidRPr="004C4F58">
        <w:rPr>
          <w:rFonts w:asciiTheme="majorBidi" w:hAnsiTheme="majorBidi" w:cstheme="majorBidi"/>
          <w:lang w:val="en-US"/>
        </w:rPr>
        <w:t>Independent Scholar, France</w:t>
      </w:r>
    </w:p>
    <w:p w14:paraId="2A1F140D" w14:textId="4BBD15F7" w:rsidR="00C62EDB" w:rsidRPr="004C4F58" w:rsidRDefault="00C62EDB" w:rsidP="00200B58">
      <w:pPr>
        <w:jc w:val="both"/>
        <w:rPr>
          <w:rFonts w:asciiTheme="majorBidi" w:hAnsiTheme="majorBidi" w:cstheme="majorBidi"/>
          <w:lang w:val="en-US"/>
        </w:rPr>
      </w:pPr>
      <w:hyperlink r:id="rId7" w:history="1">
        <w:r w:rsidRPr="004C4F58">
          <w:rPr>
            <w:rStyle w:val="Hyperlink"/>
            <w:rFonts w:asciiTheme="majorBidi" w:hAnsiTheme="majorBidi" w:cstheme="majorBidi"/>
            <w:lang w:val="en-US"/>
          </w:rPr>
          <w:t>s.bousbina@gmail.com</w:t>
        </w:r>
      </w:hyperlink>
    </w:p>
    <w:p w14:paraId="5A1876D4" w14:textId="77777777" w:rsidR="00C62EDB" w:rsidRDefault="00C62EDB" w:rsidP="00C62EDB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14:paraId="23154330" w14:textId="5969BE86" w:rsidR="00C62EDB" w:rsidRPr="004C4F58" w:rsidRDefault="00C62EDB" w:rsidP="00905115">
      <w:pPr>
        <w:jc w:val="both"/>
        <w:rPr>
          <w:rFonts w:asciiTheme="majorBidi" w:hAnsiTheme="majorBidi" w:cstheme="majorBidi"/>
          <w:i/>
          <w:iCs/>
          <w:lang w:val="en-US"/>
        </w:rPr>
      </w:pPr>
      <w:r w:rsidRPr="004C4F58">
        <w:rPr>
          <w:rFonts w:asciiTheme="majorBidi" w:hAnsiTheme="majorBidi" w:cstheme="majorBidi"/>
          <w:i/>
          <w:iCs/>
          <w:lang w:val="en-US"/>
        </w:rPr>
        <w:t>Mauro Nobili</w:t>
      </w:r>
    </w:p>
    <w:p w14:paraId="60F98103" w14:textId="26EA2330" w:rsidR="00C62EDB" w:rsidRPr="004C4F58" w:rsidRDefault="00C62EDB" w:rsidP="00905115">
      <w:pPr>
        <w:jc w:val="both"/>
        <w:rPr>
          <w:rFonts w:asciiTheme="majorBidi" w:hAnsiTheme="majorBidi" w:cstheme="majorBidi"/>
          <w:lang w:val="en-US"/>
        </w:rPr>
      </w:pPr>
      <w:r w:rsidRPr="004C4F58">
        <w:rPr>
          <w:rFonts w:asciiTheme="majorBidi" w:hAnsiTheme="majorBidi" w:cstheme="majorBidi"/>
          <w:lang w:val="en-US"/>
        </w:rPr>
        <w:t xml:space="preserve">University of </w:t>
      </w:r>
      <w:proofErr w:type="spellStart"/>
      <w:r w:rsidRPr="004C4F58">
        <w:rPr>
          <w:rFonts w:asciiTheme="majorBidi" w:hAnsiTheme="majorBidi" w:cstheme="majorBidi"/>
          <w:lang w:val="en-US"/>
        </w:rPr>
        <w:t>Illinoit</w:t>
      </w:r>
      <w:proofErr w:type="spellEnd"/>
      <w:r w:rsidRPr="004C4F58">
        <w:rPr>
          <w:rFonts w:asciiTheme="majorBidi" w:hAnsiTheme="majorBidi" w:cstheme="majorBidi"/>
          <w:lang w:val="en-US"/>
        </w:rPr>
        <w:t xml:space="preserve"> at Urbana-Champaign, IL, USA</w:t>
      </w:r>
    </w:p>
    <w:p w14:paraId="6E9D32C5" w14:textId="3CBC78B2" w:rsidR="00C62EDB" w:rsidRPr="004C4F58" w:rsidRDefault="00C62EDB" w:rsidP="00905115">
      <w:pPr>
        <w:jc w:val="both"/>
        <w:rPr>
          <w:rFonts w:asciiTheme="majorBidi" w:hAnsiTheme="majorBidi" w:cstheme="majorBidi"/>
          <w:lang w:val="en-US"/>
        </w:rPr>
      </w:pPr>
      <w:hyperlink r:id="rId8" w:history="1">
        <w:r w:rsidRPr="004C4F58">
          <w:rPr>
            <w:rStyle w:val="Hyperlink"/>
            <w:rFonts w:asciiTheme="majorBidi" w:hAnsiTheme="majorBidi" w:cstheme="majorBidi"/>
            <w:lang w:val="en-US"/>
          </w:rPr>
          <w:t>nobili@illinois.edu</w:t>
        </w:r>
      </w:hyperlink>
    </w:p>
    <w:p w14:paraId="34089206" w14:textId="77777777" w:rsidR="00C62EDB" w:rsidRPr="00D01B76" w:rsidRDefault="00C62EDB" w:rsidP="00C62EDB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p w14:paraId="2441D0E8" w14:textId="60FF93B6" w:rsidR="00D318D4" w:rsidRDefault="00AF3856" w:rsidP="00D318D4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AF3856">
        <w:rPr>
          <w:rFonts w:asciiTheme="majorBidi" w:hAnsiTheme="majorBidi" w:cstheme="majorBidi"/>
          <w:i/>
          <w:iCs/>
          <w:lang w:val="en-US"/>
        </w:rPr>
        <w:t>I</w:t>
      </w:r>
      <w:r w:rsidR="009E25E2" w:rsidRPr="00AF3856">
        <w:rPr>
          <w:rFonts w:asciiTheme="majorBidi" w:hAnsiTheme="majorBidi" w:cstheme="majorBidi"/>
          <w:i/>
          <w:iCs/>
          <w:lang w:val="en-US"/>
        </w:rPr>
        <w:t>jāza</w:t>
      </w:r>
      <w:r w:rsidR="009E25E2" w:rsidRPr="009E25E2">
        <w:rPr>
          <w:rFonts w:asciiTheme="majorBidi" w:hAnsiTheme="majorBidi" w:cstheme="majorBidi"/>
          <w:lang w:val="en-US"/>
        </w:rPr>
        <w:t xml:space="preserve"> literally means “authorization</w:t>
      </w:r>
      <w:r>
        <w:rPr>
          <w:rFonts w:asciiTheme="majorBidi" w:hAnsiTheme="majorBidi" w:cstheme="majorBidi"/>
          <w:lang w:val="en-US"/>
        </w:rPr>
        <w:t>,</w:t>
      </w:r>
      <w:r w:rsidR="009E25E2" w:rsidRPr="009E25E2">
        <w:rPr>
          <w:rFonts w:asciiTheme="majorBidi" w:hAnsiTheme="majorBidi" w:cstheme="majorBidi"/>
          <w:lang w:val="en-US"/>
        </w:rPr>
        <w:t>” “permission</w:t>
      </w:r>
      <w:r>
        <w:rPr>
          <w:rFonts w:asciiTheme="majorBidi" w:hAnsiTheme="majorBidi" w:cstheme="majorBidi"/>
          <w:lang w:val="en-US"/>
        </w:rPr>
        <w:t>,</w:t>
      </w:r>
      <w:r w:rsidR="009E25E2" w:rsidRPr="009E25E2">
        <w:rPr>
          <w:rFonts w:asciiTheme="majorBidi" w:hAnsiTheme="majorBidi" w:cstheme="majorBidi"/>
          <w:lang w:val="en-US"/>
        </w:rPr>
        <w:t xml:space="preserve">” </w:t>
      </w:r>
      <w:r w:rsidR="008107CD">
        <w:rPr>
          <w:rFonts w:asciiTheme="majorBidi" w:hAnsiTheme="majorBidi" w:cstheme="majorBidi"/>
          <w:lang w:val="en-US"/>
        </w:rPr>
        <w:t xml:space="preserve">or </w:t>
      </w:r>
      <w:r w:rsidR="009E25E2" w:rsidRPr="009E25E2">
        <w:rPr>
          <w:rFonts w:asciiTheme="majorBidi" w:hAnsiTheme="majorBidi" w:cstheme="majorBidi"/>
          <w:lang w:val="en-US"/>
        </w:rPr>
        <w:t>“license</w:t>
      </w:r>
      <w:r>
        <w:rPr>
          <w:rFonts w:asciiTheme="majorBidi" w:hAnsiTheme="majorBidi" w:cstheme="majorBidi"/>
          <w:lang w:val="en-US"/>
        </w:rPr>
        <w:t>,</w:t>
      </w:r>
      <w:r w:rsidR="009E25E2" w:rsidRPr="009E25E2">
        <w:rPr>
          <w:rFonts w:asciiTheme="majorBidi" w:hAnsiTheme="majorBidi" w:cstheme="majorBidi"/>
          <w:lang w:val="en-US"/>
        </w:rPr>
        <w:t>”</w:t>
      </w:r>
      <w:r>
        <w:rPr>
          <w:rFonts w:asciiTheme="majorBidi" w:hAnsiTheme="majorBidi" w:cstheme="majorBidi"/>
          <w:lang w:val="en-US"/>
        </w:rPr>
        <w:t xml:space="preserve"> and normally refers to a document that certifies the competence of the possessor </w:t>
      </w:r>
      <w:r w:rsidR="008107CD">
        <w:rPr>
          <w:rFonts w:asciiTheme="majorBidi" w:hAnsiTheme="majorBidi" w:cstheme="majorBidi"/>
          <w:lang w:val="en-US"/>
        </w:rPr>
        <w:t>to</w:t>
      </w:r>
      <w:r>
        <w:rPr>
          <w:rFonts w:asciiTheme="majorBidi" w:hAnsiTheme="majorBidi" w:cstheme="majorBidi"/>
          <w:lang w:val="en-US"/>
        </w:rPr>
        <w:t xml:space="preserve"> transmit a certain type of knowledge.</w:t>
      </w:r>
      <w:r w:rsidR="00640CE5">
        <w:rPr>
          <w:rStyle w:val="FootnoteReference"/>
          <w:rFonts w:asciiTheme="majorBidi" w:hAnsiTheme="majorBidi" w:cstheme="majorBidi"/>
          <w:lang w:val="en-US"/>
        </w:rPr>
        <w:footnoteReference w:id="1"/>
      </w:r>
      <w:r>
        <w:rPr>
          <w:rFonts w:asciiTheme="majorBidi" w:hAnsiTheme="majorBidi" w:cstheme="majorBidi"/>
          <w:lang w:val="en-US"/>
        </w:rPr>
        <w:t xml:space="preserve"> The origin of the </w:t>
      </w:r>
      <w:r w:rsidRPr="00AF3856">
        <w:rPr>
          <w:rFonts w:asciiTheme="majorBidi" w:hAnsiTheme="majorBidi" w:cstheme="majorBidi"/>
          <w:i/>
          <w:iCs/>
          <w:lang w:val="en-US"/>
        </w:rPr>
        <w:t>ijāza</w:t>
      </w:r>
      <w:r>
        <w:rPr>
          <w:rFonts w:asciiTheme="majorBidi" w:hAnsiTheme="majorBidi" w:cstheme="majorBidi"/>
          <w:lang w:val="en-US"/>
        </w:rPr>
        <w:t xml:space="preserve"> system is found </w:t>
      </w:r>
      <w:r w:rsidR="00F806A8">
        <w:rPr>
          <w:rFonts w:asciiTheme="majorBidi" w:hAnsiTheme="majorBidi" w:cstheme="majorBidi"/>
          <w:lang w:val="en-US"/>
        </w:rPr>
        <w:t xml:space="preserve">in </w:t>
      </w:r>
      <w:r>
        <w:rPr>
          <w:rFonts w:asciiTheme="majorBidi" w:hAnsiTheme="majorBidi" w:cstheme="majorBidi"/>
          <w:lang w:val="en-US"/>
        </w:rPr>
        <w:t xml:space="preserve">the practice of early Muslim </w:t>
      </w:r>
      <w:r w:rsidR="00640CE5">
        <w:rPr>
          <w:rFonts w:asciiTheme="majorBidi" w:hAnsiTheme="majorBidi" w:cstheme="majorBidi"/>
          <w:lang w:val="en-US"/>
        </w:rPr>
        <w:t xml:space="preserve">scholars </w:t>
      </w:r>
      <w:r>
        <w:rPr>
          <w:rFonts w:asciiTheme="majorBidi" w:hAnsiTheme="majorBidi" w:cstheme="majorBidi"/>
          <w:lang w:val="en-US"/>
        </w:rPr>
        <w:t>seeking to collect reports on the deeds or sayings of the Prophet</w:t>
      </w:r>
      <w:r w:rsidR="008107CD">
        <w:rPr>
          <w:rFonts w:asciiTheme="majorBidi" w:hAnsiTheme="majorBidi" w:cstheme="majorBidi"/>
          <w:lang w:val="en-US"/>
        </w:rPr>
        <w:t xml:space="preserve"> Muḥammad</w:t>
      </w:r>
      <w:r>
        <w:rPr>
          <w:rFonts w:asciiTheme="majorBidi" w:hAnsiTheme="majorBidi" w:cstheme="majorBidi"/>
          <w:lang w:val="en-US"/>
        </w:rPr>
        <w:t xml:space="preserve"> (</w:t>
      </w:r>
      <w:r w:rsidRPr="00AF3856">
        <w:rPr>
          <w:rFonts w:asciiTheme="majorBidi" w:hAnsiTheme="majorBidi" w:cstheme="majorBidi"/>
          <w:i/>
          <w:iCs/>
          <w:lang w:val="en-US"/>
        </w:rPr>
        <w:t>ḥadīth</w:t>
      </w:r>
      <w:r>
        <w:rPr>
          <w:rFonts w:asciiTheme="majorBidi" w:hAnsiTheme="majorBidi" w:cstheme="majorBidi"/>
          <w:lang w:val="en-US"/>
        </w:rPr>
        <w:t xml:space="preserve">) and to obtain </w:t>
      </w:r>
      <w:r w:rsidR="00640CE5">
        <w:rPr>
          <w:rFonts w:asciiTheme="majorBidi" w:hAnsiTheme="majorBidi" w:cstheme="majorBidi"/>
          <w:lang w:val="en-US"/>
        </w:rPr>
        <w:t xml:space="preserve">from eyewitnesses </w:t>
      </w:r>
      <w:r>
        <w:rPr>
          <w:rFonts w:asciiTheme="majorBidi" w:hAnsiTheme="majorBidi" w:cstheme="majorBidi"/>
          <w:lang w:val="en-US"/>
        </w:rPr>
        <w:t>the permission to transmit them to others. This kind of knowledge transmission and verification</w:t>
      </w:r>
      <w:r w:rsidR="00640CE5">
        <w:rPr>
          <w:rFonts w:asciiTheme="majorBidi" w:hAnsiTheme="majorBidi" w:cstheme="majorBidi"/>
          <w:lang w:val="en-US"/>
        </w:rPr>
        <w:t>, which</w:t>
      </w:r>
      <w:r>
        <w:rPr>
          <w:rFonts w:asciiTheme="majorBidi" w:hAnsiTheme="majorBidi" w:cstheme="majorBidi"/>
          <w:lang w:val="en-US"/>
        </w:rPr>
        <w:t xml:space="preserve"> </w:t>
      </w:r>
      <w:r w:rsidR="00640CE5">
        <w:rPr>
          <w:rFonts w:asciiTheme="majorBidi" w:hAnsiTheme="majorBidi" w:cstheme="majorBidi"/>
          <w:lang w:val="en-US"/>
        </w:rPr>
        <w:t>is</w:t>
      </w:r>
      <w:r>
        <w:rPr>
          <w:rFonts w:asciiTheme="majorBidi" w:hAnsiTheme="majorBidi" w:cstheme="majorBidi"/>
          <w:lang w:val="en-US"/>
        </w:rPr>
        <w:t xml:space="preserve"> premised on the idea that face-to-face, individualized </w:t>
      </w:r>
      <w:r w:rsidR="00F806A8">
        <w:rPr>
          <w:rFonts w:asciiTheme="majorBidi" w:hAnsiTheme="majorBidi" w:cstheme="majorBidi"/>
          <w:lang w:val="en-US"/>
        </w:rPr>
        <w:t>learning</w:t>
      </w:r>
      <w:r>
        <w:rPr>
          <w:rFonts w:asciiTheme="majorBidi" w:hAnsiTheme="majorBidi" w:cstheme="majorBidi"/>
          <w:lang w:val="en-US"/>
        </w:rPr>
        <w:t xml:space="preserve"> </w:t>
      </w:r>
      <w:r w:rsidR="00640CE5">
        <w:rPr>
          <w:rFonts w:asciiTheme="majorBidi" w:hAnsiTheme="majorBidi" w:cstheme="majorBidi"/>
          <w:lang w:val="en-US"/>
        </w:rPr>
        <w:t>i</w:t>
      </w:r>
      <w:r>
        <w:rPr>
          <w:rFonts w:asciiTheme="majorBidi" w:hAnsiTheme="majorBidi" w:cstheme="majorBidi"/>
          <w:lang w:val="en-US"/>
        </w:rPr>
        <w:t xml:space="preserve">s paramount </w:t>
      </w:r>
      <w:r w:rsidR="00960A2C">
        <w:rPr>
          <w:rFonts w:asciiTheme="majorBidi" w:hAnsiTheme="majorBidi" w:cstheme="majorBidi"/>
          <w:lang w:val="en-US"/>
        </w:rPr>
        <w:t>in</w:t>
      </w:r>
      <w:r>
        <w:rPr>
          <w:rFonts w:asciiTheme="majorBidi" w:hAnsiTheme="majorBidi" w:cstheme="majorBidi"/>
          <w:lang w:val="en-US"/>
        </w:rPr>
        <w:t xml:space="preserve"> maintain</w:t>
      </w:r>
      <w:r w:rsidR="00960A2C">
        <w:rPr>
          <w:rFonts w:asciiTheme="majorBidi" w:hAnsiTheme="majorBidi" w:cstheme="majorBidi"/>
          <w:lang w:val="en-US"/>
        </w:rPr>
        <w:t>ing</w:t>
      </w:r>
      <w:r>
        <w:rPr>
          <w:rFonts w:asciiTheme="majorBidi" w:hAnsiTheme="majorBidi" w:cstheme="majorBidi"/>
          <w:lang w:val="en-US"/>
        </w:rPr>
        <w:t xml:space="preserve"> the integrity of knowledge</w:t>
      </w:r>
      <w:r w:rsidR="00640CE5">
        <w:rPr>
          <w:rFonts w:asciiTheme="majorBidi" w:hAnsiTheme="majorBidi" w:cstheme="majorBidi"/>
          <w:lang w:val="en-US"/>
        </w:rPr>
        <w:t>, was</w:t>
      </w:r>
      <w:r>
        <w:rPr>
          <w:rFonts w:asciiTheme="majorBidi" w:hAnsiTheme="majorBidi" w:cstheme="majorBidi"/>
          <w:lang w:val="en-US"/>
        </w:rPr>
        <w:t xml:space="preserve"> </w:t>
      </w:r>
      <w:r w:rsidR="00640CE5">
        <w:rPr>
          <w:rFonts w:asciiTheme="majorBidi" w:hAnsiTheme="majorBidi" w:cstheme="majorBidi"/>
          <w:lang w:val="en-US"/>
        </w:rPr>
        <w:t>then applied to other fields.</w:t>
      </w:r>
      <w:r w:rsidR="00F5486C">
        <w:rPr>
          <w:rStyle w:val="FootnoteReference"/>
          <w:rFonts w:asciiTheme="majorBidi" w:hAnsiTheme="majorBidi" w:cstheme="majorBidi"/>
          <w:lang w:val="en-US"/>
        </w:rPr>
        <w:footnoteReference w:id="2"/>
      </w:r>
      <w:r w:rsidR="00640CE5">
        <w:rPr>
          <w:rFonts w:asciiTheme="majorBidi" w:hAnsiTheme="majorBidi" w:cstheme="majorBidi"/>
          <w:lang w:val="en-US"/>
        </w:rPr>
        <w:t xml:space="preserve"> An </w:t>
      </w:r>
      <w:r w:rsidR="00640CE5" w:rsidRPr="00640CE5">
        <w:rPr>
          <w:rFonts w:asciiTheme="majorBidi" w:hAnsiTheme="majorBidi" w:cstheme="majorBidi"/>
          <w:i/>
          <w:iCs/>
          <w:lang w:val="en-US"/>
        </w:rPr>
        <w:t>ij</w:t>
      </w:r>
      <w:r w:rsidR="00640CE5">
        <w:rPr>
          <w:rFonts w:asciiTheme="majorBidi" w:hAnsiTheme="majorBidi" w:cstheme="majorBidi"/>
          <w:i/>
          <w:iCs/>
          <w:lang w:val="en-US"/>
        </w:rPr>
        <w:t>ā</w:t>
      </w:r>
      <w:r w:rsidR="00640CE5" w:rsidRPr="00640CE5">
        <w:rPr>
          <w:rFonts w:asciiTheme="majorBidi" w:hAnsiTheme="majorBidi" w:cstheme="majorBidi"/>
          <w:i/>
          <w:iCs/>
          <w:lang w:val="en-US"/>
        </w:rPr>
        <w:t>za</w:t>
      </w:r>
      <w:r w:rsidR="00640CE5">
        <w:rPr>
          <w:rFonts w:asciiTheme="majorBidi" w:hAnsiTheme="majorBidi" w:cstheme="majorBidi"/>
          <w:lang w:val="en-US"/>
        </w:rPr>
        <w:t xml:space="preserve"> normally comprises the </w:t>
      </w:r>
      <w:proofErr w:type="spellStart"/>
      <w:r w:rsidR="00640CE5" w:rsidRPr="00640CE5">
        <w:rPr>
          <w:rFonts w:asciiTheme="majorBidi" w:hAnsiTheme="majorBidi" w:cstheme="majorBidi"/>
          <w:i/>
          <w:iCs/>
          <w:lang w:val="en-US"/>
        </w:rPr>
        <w:t>silsila</w:t>
      </w:r>
      <w:proofErr w:type="spellEnd"/>
      <w:r w:rsidR="00640CE5">
        <w:rPr>
          <w:rFonts w:asciiTheme="majorBidi" w:hAnsiTheme="majorBidi" w:cstheme="majorBidi"/>
          <w:lang w:val="en-US"/>
        </w:rPr>
        <w:t xml:space="preserve">, or the “chain” of transmitters that connect the last recipient to the foundational figure at the apex of the transmitted knowledge, be it the Prophet in the case of </w:t>
      </w:r>
      <w:r w:rsidR="00640CE5" w:rsidRPr="00640CE5">
        <w:rPr>
          <w:rFonts w:asciiTheme="majorBidi" w:hAnsiTheme="majorBidi" w:cstheme="majorBidi"/>
          <w:i/>
          <w:iCs/>
          <w:lang w:val="en-US"/>
        </w:rPr>
        <w:t>ḥadīth</w:t>
      </w:r>
      <w:r w:rsidR="00640CE5" w:rsidRPr="00AF32BC">
        <w:rPr>
          <w:rFonts w:asciiTheme="majorBidi" w:hAnsiTheme="majorBidi" w:cstheme="majorBidi"/>
          <w:i/>
          <w:iCs/>
          <w:lang w:val="en-US"/>
        </w:rPr>
        <w:t>s</w:t>
      </w:r>
      <w:r w:rsidR="00640CE5">
        <w:rPr>
          <w:rFonts w:asciiTheme="majorBidi" w:hAnsiTheme="majorBidi" w:cstheme="majorBidi"/>
          <w:lang w:val="en-US"/>
        </w:rPr>
        <w:t xml:space="preserve">, </w:t>
      </w:r>
      <w:r w:rsidR="005F6A01">
        <w:rPr>
          <w:rFonts w:asciiTheme="majorBidi" w:hAnsiTheme="majorBidi" w:cstheme="majorBidi"/>
          <w:lang w:val="en-US"/>
        </w:rPr>
        <w:t>or,</w:t>
      </w:r>
      <w:r w:rsidR="00640CE5">
        <w:rPr>
          <w:rFonts w:asciiTheme="majorBidi" w:hAnsiTheme="majorBidi" w:cstheme="majorBidi"/>
          <w:lang w:val="en-US"/>
        </w:rPr>
        <w:t xml:space="preserve"> for instance, the author of a book in case</w:t>
      </w:r>
      <w:r w:rsidR="00EC1E5C">
        <w:rPr>
          <w:rFonts w:asciiTheme="majorBidi" w:hAnsiTheme="majorBidi" w:cstheme="majorBidi"/>
          <w:lang w:val="en-US"/>
        </w:rPr>
        <w:t>s</w:t>
      </w:r>
      <w:r w:rsidR="00640CE5">
        <w:rPr>
          <w:rFonts w:asciiTheme="majorBidi" w:hAnsiTheme="majorBidi" w:cstheme="majorBidi"/>
          <w:lang w:val="en-US"/>
        </w:rPr>
        <w:t xml:space="preserve"> </w:t>
      </w:r>
      <w:r w:rsidR="00EC1E5C">
        <w:rPr>
          <w:rFonts w:asciiTheme="majorBidi" w:hAnsiTheme="majorBidi" w:cstheme="majorBidi"/>
          <w:lang w:val="en-US"/>
        </w:rPr>
        <w:t>where an</w:t>
      </w:r>
      <w:r w:rsidR="00640CE5">
        <w:rPr>
          <w:rFonts w:asciiTheme="majorBidi" w:hAnsiTheme="majorBidi" w:cstheme="majorBidi"/>
          <w:lang w:val="en-US"/>
        </w:rPr>
        <w:t xml:space="preserve"> </w:t>
      </w:r>
      <w:r w:rsidR="00640CE5" w:rsidRPr="00640CE5">
        <w:rPr>
          <w:rFonts w:asciiTheme="majorBidi" w:hAnsiTheme="majorBidi" w:cstheme="majorBidi"/>
          <w:i/>
          <w:iCs/>
          <w:lang w:val="en-US"/>
        </w:rPr>
        <w:t>ij</w:t>
      </w:r>
      <w:r w:rsidR="004E3196">
        <w:rPr>
          <w:rFonts w:asciiTheme="majorBidi" w:hAnsiTheme="majorBidi" w:cstheme="majorBidi"/>
          <w:i/>
          <w:iCs/>
          <w:lang w:val="en-US"/>
        </w:rPr>
        <w:t>ā</w:t>
      </w:r>
      <w:r w:rsidR="00640CE5" w:rsidRPr="00640CE5">
        <w:rPr>
          <w:rFonts w:asciiTheme="majorBidi" w:hAnsiTheme="majorBidi" w:cstheme="majorBidi"/>
          <w:i/>
          <w:iCs/>
          <w:lang w:val="en-US"/>
        </w:rPr>
        <w:t>za</w:t>
      </w:r>
      <w:r w:rsidR="00640CE5">
        <w:rPr>
          <w:rFonts w:asciiTheme="majorBidi" w:hAnsiTheme="majorBidi" w:cstheme="majorBidi"/>
          <w:lang w:val="en-US"/>
        </w:rPr>
        <w:t xml:space="preserve"> is a license to teach a give</w:t>
      </w:r>
      <w:r w:rsidR="004E3196">
        <w:rPr>
          <w:rFonts w:asciiTheme="majorBidi" w:hAnsiTheme="majorBidi" w:cstheme="majorBidi"/>
          <w:lang w:val="en-US"/>
        </w:rPr>
        <w:t>n</w:t>
      </w:r>
      <w:r w:rsidR="00640CE5">
        <w:rPr>
          <w:rFonts w:asciiTheme="majorBidi" w:hAnsiTheme="majorBidi" w:cstheme="majorBidi"/>
          <w:lang w:val="en-US"/>
        </w:rPr>
        <w:t xml:space="preserve"> text</w:t>
      </w:r>
      <w:r w:rsidR="00F5486C">
        <w:rPr>
          <w:rFonts w:asciiTheme="majorBidi" w:hAnsiTheme="majorBidi" w:cstheme="majorBidi"/>
          <w:lang w:val="en-US"/>
        </w:rPr>
        <w:t xml:space="preserve"> or a specific practice</w:t>
      </w:r>
      <w:r w:rsidR="00640CE5">
        <w:rPr>
          <w:rFonts w:asciiTheme="majorBidi" w:hAnsiTheme="majorBidi" w:cstheme="majorBidi"/>
          <w:lang w:val="en-US"/>
        </w:rPr>
        <w:t xml:space="preserve">. </w:t>
      </w:r>
    </w:p>
    <w:p w14:paraId="01AF4B6F" w14:textId="097C282F" w:rsidR="009E25E2" w:rsidRDefault="001528FC" w:rsidP="00D318D4">
      <w:pPr>
        <w:spacing w:line="360" w:lineRule="auto"/>
        <w:ind w:firstLine="708"/>
        <w:jc w:val="both"/>
        <w:rPr>
          <w:rFonts w:asciiTheme="majorBidi" w:hAnsiTheme="majorBidi" w:cstheme="majorBidi"/>
          <w:lang w:val="en-US"/>
        </w:rPr>
      </w:pPr>
      <w:r w:rsidRPr="001528FC">
        <w:rPr>
          <w:rFonts w:asciiTheme="majorBidi" w:hAnsiTheme="majorBidi" w:cstheme="majorBidi"/>
          <w:i/>
          <w:iCs/>
          <w:lang w:val="en-US"/>
        </w:rPr>
        <w:t>Ijāza</w:t>
      </w:r>
      <w:r w:rsidRPr="00F5486C">
        <w:rPr>
          <w:rFonts w:asciiTheme="majorBidi" w:hAnsiTheme="majorBidi" w:cstheme="majorBidi"/>
          <w:lang w:val="en-US"/>
        </w:rPr>
        <w:t>s</w:t>
      </w:r>
      <w:r w:rsidR="00A43CCE">
        <w:rPr>
          <w:rStyle w:val="FootnoteReference"/>
          <w:rFonts w:asciiTheme="majorBidi" w:hAnsiTheme="majorBidi" w:cstheme="majorBidi"/>
          <w:lang w:val="en-US"/>
        </w:rPr>
        <w:footnoteReference w:id="3"/>
      </w:r>
      <w:r>
        <w:rPr>
          <w:rFonts w:asciiTheme="majorBidi" w:hAnsiTheme="majorBidi" w:cstheme="majorBidi"/>
          <w:lang w:val="en-US"/>
        </w:rPr>
        <w:t xml:space="preserve"> </w:t>
      </w:r>
      <w:r w:rsidR="00EC1E5C">
        <w:rPr>
          <w:rFonts w:asciiTheme="majorBidi" w:hAnsiTheme="majorBidi" w:cstheme="majorBidi"/>
          <w:lang w:val="en-US"/>
        </w:rPr>
        <w:t xml:space="preserve">also </w:t>
      </w:r>
      <w:r>
        <w:rPr>
          <w:rFonts w:asciiTheme="majorBidi" w:hAnsiTheme="majorBidi" w:cstheme="majorBidi"/>
          <w:lang w:val="en-US"/>
        </w:rPr>
        <w:t>play an important role i</w:t>
      </w:r>
      <w:r w:rsidR="00F806A8">
        <w:rPr>
          <w:rFonts w:asciiTheme="majorBidi" w:hAnsiTheme="majorBidi" w:cstheme="majorBidi"/>
          <w:lang w:val="en-US"/>
        </w:rPr>
        <w:t xml:space="preserve">n the case of </w:t>
      </w:r>
      <w:r w:rsidR="009E25E2" w:rsidRPr="009E25E2">
        <w:rPr>
          <w:rFonts w:asciiTheme="majorBidi" w:hAnsiTheme="majorBidi" w:cstheme="majorBidi"/>
          <w:lang w:val="en-US"/>
        </w:rPr>
        <w:t xml:space="preserve">Muslim </w:t>
      </w:r>
      <w:r w:rsidR="00F806A8">
        <w:rPr>
          <w:rFonts w:asciiTheme="majorBidi" w:hAnsiTheme="majorBidi" w:cstheme="majorBidi"/>
          <w:lang w:val="en-US"/>
        </w:rPr>
        <w:t>Sufi</w:t>
      </w:r>
      <w:r w:rsidR="009E25E2" w:rsidRPr="009E25E2">
        <w:rPr>
          <w:rFonts w:asciiTheme="majorBidi" w:hAnsiTheme="majorBidi" w:cstheme="majorBidi"/>
          <w:lang w:val="en-US"/>
        </w:rPr>
        <w:t xml:space="preserve"> </w:t>
      </w:r>
      <w:r w:rsidR="009E25E2" w:rsidRPr="00F5486C">
        <w:rPr>
          <w:rFonts w:asciiTheme="majorBidi" w:hAnsiTheme="majorBidi" w:cstheme="majorBidi"/>
          <w:lang w:val="en-US"/>
        </w:rPr>
        <w:t>brotherhoods (</w:t>
      </w:r>
      <w:r w:rsidR="009E25E2" w:rsidRPr="00F5486C">
        <w:rPr>
          <w:rFonts w:asciiTheme="majorBidi" w:hAnsiTheme="majorBidi" w:cstheme="majorBidi"/>
          <w:i/>
          <w:iCs/>
          <w:lang w:val="en-US"/>
        </w:rPr>
        <w:t>ṭarīqa</w:t>
      </w:r>
      <w:r w:rsidR="009E25E2" w:rsidRPr="00F5486C">
        <w:rPr>
          <w:rFonts w:asciiTheme="majorBidi" w:hAnsiTheme="majorBidi" w:cstheme="majorBidi"/>
          <w:lang w:val="en-US"/>
        </w:rPr>
        <w:t xml:space="preserve">), </w:t>
      </w:r>
      <w:r w:rsidRPr="00F5486C">
        <w:rPr>
          <w:rFonts w:asciiTheme="majorBidi" w:hAnsiTheme="majorBidi" w:cstheme="majorBidi"/>
          <w:lang w:val="en-US"/>
        </w:rPr>
        <w:t>those spiritual paths that developed around the teaching of prominent mystics.</w:t>
      </w:r>
      <w:r w:rsidR="00965748" w:rsidRPr="00F5486C">
        <w:rPr>
          <w:rStyle w:val="FootnoteReference"/>
          <w:rFonts w:asciiTheme="majorBidi" w:hAnsiTheme="majorBidi" w:cstheme="majorBidi"/>
          <w:lang w:val="en-US"/>
        </w:rPr>
        <w:footnoteReference w:id="4"/>
      </w:r>
      <w:r w:rsidRPr="00F5486C">
        <w:rPr>
          <w:rFonts w:asciiTheme="majorBidi" w:hAnsiTheme="majorBidi" w:cstheme="majorBidi"/>
          <w:lang w:val="en-US"/>
        </w:rPr>
        <w:t xml:space="preserve"> In this context, </w:t>
      </w:r>
      <w:r w:rsidR="009E25E2" w:rsidRPr="00F5486C">
        <w:rPr>
          <w:rFonts w:asciiTheme="majorBidi" w:hAnsiTheme="majorBidi" w:cstheme="majorBidi"/>
          <w:lang w:val="en-US"/>
        </w:rPr>
        <w:t>a</w:t>
      </w:r>
      <w:r w:rsidR="00F806A8" w:rsidRPr="00F5486C">
        <w:rPr>
          <w:rFonts w:asciiTheme="majorBidi" w:hAnsiTheme="majorBidi" w:cstheme="majorBidi"/>
          <w:lang w:val="en-US"/>
        </w:rPr>
        <w:t>n</w:t>
      </w:r>
      <w:r w:rsidR="009E25E2" w:rsidRPr="00F5486C">
        <w:rPr>
          <w:rFonts w:asciiTheme="majorBidi" w:hAnsiTheme="majorBidi" w:cstheme="majorBidi"/>
          <w:lang w:val="en-US"/>
        </w:rPr>
        <w:t xml:space="preserve"> </w:t>
      </w:r>
      <w:r w:rsidRPr="00F5486C">
        <w:rPr>
          <w:rFonts w:asciiTheme="majorBidi" w:hAnsiTheme="majorBidi" w:cstheme="majorBidi"/>
          <w:i/>
          <w:iCs/>
          <w:lang w:val="en-US"/>
        </w:rPr>
        <w:t>ijāza</w:t>
      </w:r>
      <w:r w:rsidRPr="00F5486C">
        <w:rPr>
          <w:rFonts w:asciiTheme="majorBidi" w:hAnsiTheme="majorBidi" w:cstheme="majorBidi"/>
          <w:lang w:val="en-US"/>
        </w:rPr>
        <w:t xml:space="preserve"> </w:t>
      </w:r>
      <w:r w:rsidR="009E25E2" w:rsidRPr="00F5486C">
        <w:rPr>
          <w:rFonts w:asciiTheme="majorBidi" w:hAnsiTheme="majorBidi" w:cstheme="majorBidi"/>
          <w:lang w:val="en-US"/>
        </w:rPr>
        <w:t xml:space="preserve">is </w:t>
      </w:r>
      <w:r w:rsidR="00F806A8" w:rsidRPr="00F5486C">
        <w:rPr>
          <w:rFonts w:asciiTheme="majorBidi" w:hAnsiTheme="majorBidi" w:cstheme="majorBidi"/>
          <w:lang w:val="en-US"/>
        </w:rPr>
        <w:t>the</w:t>
      </w:r>
      <w:r w:rsidR="009E25E2" w:rsidRPr="00F5486C">
        <w:rPr>
          <w:rFonts w:asciiTheme="majorBidi" w:hAnsiTheme="majorBidi" w:cstheme="majorBidi"/>
          <w:lang w:val="en-US"/>
        </w:rPr>
        <w:t xml:space="preserve"> act by which the religious leader </w:t>
      </w:r>
      <w:r w:rsidR="00F806A8" w:rsidRPr="00F5486C">
        <w:rPr>
          <w:rFonts w:asciiTheme="majorBidi" w:hAnsiTheme="majorBidi" w:cstheme="majorBidi"/>
          <w:lang w:val="en-US"/>
        </w:rPr>
        <w:t xml:space="preserve">or </w:t>
      </w:r>
      <w:r w:rsidR="009E25E2" w:rsidRPr="00F5486C">
        <w:rPr>
          <w:rFonts w:asciiTheme="majorBidi" w:hAnsiTheme="majorBidi" w:cstheme="majorBidi"/>
          <w:i/>
          <w:iCs/>
          <w:lang w:val="en-US"/>
        </w:rPr>
        <w:t>shaykh</w:t>
      </w:r>
      <w:r w:rsidR="0028283E" w:rsidRPr="00F5486C">
        <w:rPr>
          <w:rFonts w:asciiTheme="majorBidi" w:hAnsiTheme="majorBidi" w:cstheme="majorBidi"/>
          <w:lang w:val="en-US"/>
        </w:rPr>
        <w:t xml:space="preserve">—whether </w:t>
      </w:r>
      <w:r w:rsidR="00F806A8" w:rsidRPr="00F5486C">
        <w:rPr>
          <w:rFonts w:asciiTheme="majorBidi" w:hAnsiTheme="majorBidi" w:cstheme="majorBidi"/>
          <w:lang w:val="en-US"/>
        </w:rPr>
        <w:t xml:space="preserve">the founder, </w:t>
      </w:r>
      <w:r w:rsidR="00F5486C" w:rsidRPr="00F5486C">
        <w:rPr>
          <w:rFonts w:asciiTheme="majorBidi" w:hAnsiTheme="majorBidi" w:cstheme="majorBidi"/>
          <w:lang w:val="en-US"/>
        </w:rPr>
        <w:t>the</w:t>
      </w:r>
      <w:r w:rsidR="00F806A8" w:rsidRPr="00F5486C">
        <w:rPr>
          <w:rFonts w:asciiTheme="majorBidi" w:hAnsiTheme="majorBidi" w:cstheme="majorBidi"/>
          <w:lang w:val="en-US"/>
        </w:rPr>
        <w:t xml:space="preserve"> </w:t>
      </w:r>
      <w:r w:rsidR="009E25E2" w:rsidRPr="00F5486C">
        <w:rPr>
          <w:rFonts w:asciiTheme="majorBidi" w:hAnsiTheme="majorBidi" w:cstheme="majorBidi"/>
          <w:i/>
          <w:iCs/>
          <w:lang w:val="en-US"/>
        </w:rPr>
        <w:t>khalīfa</w:t>
      </w:r>
      <w:r w:rsidR="00F5486C" w:rsidRPr="00F5486C">
        <w:rPr>
          <w:rFonts w:asciiTheme="majorBidi" w:hAnsiTheme="majorBidi" w:cstheme="majorBidi"/>
          <w:lang w:val="en-US"/>
        </w:rPr>
        <w:t xml:space="preserve"> (the founder’s successor)</w:t>
      </w:r>
      <w:r w:rsidRPr="00F5486C">
        <w:rPr>
          <w:rFonts w:asciiTheme="majorBidi" w:hAnsiTheme="majorBidi" w:cstheme="majorBidi"/>
          <w:lang w:val="en-US"/>
        </w:rPr>
        <w:t>,</w:t>
      </w:r>
      <w:r w:rsidR="00F806A8" w:rsidRPr="00F5486C">
        <w:rPr>
          <w:rFonts w:asciiTheme="majorBidi" w:hAnsiTheme="majorBidi" w:cstheme="majorBidi"/>
          <w:lang w:val="en-US"/>
        </w:rPr>
        <w:t xml:space="preserve"> or</w:t>
      </w:r>
      <w:r w:rsidR="00F5486C" w:rsidRPr="00F5486C">
        <w:rPr>
          <w:rFonts w:asciiTheme="majorBidi" w:hAnsiTheme="majorBidi" w:cstheme="majorBidi"/>
          <w:lang w:val="en-US"/>
        </w:rPr>
        <w:t xml:space="preserve"> the </w:t>
      </w:r>
      <w:r w:rsidR="00F5486C" w:rsidRPr="00F5486C">
        <w:rPr>
          <w:rFonts w:asciiTheme="majorBidi" w:hAnsiTheme="majorBidi" w:cstheme="majorBidi"/>
          <w:i/>
          <w:iCs/>
          <w:lang w:val="en-US"/>
        </w:rPr>
        <w:t>muqaddam</w:t>
      </w:r>
      <w:r w:rsidR="00F5486C" w:rsidRPr="00F5486C">
        <w:rPr>
          <w:rFonts w:asciiTheme="majorBidi" w:hAnsiTheme="majorBidi" w:cstheme="majorBidi"/>
          <w:lang w:val="en-US"/>
        </w:rPr>
        <w:t xml:space="preserve"> (an individual </w:t>
      </w:r>
      <w:r w:rsidR="004012B9">
        <w:rPr>
          <w:rFonts w:asciiTheme="majorBidi" w:hAnsiTheme="majorBidi" w:cstheme="majorBidi"/>
          <w:lang w:val="en-US"/>
        </w:rPr>
        <w:t>t</w:t>
      </w:r>
      <w:r w:rsidR="00F806A8" w:rsidRPr="00F5486C">
        <w:rPr>
          <w:rFonts w:asciiTheme="majorBidi" w:hAnsiTheme="majorBidi" w:cstheme="majorBidi"/>
          <w:lang w:val="en-US"/>
        </w:rPr>
        <w:t xml:space="preserve">asked </w:t>
      </w:r>
      <w:r w:rsidR="005703E9" w:rsidRPr="00F5486C">
        <w:rPr>
          <w:rFonts w:asciiTheme="majorBidi" w:hAnsiTheme="majorBidi" w:cstheme="majorBidi"/>
          <w:lang w:val="en-US"/>
        </w:rPr>
        <w:t>with</w:t>
      </w:r>
      <w:r w:rsidR="00F806A8" w:rsidRPr="00F5486C">
        <w:rPr>
          <w:rFonts w:asciiTheme="majorBidi" w:hAnsiTheme="majorBidi" w:cstheme="majorBidi"/>
          <w:lang w:val="en-US"/>
        </w:rPr>
        <w:t xml:space="preserve"> initiating novice</w:t>
      </w:r>
      <w:r w:rsidR="00E767C5">
        <w:rPr>
          <w:rFonts w:asciiTheme="majorBidi" w:hAnsiTheme="majorBidi" w:cstheme="majorBidi"/>
          <w:lang w:val="en-US"/>
        </w:rPr>
        <w:t>s</w:t>
      </w:r>
      <w:r w:rsidR="00F5486C" w:rsidRPr="00F5486C">
        <w:rPr>
          <w:rFonts w:asciiTheme="majorBidi" w:hAnsiTheme="majorBidi" w:cstheme="majorBidi"/>
          <w:lang w:val="en-US"/>
        </w:rPr>
        <w:t>)</w:t>
      </w:r>
      <w:r w:rsidR="005703E9" w:rsidRPr="00F5486C">
        <w:rPr>
          <w:rFonts w:asciiTheme="majorBidi" w:hAnsiTheme="majorBidi" w:cstheme="majorBidi"/>
          <w:lang w:val="en-US"/>
        </w:rPr>
        <w:t>—</w:t>
      </w:r>
      <w:r w:rsidR="009E25E2" w:rsidRPr="00F5486C">
        <w:rPr>
          <w:rFonts w:asciiTheme="majorBidi" w:hAnsiTheme="majorBidi" w:cstheme="majorBidi"/>
          <w:lang w:val="en-US"/>
        </w:rPr>
        <w:lastRenderedPageBreak/>
        <w:t>authorizes</w:t>
      </w:r>
      <w:r w:rsidR="005703E9" w:rsidRPr="00F5486C">
        <w:rPr>
          <w:rFonts w:asciiTheme="majorBidi" w:hAnsiTheme="majorBidi" w:cstheme="majorBidi"/>
          <w:lang w:val="en-US"/>
        </w:rPr>
        <w:t xml:space="preserve"> </w:t>
      </w:r>
      <w:r w:rsidR="009E25E2" w:rsidRPr="00F5486C">
        <w:rPr>
          <w:rFonts w:asciiTheme="majorBidi" w:hAnsiTheme="majorBidi" w:cstheme="majorBidi"/>
          <w:lang w:val="en-US"/>
        </w:rPr>
        <w:t xml:space="preserve">a disciple who has </w:t>
      </w:r>
      <w:r w:rsidR="005703E9" w:rsidRPr="00F5486C">
        <w:rPr>
          <w:rFonts w:asciiTheme="majorBidi" w:hAnsiTheme="majorBidi" w:cstheme="majorBidi"/>
          <w:lang w:val="en-US"/>
        </w:rPr>
        <w:t xml:space="preserve">climbed the brotherhood’s </w:t>
      </w:r>
      <w:r w:rsidR="009E25E2" w:rsidRPr="00F5486C">
        <w:rPr>
          <w:rFonts w:asciiTheme="majorBidi" w:hAnsiTheme="majorBidi" w:cstheme="majorBidi"/>
          <w:lang w:val="en-US"/>
        </w:rPr>
        <w:t>ranks to teach and transmit the precepts, prayers, rites</w:t>
      </w:r>
      <w:r w:rsidRPr="00F5486C">
        <w:rPr>
          <w:rFonts w:asciiTheme="majorBidi" w:hAnsiTheme="majorBidi" w:cstheme="majorBidi"/>
          <w:lang w:val="en-US"/>
        </w:rPr>
        <w:t>,</w:t>
      </w:r>
      <w:r w:rsidR="009E25E2" w:rsidRPr="00F5486C">
        <w:rPr>
          <w:rFonts w:asciiTheme="majorBidi" w:hAnsiTheme="majorBidi" w:cstheme="majorBidi"/>
          <w:lang w:val="en-US"/>
        </w:rPr>
        <w:t xml:space="preserve"> and spiritual secrets to other disciples </w:t>
      </w:r>
      <w:r w:rsidRPr="00F5486C">
        <w:rPr>
          <w:rFonts w:asciiTheme="majorBidi" w:hAnsiTheme="majorBidi" w:cstheme="majorBidi"/>
          <w:lang w:val="en-US"/>
        </w:rPr>
        <w:t>and</w:t>
      </w:r>
      <w:r w:rsidR="009E25E2" w:rsidRPr="00F5486C">
        <w:rPr>
          <w:rFonts w:asciiTheme="majorBidi" w:hAnsiTheme="majorBidi" w:cstheme="majorBidi"/>
          <w:lang w:val="en-US"/>
        </w:rPr>
        <w:t xml:space="preserve"> to give</w:t>
      </w:r>
      <w:r w:rsidRPr="00F5486C">
        <w:rPr>
          <w:rFonts w:asciiTheme="majorBidi" w:hAnsiTheme="majorBidi" w:cstheme="majorBidi"/>
          <w:lang w:val="en-US"/>
        </w:rPr>
        <w:t xml:space="preserve"> him</w:t>
      </w:r>
      <w:r w:rsidR="0005389E" w:rsidRPr="00F5486C">
        <w:rPr>
          <w:rFonts w:asciiTheme="majorBidi" w:hAnsiTheme="majorBidi" w:cstheme="majorBidi"/>
          <w:lang w:val="en-US"/>
        </w:rPr>
        <w:t xml:space="preserve"> or her</w:t>
      </w:r>
      <w:r w:rsidRPr="00F5486C">
        <w:rPr>
          <w:rFonts w:asciiTheme="majorBidi" w:hAnsiTheme="majorBidi" w:cstheme="majorBidi"/>
          <w:lang w:val="en-US"/>
        </w:rPr>
        <w:t>, in turn,</w:t>
      </w:r>
      <w:r w:rsidR="009E25E2" w:rsidRPr="00F5486C">
        <w:rPr>
          <w:rFonts w:asciiTheme="majorBidi" w:hAnsiTheme="majorBidi" w:cstheme="majorBidi"/>
          <w:lang w:val="en-US"/>
        </w:rPr>
        <w:t xml:space="preserve"> the possibility of granting </w:t>
      </w:r>
      <w:r w:rsidR="009E25E2" w:rsidRPr="00F5486C">
        <w:rPr>
          <w:rFonts w:asciiTheme="majorBidi" w:hAnsiTheme="majorBidi" w:cstheme="majorBidi"/>
          <w:i/>
          <w:iCs/>
          <w:lang w:val="en-US"/>
        </w:rPr>
        <w:t>ijāza</w:t>
      </w:r>
      <w:r w:rsidR="009E25E2" w:rsidRPr="00F5486C">
        <w:rPr>
          <w:rFonts w:asciiTheme="majorBidi" w:hAnsiTheme="majorBidi" w:cstheme="majorBidi"/>
          <w:lang w:val="en-US"/>
        </w:rPr>
        <w:t xml:space="preserve"> </w:t>
      </w:r>
      <w:r w:rsidRPr="00F5486C">
        <w:rPr>
          <w:rFonts w:asciiTheme="majorBidi" w:hAnsiTheme="majorBidi" w:cstheme="majorBidi"/>
          <w:lang w:val="en-US"/>
        </w:rPr>
        <w:t>himself</w:t>
      </w:r>
      <w:r w:rsidR="0005389E" w:rsidRPr="00F5486C">
        <w:rPr>
          <w:rFonts w:asciiTheme="majorBidi" w:hAnsiTheme="majorBidi" w:cstheme="majorBidi"/>
          <w:lang w:val="en-US"/>
        </w:rPr>
        <w:t xml:space="preserve"> or herself</w:t>
      </w:r>
      <w:r w:rsidR="009E25E2" w:rsidRPr="00F5486C">
        <w:rPr>
          <w:rFonts w:asciiTheme="majorBidi" w:hAnsiTheme="majorBidi" w:cstheme="majorBidi"/>
          <w:lang w:val="en-US"/>
        </w:rPr>
        <w:t>.</w:t>
      </w:r>
    </w:p>
    <w:p w14:paraId="169A7278" w14:textId="7418C5CB" w:rsidR="00C53477" w:rsidRPr="00274637" w:rsidRDefault="0005389E" w:rsidP="00864D94">
      <w:pPr>
        <w:spacing w:line="360" w:lineRule="auto"/>
        <w:ind w:firstLine="708"/>
        <w:jc w:val="both"/>
        <w:rPr>
          <w:rFonts w:asciiTheme="majorBidi" w:hAnsiTheme="majorBidi" w:cstheme="majorBidi"/>
          <w:lang w:val="en-US"/>
        </w:rPr>
      </w:pPr>
      <w:r w:rsidRPr="00274637">
        <w:rPr>
          <w:rFonts w:asciiTheme="majorBidi" w:hAnsiTheme="majorBidi" w:cstheme="majorBidi"/>
          <w:lang w:val="en-US"/>
        </w:rPr>
        <w:t>In the Sufi context</w:t>
      </w:r>
      <w:r w:rsidR="00724F10" w:rsidRPr="00274637">
        <w:rPr>
          <w:rFonts w:asciiTheme="majorBidi" w:hAnsiTheme="majorBidi" w:cstheme="majorBidi"/>
          <w:lang w:val="en-US"/>
        </w:rPr>
        <w:t xml:space="preserve"> </w:t>
      </w:r>
      <w:r w:rsidR="00BE7E7D" w:rsidRPr="00274637">
        <w:rPr>
          <w:rFonts w:asciiTheme="majorBidi" w:hAnsiTheme="majorBidi" w:cstheme="majorBidi"/>
          <w:lang w:val="en-US"/>
        </w:rPr>
        <w:t>t</w:t>
      </w:r>
      <w:r w:rsidR="00C53477" w:rsidRPr="00274637">
        <w:rPr>
          <w:rFonts w:asciiTheme="majorBidi" w:hAnsiTheme="majorBidi" w:cstheme="majorBidi"/>
          <w:lang w:val="en-US"/>
        </w:rPr>
        <w:t xml:space="preserve">here are different types and “levels” of </w:t>
      </w:r>
      <w:proofErr w:type="spellStart"/>
      <w:r w:rsidR="00C53477" w:rsidRPr="00274637">
        <w:rPr>
          <w:rFonts w:asciiTheme="majorBidi" w:hAnsiTheme="majorBidi" w:cstheme="majorBidi"/>
          <w:i/>
          <w:iCs/>
          <w:lang w:val="en-US"/>
        </w:rPr>
        <w:t>ijāza</w:t>
      </w:r>
      <w:r w:rsidR="00F5486C" w:rsidRPr="00274637">
        <w:rPr>
          <w:rFonts w:asciiTheme="majorBidi" w:hAnsiTheme="majorBidi" w:cstheme="majorBidi"/>
          <w:lang w:val="en-US"/>
        </w:rPr>
        <w:t>s</w:t>
      </w:r>
      <w:proofErr w:type="spellEnd"/>
      <w:r w:rsidR="00C53477" w:rsidRPr="00274637">
        <w:rPr>
          <w:rFonts w:asciiTheme="majorBidi" w:hAnsiTheme="majorBidi" w:cstheme="majorBidi"/>
          <w:lang w:val="en-US"/>
        </w:rPr>
        <w:t xml:space="preserve">. </w:t>
      </w:r>
      <w:r w:rsidR="00724F10" w:rsidRPr="00274637">
        <w:rPr>
          <w:rFonts w:asciiTheme="majorBidi" w:hAnsiTheme="majorBidi" w:cstheme="majorBidi"/>
          <w:lang w:val="en-US"/>
        </w:rPr>
        <w:t>T</w:t>
      </w:r>
      <w:r w:rsidR="00C53477" w:rsidRPr="00274637">
        <w:rPr>
          <w:rFonts w:asciiTheme="majorBidi" w:hAnsiTheme="majorBidi" w:cstheme="majorBidi"/>
          <w:lang w:val="en-US"/>
        </w:rPr>
        <w:t xml:space="preserve">he </w:t>
      </w:r>
      <w:r w:rsidR="00724F10" w:rsidRPr="00274637">
        <w:rPr>
          <w:rFonts w:asciiTheme="majorBidi" w:hAnsiTheme="majorBidi" w:cstheme="majorBidi"/>
          <w:lang w:val="en-US"/>
        </w:rPr>
        <w:t>most basic</w:t>
      </w:r>
      <w:r w:rsidR="00C53477" w:rsidRPr="00274637">
        <w:rPr>
          <w:rFonts w:asciiTheme="majorBidi" w:hAnsiTheme="majorBidi" w:cstheme="majorBidi"/>
          <w:lang w:val="en-US"/>
        </w:rPr>
        <w:t xml:space="preserve"> </w:t>
      </w:r>
      <w:r w:rsidR="00AB37F6" w:rsidRPr="00274637">
        <w:rPr>
          <w:rFonts w:asciiTheme="majorBidi" w:hAnsiTheme="majorBidi" w:cstheme="majorBidi"/>
          <w:lang w:val="en-US"/>
        </w:rPr>
        <w:t>(</w:t>
      </w:r>
      <w:r w:rsidR="00AB37F6" w:rsidRPr="00274637">
        <w:rPr>
          <w:rFonts w:asciiTheme="majorBidi" w:hAnsiTheme="majorBidi" w:cstheme="majorBidi"/>
          <w:i/>
          <w:iCs/>
          <w:lang w:val="en-US"/>
        </w:rPr>
        <w:t>‘</w:t>
      </w:r>
      <w:proofErr w:type="spellStart"/>
      <w:r w:rsidR="00AB37F6" w:rsidRPr="00274637">
        <w:rPr>
          <w:rFonts w:asciiTheme="majorBidi" w:hAnsiTheme="majorBidi" w:cstheme="majorBidi"/>
          <w:i/>
          <w:iCs/>
          <w:lang w:val="en-US"/>
        </w:rPr>
        <w:t>āmma</w:t>
      </w:r>
      <w:proofErr w:type="spellEnd"/>
      <w:r w:rsidR="00AB37F6" w:rsidRPr="00274637">
        <w:rPr>
          <w:rFonts w:asciiTheme="majorBidi" w:hAnsiTheme="majorBidi" w:cstheme="majorBidi"/>
          <w:lang w:val="en-US"/>
        </w:rPr>
        <w:t>)</w:t>
      </w:r>
      <w:r w:rsidR="00274637" w:rsidRPr="00274637">
        <w:rPr>
          <w:rFonts w:asciiTheme="majorBidi" w:hAnsiTheme="majorBidi" w:cstheme="majorBidi"/>
          <w:lang w:val="en-US"/>
        </w:rPr>
        <w:t xml:space="preserve"> </w:t>
      </w:r>
      <w:r w:rsidR="00C53477" w:rsidRPr="00274637">
        <w:rPr>
          <w:rFonts w:asciiTheme="majorBidi" w:hAnsiTheme="majorBidi" w:cstheme="majorBidi"/>
          <w:lang w:val="en-US"/>
        </w:rPr>
        <w:t>authorizes its holder to initiate disciples only in</w:t>
      </w:r>
      <w:r w:rsidR="00EB36A5" w:rsidRPr="00274637">
        <w:rPr>
          <w:rFonts w:asciiTheme="majorBidi" w:hAnsiTheme="majorBidi" w:cstheme="majorBidi"/>
          <w:lang w:val="en-US"/>
        </w:rPr>
        <w:t>to</w:t>
      </w:r>
      <w:r w:rsidR="00C53477" w:rsidRPr="00274637">
        <w:rPr>
          <w:rFonts w:asciiTheme="majorBidi" w:hAnsiTheme="majorBidi" w:cstheme="majorBidi"/>
          <w:lang w:val="en-US"/>
        </w:rPr>
        <w:t xml:space="preserve"> the </w:t>
      </w:r>
      <w:proofErr w:type="gramStart"/>
      <w:r w:rsidR="00EB36A5" w:rsidRPr="00274637">
        <w:rPr>
          <w:rFonts w:asciiTheme="majorBidi" w:hAnsiTheme="majorBidi" w:cstheme="majorBidi"/>
          <w:lang w:val="en-US"/>
        </w:rPr>
        <w:t>fundamentals</w:t>
      </w:r>
      <w:r w:rsidR="007C572C" w:rsidRPr="00274637">
        <w:rPr>
          <w:rFonts w:asciiTheme="majorBidi" w:hAnsiTheme="majorBidi" w:cstheme="majorBidi"/>
          <w:lang w:val="en-US"/>
        </w:rPr>
        <w:t xml:space="preserve">  </w:t>
      </w:r>
      <w:r w:rsidR="00533B80">
        <w:rPr>
          <w:rFonts w:asciiTheme="majorBidi" w:hAnsiTheme="majorBidi" w:cstheme="majorBidi"/>
          <w:lang w:val="en-US"/>
        </w:rPr>
        <w:t>of</w:t>
      </w:r>
      <w:proofErr w:type="gramEnd"/>
      <w:r w:rsidR="00533B80">
        <w:rPr>
          <w:rFonts w:asciiTheme="majorBidi" w:hAnsiTheme="majorBidi" w:cstheme="majorBidi"/>
          <w:lang w:val="en-US"/>
        </w:rPr>
        <w:t xml:space="preserve"> </w:t>
      </w:r>
      <w:r w:rsidR="007C572C" w:rsidRPr="00274637">
        <w:rPr>
          <w:rFonts w:asciiTheme="majorBidi" w:hAnsiTheme="majorBidi" w:cstheme="majorBidi"/>
          <w:lang w:val="en-US"/>
        </w:rPr>
        <w:t xml:space="preserve">the </w:t>
      </w:r>
      <w:proofErr w:type="spellStart"/>
      <w:r w:rsidR="007C572C" w:rsidRPr="00274637">
        <w:rPr>
          <w:rFonts w:asciiTheme="majorBidi" w:hAnsiTheme="majorBidi" w:cstheme="majorBidi"/>
          <w:i/>
          <w:iCs/>
          <w:lang w:val="en-US"/>
        </w:rPr>
        <w:t>ṭarīqa</w:t>
      </w:r>
      <w:proofErr w:type="spellEnd"/>
      <w:r w:rsidR="002C4815" w:rsidRPr="00274637">
        <w:rPr>
          <w:rFonts w:asciiTheme="majorBidi" w:hAnsiTheme="majorBidi" w:cstheme="majorBidi"/>
          <w:lang w:val="en-US"/>
        </w:rPr>
        <w:t xml:space="preserve">: </w:t>
      </w:r>
      <w:r w:rsidR="007C572C" w:rsidRPr="00274637">
        <w:rPr>
          <w:rFonts w:asciiTheme="majorBidi" w:hAnsiTheme="majorBidi" w:cstheme="majorBidi"/>
          <w:lang w:val="en-US"/>
        </w:rPr>
        <w:t xml:space="preserve">the set of </w:t>
      </w:r>
      <w:proofErr w:type="spellStart"/>
      <w:r w:rsidR="007C572C" w:rsidRPr="00274637">
        <w:rPr>
          <w:rFonts w:asciiTheme="majorBidi" w:hAnsiTheme="majorBidi" w:cstheme="majorBidi"/>
          <w:i/>
          <w:iCs/>
          <w:lang w:val="en-US"/>
        </w:rPr>
        <w:t>wirds</w:t>
      </w:r>
      <w:proofErr w:type="spellEnd"/>
      <w:r w:rsidR="007C572C" w:rsidRPr="00274637">
        <w:rPr>
          <w:rFonts w:asciiTheme="majorBidi" w:hAnsiTheme="majorBidi" w:cstheme="majorBidi"/>
          <w:lang w:val="en-US"/>
        </w:rPr>
        <w:t xml:space="preserve"> and </w:t>
      </w:r>
      <w:proofErr w:type="spellStart"/>
      <w:r w:rsidR="007C572C" w:rsidRPr="00274637">
        <w:rPr>
          <w:rFonts w:asciiTheme="majorBidi" w:hAnsiTheme="majorBidi" w:cstheme="majorBidi"/>
          <w:i/>
          <w:iCs/>
          <w:lang w:val="en-US"/>
        </w:rPr>
        <w:t>ḥizbs</w:t>
      </w:r>
      <w:proofErr w:type="spellEnd"/>
      <w:r w:rsidR="00775D83">
        <w:rPr>
          <w:rFonts w:asciiTheme="majorBidi" w:hAnsiTheme="majorBidi" w:cstheme="majorBidi"/>
          <w:lang w:val="en-US"/>
        </w:rPr>
        <w:t>—</w:t>
      </w:r>
      <w:r w:rsidR="007C572C" w:rsidRPr="00274637">
        <w:rPr>
          <w:rFonts w:asciiTheme="majorBidi" w:hAnsiTheme="majorBidi" w:cstheme="majorBidi"/>
          <w:lang w:val="en-US"/>
        </w:rPr>
        <w:t>spiritual</w:t>
      </w:r>
      <w:r w:rsidR="00775D83">
        <w:rPr>
          <w:rFonts w:asciiTheme="majorBidi" w:hAnsiTheme="majorBidi" w:cstheme="majorBidi"/>
          <w:lang w:val="en-US"/>
        </w:rPr>
        <w:t xml:space="preserve"> </w:t>
      </w:r>
      <w:r w:rsidR="007C572C" w:rsidRPr="00274637">
        <w:rPr>
          <w:rFonts w:asciiTheme="majorBidi" w:hAnsiTheme="majorBidi" w:cstheme="majorBidi"/>
          <w:lang w:val="en-US"/>
        </w:rPr>
        <w:t>formulas and specific prayers</w:t>
      </w:r>
      <w:r w:rsidR="00775D83">
        <w:rPr>
          <w:rFonts w:asciiTheme="majorBidi" w:hAnsiTheme="majorBidi" w:cstheme="majorBidi"/>
          <w:lang w:val="en-US"/>
        </w:rPr>
        <w:t>—</w:t>
      </w:r>
      <w:r w:rsidR="007C572C" w:rsidRPr="00274637">
        <w:rPr>
          <w:rFonts w:asciiTheme="majorBidi" w:hAnsiTheme="majorBidi" w:cstheme="majorBidi"/>
          <w:lang w:val="en-US"/>
        </w:rPr>
        <w:t>that must be recited a certain number of times per day or per week, individually and/or collectively</w:t>
      </w:r>
      <w:r w:rsidR="002C4815" w:rsidRPr="00274637">
        <w:rPr>
          <w:rFonts w:asciiTheme="majorBidi" w:hAnsiTheme="majorBidi" w:cstheme="majorBidi"/>
          <w:lang w:val="en-US"/>
        </w:rPr>
        <w:t>, and are</w:t>
      </w:r>
      <w:r w:rsidR="007C572C" w:rsidRPr="00274637">
        <w:rPr>
          <w:rFonts w:asciiTheme="majorBidi" w:hAnsiTheme="majorBidi" w:cstheme="majorBidi"/>
          <w:lang w:val="en-US"/>
        </w:rPr>
        <w:t xml:space="preserve"> intended for the masses (</w:t>
      </w:r>
      <w:r w:rsidR="007C572C" w:rsidRPr="00274637">
        <w:rPr>
          <w:rFonts w:asciiTheme="majorBidi" w:hAnsiTheme="majorBidi" w:cstheme="majorBidi"/>
          <w:i/>
          <w:iCs/>
          <w:lang w:val="en-US"/>
        </w:rPr>
        <w:t>‘</w:t>
      </w:r>
      <w:proofErr w:type="spellStart"/>
      <w:r w:rsidR="007C572C" w:rsidRPr="00274637">
        <w:rPr>
          <w:rFonts w:asciiTheme="majorBidi" w:hAnsiTheme="majorBidi" w:cstheme="majorBidi"/>
          <w:i/>
          <w:iCs/>
          <w:lang w:val="en-US"/>
        </w:rPr>
        <w:t>awam</w:t>
      </w:r>
      <w:proofErr w:type="spellEnd"/>
      <w:r w:rsidR="007C572C" w:rsidRPr="00274637">
        <w:rPr>
          <w:rFonts w:asciiTheme="majorBidi" w:hAnsiTheme="majorBidi" w:cstheme="majorBidi"/>
          <w:lang w:val="en-US"/>
        </w:rPr>
        <w:t xml:space="preserve">). </w:t>
      </w:r>
      <w:r w:rsidR="002C4815" w:rsidRPr="00274637">
        <w:rPr>
          <w:rFonts w:asciiTheme="majorBidi" w:hAnsiTheme="majorBidi" w:cstheme="majorBidi"/>
          <w:lang w:val="en-US"/>
        </w:rPr>
        <w:t>T</w:t>
      </w:r>
      <w:r w:rsidR="00C53477" w:rsidRPr="00274637">
        <w:rPr>
          <w:rFonts w:asciiTheme="majorBidi" w:hAnsiTheme="majorBidi" w:cstheme="majorBidi"/>
          <w:lang w:val="en-US"/>
        </w:rPr>
        <w:t>he absolute</w:t>
      </w:r>
      <w:r w:rsidR="00AB37F6" w:rsidRPr="00274637">
        <w:rPr>
          <w:rFonts w:asciiTheme="majorBidi" w:hAnsiTheme="majorBidi" w:cstheme="majorBidi"/>
          <w:lang w:val="en-US"/>
        </w:rPr>
        <w:t xml:space="preserve"> (</w:t>
      </w:r>
      <w:proofErr w:type="spellStart"/>
      <w:r w:rsidR="00AB37F6" w:rsidRPr="00274637">
        <w:rPr>
          <w:rFonts w:asciiTheme="majorBidi" w:hAnsiTheme="majorBidi" w:cstheme="majorBidi"/>
          <w:i/>
          <w:iCs/>
          <w:lang w:val="en-US"/>
        </w:rPr>
        <w:t>muṭlaqa</w:t>
      </w:r>
      <w:proofErr w:type="spellEnd"/>
      <w:r w:rsidR="00AB37F6" w:rsidRPr="00274637">
        <w:rPr>
          <w:rFonts w:asciiTheme="majorBidi" w:hAnsiTheme="majorBidi" w:cstheme="majorBidi"/>
          <w:lang w:val="en-US"/>
        </w:rPr>
        <w:t>), or full (</w:t>
      </w:r>
      <w:proofErr w:type="spellStart"/>
      <w:r w:rsidR="00AB37F6" w:rsidRPr="00274637">
        <w:rPr>
          <w:rFonts w:asciiTheme="majorBidi" w:hAnsiTheme="majorBidi" w:cstheme="majorBidi"/>
          <w:i/>
          <w:iCs/>
          <w:lang w:val="en-US"/>
        </w:rPr>
        <w:t>tāmma</w:t>
      </w:r>
      <w:proofErr w:type="spellEnd"/>
      <w:r w:rsidR="00AB37F6" w:rsidRPr="00274637">
        <w:rPr>
          <w:rFonts w:asciiTheme="majorBidi" w:hAnsiTheme="majorBidi" w:cstheme="majorBidi"/>
          <w:lang w:val="en-US"/>
        </w:rPr>
        <w:t>),</w:t>
      </w:r>
      <w:r w:rsidR="00C53477" w:rsidRPr="00274637">
        <w:rPr>
          <w:rFonts w:asciiTheme="majorBidi" w:hAnsiTheme="majorBidi" w:cstheme="majorBidi"/>
          <w:lang w:val="en-US"/>
        </w:rPr>
        <w:t xml:space="preserve"> gives the </w:t>
      </w:r>
      <w:r w:rsidR="00724F10" w:rsidRPr="00274637">
        <w:rPr>
          <w:rFonts w:asciiTheme="majorBidi" w:hAnsiTheme="majorBidi" w:cstheme="majorBidi"/>
          <w:lang w:val="en-US"/>
        </w:rPr>
        <w:t>recipient</w:t>
      </w:r>
      <w:r w:rsidR="00C53477" w:rsidRPr="00274637">
        <w:rPr>
          <w:rFonts w:asciiTheme="majorBidi" w:hAnsiTheme="majorBidi" w:cstheme="majorBidi"/>
          <w:lang w:val="en-US"/>
        </w:rPr>
        <w:t xml:space="preserve"> the right to initiate, study</w:t>
      </w:r>
      <w:r w:rsidR="00EB36A5" w:rsidRPr="00274637">
        <w:rPr>
          <w:rFonts w:asciiTheme="majorBidi" w:hAnsiTheme="majorBidi" w:cstheme="majorBidi"/>
          <w:lang w:val="en-US"/>
        </w:rPr>
        <w:t>,</w:t>
      </w:r>
      <w:r w:rsidR="00C53477" w:rsidRPr="00274637">
        <w:rPr>
          <w:rFonts w:asciiTheme="majorBidi" w:hAnsiTheme="majorBidi" w:cstheme="majorBidi"/>
          <w:lang w:val="en-US"/>
        </w:rPr>
        <w:t xml:space="preserve"> and transmit esoteric </w:t>
      </w:r>
      <w:r w:rsidR="00EB36A5" w:rsidRPr="00274637">
        <w:rPr>
          <w:rFonts w:asciiTheme="majorBidi" w:hAnsiTheme="majorBidi" w:cstheme="majorBidi"/>
          <w:lang w:val="en-US"/>
        </w:rPr>
        <w:t xml:space="preserve">knowledge as well as </w:t>
      </w:r>
      <w:r w:rsidR="00C53477" w:rsidRPr="00274637">
        <w:rPr>
          <w:rFonts w:asciiTheme="majorBidi" w:hAnsiTheme="majorBidi" w:cstheme="majorBidi"/>
          <w:lang w:val="en-US"/>
        </w:rPr>
        <w:t>the secrets and mysteries (</w:t>
      </w:r>
      <w:proofErr w:type="spellStart"/>
      <w:r w:rsidR="00C53477" w:rsidRPr="00274637">
        <w:rPr>
          <w:rFonts w:asciiTheme="majorBidi" w:hAnsiTheme="majorBidi" w:cstheme="majorBidi"/>
          <w:i/>
          <w:iCs/>
          <w:lang w:val="en-US"/>
        </w:rPr>
        <w:t>asrār</w:t>
      </w:r>
      <w:proofErr w:type="spellEnd"/>
      <w:r w:rsidR="00C53477" w:rsidRPr="00274637">
        <w:rPr>
          <w:rFonts w:asciiTheme="majorBidi" w:hAnsiTheme="majorBidi" w:cstheme="majorBidi"/>
          <w:lang w:val="en-US"/>
        </w:rPr>
        <w:t xml:space="preserve">) of </w:t>
      </w:r>
      <w:r w:rsidR="00C53477" w:rsidRPr="00775D83">
        <w:rPr>
          <w:rFonts w:asciiTheme="majorBidi" w:hAnsiTheme="majorBidi" w:cstheme="majorBidi"/>
          <w:lang w:val="en-US"/>
        </w:rPr>
        <w:t xml:space="preserve">the </w:t>
      </w:r>
      <w:proofErr w:type="spellStart"/>
      <w:r w:rsidR="00C53477" w:rsidRPr="00775D83">
        <w:rPr>
          <w:rFonts w:asciiTheme="majorBidi" w:hAnsiTheme="majorBidi" w:cstheme="majorBidi"/>
          <w:i/>
          <w:iCs/>
          <w:lang w:val="en-US"/>
        </w:rPr>
        <w:t>ṭarīqa</w:t>
      </w:r>
      <w:proofErr w:type="spellEnd"/>
      <w:r w:rsidR="002C4815" w:rsidRPr="00775D83">
        <w:rPr>
          <w:rFonts w:asciiTheme="majorBidi" w:hAnsiTheme="majorBidi" w:cstheme="majorBidi"/>
          <w:lang w:val="en-US"/>
        </w:rPr>
        <w:t xml:space="preserve"> and is</w:t>
      </w:r>
      <w:r w:rsidR="000273F3" w:rsidRPr="00775D83">
        <w:rPr>
          <w:rFonts w:asciiTheme="majorBidi" w:hAnsiTheme="majorBidi" w:cstheme="majorBidi"/>
          <w:lang w:val="en-US"/>
        </w:rPr>
        <w:t xml:space="preserve"> intended for the elite</w:t>
      </w:r>
      <w:r w:rsidR="000273F3" w:rsidRPr="00775D83">
        <w:rPr>
          <w:rFonts w:asciiTheme="majorBidi" w:hAnsiTheme="majorBidi" w:cstheme="majorBidi"/>
          <w:i/>
          <w:iCs/>
          <w:lang w:val="en-US"/>
        </w:rPr>
        <w:t xml:space="preserve"> </w:t>
      </w:r>
      <w:r w:rsidR="000273F3" w:rsidRPr="00775D83">
        <w:rPr>
          <w:rFonts w:asciiTheme="majorBidi" w:hAnsiTheme="majorBidi" w:cstheme="majorBidi"/>
          <w:lang w:val="en-US"/>
        </w:rPr>
        <w:t>(</w:t>
      </w:r>
      <w:proofErr w:type="spellStart"/>
      <w:r w:rsidR="000273F3" w:rsidRPr="00775D83">
        <w:rPr>
          <w:rFonts w:asciiTheme="majorBidi" w:hAnsiTheme="majorBidi" w:cstheme="majorBidi"/>
          <w:i/>
          <w:iCs/>
          <w:lang w:val="en-US"/>
        </w:rPr>
        <w:t>khawāṣ</w:t>
      </w:r>
      <w:proofErr w:type="spellEnd"/>
      <w:r w:rsidR="000273F3" w:rsidRPr="00775D83">
        <w:rPr>
          <w:rFonts w:asciiTheme="majorBidi" w:hAnsiTheme="majorBidi" w:cstheme="majorBidi"/>
          <w:lang w:val="en-US"/>
        </w:rPr>
        <w:t>)</w:t>
      </w:r>
      <w:r w:rsidR="00C53477" w:rsidRPr="00775D83">
        <w:rPr>
          <w:rFonts w:asciiTheme="majorBidi" w:hAnsiTheme="majorBidi" w:cstheme="majorBidi"/>
          <w:lang w:val="en-US"/>
        </w:rPr>
        <w:t>. Although there is no</w:t>
      </w:r>
      <w:r w:rsidR="00894896" w:rsidRPr="00775D83">
        <w:rPr>
          <w:rFonts w:asciiTheme="majorBidi" w:hAnsiTheme="majorBidi" w:cstheme="majorBidi"/>
          <w:lang w:val="en-US"/>
        </w:rPr>
        <w:t xml:space="preserve"> fixed</w:t>
      </w:r>
      <w:r w:rsidR="00C53477" w:rsidRPr="00775D83">
        <w:rPr>
          <w:rFonts w:asciiTheme="majorBidi" w:hAnsiTheme="majorBidi" w:cstheme="majorBidi"/>
          <w:lang w:val="en-US"/>
        </w:rPr>
        <w:t xml:space="preserve"> </w:t>
      </w:r>
      <w:r w:rsidR="00EB36A5" w:rsidRPr="00775D83">
        <w:rPr>
          <w:rFonts w:asciiTheme="majorBidi" w:hAnsiTheme="majorBidi" w:cstheme="majorBidi"/>
          <w:lang w:val="en-US"/>
        </w:rPr>
        <w:t>“</w:t>
      </w:r>
      <w:r w:rsidR="00C53477" w:rsidRPr="00775D83">
        <w:rPr>
          <w:rFonts w:asciiTheme="majorBidi" w:hAnsiTheme="majorBidi" w:cstheme="majorBidi"/>
          <w:lang w:val="en-US"/>
        </w:rPr>
        <w:t>template</w:t>
      </w:r>
      <w:r w:rsidR="00EB36A5" w:rsidRPr="00775D83">
        <w:rPr>
          <w:rFonts w:asciiTheme="majorBidi" w:hAnsiTheme="majorBidi" w:cstheme="majorBidi"/>
          <w:lang w:val="en-US"/>
        </w:rPr>
        <w:t>”</w:t>
      </w:r>
      <w:r w:rsidR="00C53477" w:rsidRPr="00775D83">
        <w:rPr>
          <w:rFonts w:asciiTheme="majorBidi" w:hAnsiTheme="majorBidi" w:cstheme="majorBidi"/>
          <w:lang w:val="en-US"/>
        </w:rPr>
        <w:t xml:space="preserve"> </w:t>
      </w:r>
      <w:r w:rsidR="00894896" w:rsidRPr="00775D83">
        <w:rPr>
          <w:rFonts w:asciiTheme="majorBidi" w:hAnsiTheme="majorBidi" w:cstheme="majorBidi"/>
          <w:lang w:val="en-US"/>
        </w:rPr>
        <w:t xml:space="preserve">for an </w:t>
      </w:r>
      <w:r w:rsidR="00C53477" w:rsidRPr="00775D83">
        <w:rPr>
          <w:rFonts w:asciiTheme="majorBidi" w:hAnsiTheme="majorBidi" w:cstheme="majorBidi"/>
          <w:i/>
          <w:iCs/>
          <w:lang w:val="en-US"/>
        </w:rPr>
        <w:t>ijāza</w:t>
      </w:r>
      <w:r w:rsidR="00C53477" w:rsidRPr="00775D83">
        <w:rPr>
          <w:rFonts w:asciiTheme="majorBidi" w:hAnsiTheme="majorBidi" w:cstheme="majorBidi"/>
          <w:lang w:val="en-US"/>
        </w:rPr>
        <w:t>,</w:t>
      </w:r>
      <w:r w:rsidR="00C53477" w:rsidRPr="00274637">
        <w:rPr>
          <w:rFonts w:asciiTheme="majorBidi" w:hAnsiTheme="majorBidi" w:cstheme="majorBidi"/>
          <w:lang w:val="en-US"/>
        </w:rPr>
        <w:t xml:space="preserve"> it generally includes the following elements: the name of the person granting the </w:t>
      </w:r>
      <w:r w:rsidR="00C53477" w:rsidRPr="00274637">
        <w:rPr>
          <w:rFonts w:asciiTheme="majorBidi" w:hAnsiTheme="majorBidi" w:cstheme="majorBidi"/>
          <w:i/>
          <w:iCs/>
          <w:lang w:val="en-US"/>
        </w:rPr>
        <w:t>ijāza</w:t>
      </w:r>
      <w:r w:rsidR="00C53477" w:rsidRPr="00274637">
        <w:rPr>
          <w:rFonts w:asciiTheme="majorBidi" w:hAnsiTheme="majorBidi" w:cstheme="majorBidi"/>
          <w:lang w:val="en-US"/>
        </w:rPr>
        <w:t>, the name of the beneficiary, the type</w:t>
      </w:r>
      <w:r w:rsidR="00923B7F" w:rsidRPr="00274637">
        <w:rPr>
          <w:rFonts w:asciiTheme="majorBidi" w:hAnsiTheme="majorBidi" w:cstheme="majorBidi"/>
          <w:lang w:val="en-US"/>
        </w:rPr>
        <w:t xml:space="preserve"> of</w:t>
      </w:r>
      <w:r w:rsidR="00C53477" w:rsidRPr="00274637">
        <w:rPr>
          <w:rFonts w:asciiTheme="majorBidi" w:hAnsiTheme="majorBidi" w:cstheme="majorBidi"/>
          <w:lang w:val="en-US"/>
        </w:rPr>
        <w:t xml:space="preserve"> </w:t>
      </w:r>
      <w:r w:rsidR="00C53477" w:rsidRPr="00274637">
        <w:rPr>
          <w:rFonts w:asciiTheme="majorBidi" w:hAnsiTheme="majorBidi" w:cstheme="majorBidi"/>
          <w:i/>
          <w:iCs/>
          <w:lang w:val="en-US"/>
        </w:rPr>
        <w:t>ijāza</w:t>
      </w:r>
      <w:r w:rsidR="00EB36A5" w:rsidRPr="00274637">
        <w:rPr>
          <w:rFonts w:asciiTheme="majorBidi" w:hAnsiTheme="majorBidi" w:cstheme="majorBidi"/>
          <w:lang w:val="en-US"/>
        </w:rPr>
        <w:t>,</w:t>
      </w:r>
      <w:r w:rsidR="00C53477" w:rsidRPr="00274637">
        <w:rPr>
          <w:rFonts w:asciiTheme="majorBidi" w:hAnsiTheme="majorBidi" w:cstheme="majorBidi"/>
          <w:lang w:val="en-US"/>
        </w:rPr>
        <w:t xml:space="preserve"> sometimes the reasons for choosing the beneficiary</w:t>
      </w:r>
      <w:r w:rsidR="00923B7F" w:rsidRPr="00274637">
        <w:rPr>
          <w:rFonts w:asciiTheme="majorBidi" w:hAnsiTheme="majorBidi" w:cstheme="majorBidi"/>
          <w:lang w:val="en-US"/>
        </w:rPr>
        <w:t>,</w:t>
      </w:r>
      <w:r w:rsidR="00C53477" w:rsidRPr="00274637">
        <w:rPr>
          <w:rFonts w:asciiTheme="majorBidi" w:hAnsiTheme="majorBidi" w:cstheme="majorBidi"/>
          <w:lang w:val="en-US"/>
        </w:rPr>
        <w:t xml:space="preserve"> and the details of what can or cannot be done in terms of transmission and teaching. </w:t>
      </w:r>
      <w:r w:rsidR="00CF27CC" w:rsidRPr="00274637">
        <w:rPr>
          <w:rFonts w:asciiTheme="majorBidi" w:hAnsiTheme="majorBidi" w:cstheme="majorBidi"/>
          <w:lang w:val="en-US"/>
        </w:rPr>
        <w:t>Though typically written, an</w:t>
      </w:r>
      <w:r w:rsidR="00C53477" w:rsidRPr="00274637">
        <w:rPr>
          <w:rFonts w:asciiTheme="majorBidi" w:hAnsiTheme="majorBidi" w:cstheme="majorBidi"/>
          <w:lang w:val="en-US"/>
        </w:rPr>
        <w:t xml:space="preserve"> </w:t>
      </w:r>
      <w:r w:rsidR="00C53477" w:rsidRPr="00274637">
        <w:rPr>
          <w:rFonts w:asciiTheme="majorBidi" w:hAnsiTheme="majorBidi" w:cstheme="majorBidi"/>
          <w:i/>
          <w:iCs/>
          <w:lang w:val="en-US"/>
        </w:rPr>
        <w:t>ij</w:t>
      </w:r>
      <w:r w:rsidR="00380C83" w:rsidRPr="00274637">
        <w:rPr>
          <w:rFonts w:asciiTheme="majorBidi" w:hAnsiTheme="majorBidi" w:cstheme="majorBidi"/>
          <w:i/>
          <w:iCs/>
          <w:lang w:val="en-US"/>
        </w:rPr>
        <w:t>ā</w:t>
      </w:r>
      <w:r w:rsidR="00C53477" w:rsidRPr="00274637">
        <w:rPr>
          <w:rFonts w:asciiTheme="majorBidi" w:hAnsiTheme="majorBidi" w:cstheme="majorBidi"/>
          <w:i/>
          <w:iCs/>
          <w:lang w:val="en-US"/>
        </w:rPr>
        <w:t>za</w:t>
      </w:r>
      <w:r w:rsidR="00C53477" w:rsidRPr="00274637">
        <w:rPr>
          <w:rFonts w:asciiTheme="majorBidi" w:hAnsiTheme="majorBidi" w:cstheme="majorBidi"/>
          <w:lang w:val="en-US"/>
        </w:rPr>
        <w:t xml:space="preserve"> can be </w:t>
      </w:r>
      <w:r w:rsidR="00CF27CC" w:rsidRPr="00274637">
        <w:rPr>
          <w:rFonts w:asciiTheme="majorBidi" w:hAnsiTheme="majorBidi" w:cstheme="majorBidi"/>
          <w:lang w:val="en-US"/>
        </w:rPr>
        <w:t xml:space="preserve">transmitted </w:t>
      </w:r>
      <w:r w:rsidR="00C53477" w:rsidRPr="00274637">
        <w:rPr>
          <w:rFonts w:asciiTheme="majorBidi" w:hAnsiTheme="majorBidi" w:cstheme="majorBidi"/>
          <w:lang w:val="en-US"/>
        </w:rPr>
        <w:t>orally too.</w:t>
      </w:r>
    </w:p>
    <w:p w14:paraId="07FC1E4A" w14:textId="79E31DFC" w:rsidR="001E6542" w:rsidRDefault="009E25E2" w:rsidP="00B6527C">
      <w:pPr>
        <w:spacing w:line="360" w:lineRule="auto"/>
        <w:ind w:firstLine="708"/>
        <w:jc w:val="both"/>
        <w:rPr>
          <w:rFonts w:asciiTheme="majorBidi" w:hAnsiTheme="majorBidi" w:cstheme="majorBidi"/>
          <w:lang w:val="en-US"/>
        </w:rPr>
      </w:pPr>
      <w:r w:rsidRPr="009E25E2">
        <w:rPr>
          <w:rFonts w:asciiTheme="majorBidi" w:hAnsiTheme="majorBidi" w:cstheme="majorBidi"/>
          <w:lang w:val="en-US"/>
        </w:rPr>
        <w:t xml:space="preserve">The three documents </w:t>
      </w:r>
      <w:r w:rsidR="00A0077F">
        <w:rPr>
          <w:rFonts w:asciiTheme="majorBidi" w:hAnsiTheme="majorBidi" w:cstheme="majorBidi"/>
          <w:lang w:val="en-US"/>
        </w:rPr>
        <w:t>presented here</w:t>
      </w:r>
      <w:r w:rsidR="007E24A5">
        <w:rPr>
          <w:rStyle w:val="FootnoteReference"/>
          <w:rFonts w:asciiTheme="majorBidi" w:hAnsiTheme="majorBidi" w:cstheme="majorBidi"/>
          <w:lang w:val="en-US"/>
        </w:rPr>
        <w:footnoteReference w:id="5"/>
      </w:r>
      <w:r w:rsidR="00A0077F">
        <w:rPr>
          <w:rFonts w:asciiTheme="majorBidi" w:hAnsiTheme="majorBidi" w:cstheme="majorBidi"/>
          <w:lang w:val="en-US"/>
        </w:rPr>
        <w:t xml:space="preserve"> </w:t>
      </w:r>
      <w:r w:rsidR="00380C83">
        <w:rPr>
          <w:rFonts w:asciiTheme="majorBidi" w:hAnsiTheme="majorBidi" w:cstheme="majorBidi"/>
          <w:lang w:val="en-US"/>
        </w:rPr>
        <w:t>are</w:t>
      </w:r>
      <w:r w:rsidRPr="009E25E2">
        <w:rPr>
          <w:rFonts w:asciiTheme="majorBidi" w:hAnsiTheme="majorBidi" w:cstheme="majorBidi"/>
          <w:lang w:val="en-US"/>
        </w:rPr>
        <w:t xml:space="preserve"> examples of </w:t>
      </w:r>
      <w:r w:rsidRPr="00A0077F">
        <w:rPr>
          <w:rFonts w:asciiTheme="majorBidi" w:hAnsiTheme="majorBidi" w:cstheme="majorBidi"/>
          <w:i/>
          <w:iCs/>
          <w:lang w:val="en-US"/>
        </w:rPr>
        <w:t>ijāza</w:t>
      </w:r>
      <w:r w:rsidR="00BE7E7D">
        <w:rPr>
          <w:rFonts w:asciiTheme="majorBidi" w:hAnsiTheme="majorBidi" w:cstheme="majorBidi"/>
          <w:i/>
          <w:iCs/>
          <w:lang w:val="en-US"/>
        </w:rPr>
        <w:t>s</w:t>
      </w:r>
      <w:r w:rsidRPr="009E25E2">
        <w:rPr>
          <w:rFonts w:asciiTheme="majorBidi" w:hAnsiTheme="majorBidi" w:cstheme="majorBidi"/>
          <w:lang w:val="en-US"/>
        </w:rPr>
        <w:t xml:space="preserve"> </w:t>
      </w:r>
      <w:r w:rsidR="00A0077F">
        <w:rPr>
          <w:rFonts w:asciiTheme="majorBidi" w:hAnsiTheme="majorBidi" w:cstheme="majorBidi"/>
          <w:lang w:val="en-US"/>
        </w:rPr>
        <w:t>of the</w:t>
      </w:r>
      <w:r w:rsidRPr="009E25E2">
        <w:rPr>
          <w:rFonts w:asciiTheme="majorBidi" w:hAnsiTheme="majorBidi" w:cstheme="majorBidi"/>
          <w:lang w:val="en-US"/>
        </w:rPr>
        <w:t xml:space="preserve"> Qādiriyya, one of the most important </w:t>
      </w:r>
      <w:r w:rsidR="00A0077F">
        <w:rPr>
          <w:rFonts w:asciiTheme="majorBidi" w:hAnsiTheme="majorBidi" w:cstheme="majorBidi"/>
          <w:lang w:val="en-US"/>
        </w:rPr>
        <w:t>Sufi</w:t>
      </w:r>
      <w:r w:rsidRPr="009E25E2">
        <w:rPr>
          <w:rFonts w:asciiTheme="majorBidi" w:hAnsiTheme="majorBidi" w:cstheme="majorBidi"/>
          <w:lang w:val="en-US"/>
        </w:rPr>
        <w:t xml:space="preserve"> brotherhoods in the Muslim world</w:t>
      </w:r>
      <w:r w:rsidR="00F5486C">
        <w:rPr>
          <w:rFonts w:asciiTheme="majorBidi" w:hAnsiTheme="majorBidi" w:cstheme="majorBidi"/>
          <w:lang w:val="en-US"/>
        </w:rPr>
        <w:t xml:space="preserve">. </w:t>
      </w:r>
      <w:r w:rsidR="001E6542">
        <w:rPr>
          <w:rFonts w:asciiTheme="majorBidi" w:hAnsiTheme="majorBidi" w:cstheme="majorBidi"/>
          <w:lang w:val="en-US"/>
        </w:rPr>
        <w:t xml:space="preserve">The Qādiriyya is among the oldest Sufi brotherhoods in Islamic history and traces its origins to </w:t>
      </w:r>
      <w:r w:rsidR="00B6527C">
        <w:rPr>
          <w:rFonts w:asciiTheme="majorBidi" w:hAnsiTheme="majorBidi" w:cstheme="majorBidi"/>
          <w:lang w:val="en-US"/>
        </w:rPr>
        <w:t xml:space="preserve">a Sufi scholar of twelfth-century Baghdad, </w:t>
      </w:r>
      <w:proofErr w:type="spellStart"/>
      <w:r w:rsidR="008E2207">
        <w:rPr>
          <w:rFonts w:asciiTheme="majorBidi" w:hAnsiTheme="majorBidi" w:cstheme="majorBidi"/>
          <w:lang w:val="en-US"/>
        </w:rPr>
        <w:t>ʿ</w:t>
      </w:r>
      <w:r w:rsidR="00B6527C">
        <w:rPr>
          <w:rFonts w:asciiTheme="majorBidi" w:hAnsiTheme="majorBidi" w:cstheme="majorBidi"/>
          <w:lang w:val="en-US"/>
        </w:rPr>
        <w:t>Abd</w:t>
      </w:r>
      <w:proofErr w:type="spellEnd"/>
      <w:r w:rsidR="00B6527C">
        <w:rPr>
          <w:rFonts w:asciiTheme="majorBidi" w:hAnsiTheme="majorBidi" w:cstheme="majorBidi"/>
          <w:lang w:val="en-US"/>
        </w:rPr>
        <w:t xml:space="preserve"> al-</w:t>
      </w:r>
      <w:proofErr w:type="spellStart"/>
      <w:r w:rsidR="00B6527C">
        <w:rPr>
          <w:rFonts w:asciiTheme="majorBidi" w:hAnsiTheme="majorBidi" w:cstheme="majorBidi"/>
          <w:lang w:val="en-US"/>
        </w:rPr>
        <w:t>Qādir</w:t>
      </w:r>
      <w:proofErr w:type="spellEnd"/>
      <w:r w:rsidR="00B6527C">
        <w:rPr>
          <w:rFonts w:asciiTheme="majorBidi" w:hAnsiTheme="majorBidi" w:cstheme="majorBidi"/>
          <w:lang w:val="en-US"/>
        </w:rPr>
        <w:t xml:space="preserve"> al-</w:t>
      </w:r>
      <w:proofErr w:type="spellStart"/>
      <w:r w:rsidR="00B6527C">
        <w:rPr>
          <w:rFonts w:asciiTheme="majorBidi" w:hAnsiTheme="majorBidi" w:cstheme="majorBidi"/>
          <w:lang w:val="en-US"/>
        </w:rPr>
        <w:t>Jilānī</w:t>
      </w:r>
      <w:proofErr w:type="spellEnd"/>
      <w:r w:rsidR="00B6527C">
        <w:rPr>
          <w:rFonts w:asciiTheme="majorBidi" w:hAnsiTheme="majorBidi" w:cstheme="majorBidi"/>
          <w:lang w:val="en-US"/>
        </w:rPr>
        <w:t xml:space="preserve"> (d. 1166). After having spread in North Africa at an early stage, the Qādiriyya found its way into </w:t>
      </w:r>
      <w:r w:rsidR="00B26AFB">
        <w:rPr>
          <w:rFonts w:asciiTheme="majorBidi" w:hAnsiTheme="majorBidi" w:cstheme="majorBidi"/>
          <w:lang w:val="en-US"/>
        </w:rPr>
        <w:t>w</w:t>
      </w:r>
      <w:r w:rsidR="00B6527C">
        <w:rPr>
          <w:rFonts w:asciiTheme="majorBidi" w:hAnsiTheme="majorBidi" w:cstheme="majorBidi"/>
          <w:lang w:val="en-US"/>
        </w:rPr>
        <w:t>estern Africa.</w:t>
      </w:r>
      <w:r w:rsidR="00965748">
        <w:rPr>
          <w:rStyle w:val="FootnoteReference"/>
          <w:rFonts w:asciiTheme="majorBidi" w:hAnsiTheme="majorBidi" w:cstheme="majorBidi"/>
          <w:lang w:val="en-US"/>
        </w:rPr>
        <w:footnoteReference w:id="6"/>
      </w:r>
      <w:r w:rsidR="00B6527C">
        <w:rPr>
          <w:rFonts w:asciiTheme="majorBidi" w:hAnsiTheme="majorBidi" w:cstheme="majorBidi"/>
          <w:lang w:val="en-US"/>
        </w:rPr>
        <w:t xml:space="preserve"> T</w:t>
      </w:r>
      <w:r w:rsidR="00B6527C" w:rsidRPr="00B6527C">
        <w:rPr>
          <w:rFonts w:asciiTheme="majorBidi" w:hAnsiTheme="majorBidi" w:cstheme="majorBidi"/>
          <w:lang w:val="en-US"/>
        </w:rPr>
        <w:t xml:space="preserve">raditions that </w:t>
      </w:r>
      <w:r w:rsidR="00B6527C">
        <w:rPr>
          <w:rFonts w:asciiTheme="majorBidi" w:hAnsiTheme="majorBidi" w:cstheme="majorBidi"/>
          <w:lang w:val="en-US"/>
        </w:rPr>
        <w:t>date</w:t>
      </w:r>
      <w:r w:rsidR="00B6527C" w:rsidRPr="00B6527C">
        <w:rPr>
          <w:rFonts w:asciiTheme="majorBidi" w:hAnsiTheme="majorBidi" w:cstheme="majorBidi"/>
          <w:lang w:val="en-US"/>
        </w:rPr>
        <w:t xml:space="preserve"> the spread of the Qādiriyya </w:t>
      </w:r>
      <w:r w:rsidR="00B6527C">
        <w:rPr>
          <w:rFonts w:asciiTheme="majorBidi" w:hAnsiTheme="majorBidi" w:cstheme="majorBidi"/>
          <w:lang w:val="en-US"/>
        </w:rPr>
        <w:t>to the sixteenth century are likely spurious.</w:t>
      </w:r>
      <w:r w:rsidR="00B6527C">
        <w:rPr>
          <w:rStyle w:val="FootnoteReference"/>
          <w:rFonts w:asciiTheme="majorBidi" w:hAnsiTheme="majorBidi" w:cstheme="majorBidi"/>
          <w:lang w:val="en-US"/>
        </w:rPr>
        <w:footnoteReference w:id="7"/>
      </w:r>
      <w:r w:rsidR="00B6527C">
        <w:rPr>
          <w:rFonts w:asciiTheme="majorBidi" w:hAnsiTheme="majorBidi" w:cstheme="majorBidi"/>
          <w:lang w:val="en-US"/>
        </w:rPr>
        <w:t xml:space="preserve"> However, by the late eighteenth century the brotherhood started spreading in the region thanks to the peripatetic teaching of the</w:t>
      </w:r>
      <w:r w:rsidR="00B6527C" w:rsidRPr="00B6527C">
        <w:rPr>
          <w:rFonts w:asciiTheme="majorBidi" w:hAnsiTheme="majorBidi" w:cstheme="majorBidi"/>
          <w:lang w:val="en-US"/>
        </w:rPr>
        <w:t xml:space="preserve"> foremost scholar </w:t>
      </w:r>
      <w:r w:rsidR="00B6527C">
        <w:rPr>
          <w:rFonts w:asciiTheme="majorBidi" w:hAnsiTheme="majorBidi" w:cstheme="majorBidi"/>
          <w:lang w:val="en-US"/>
        </w:rPr>
        <w:t xml:space="preserve">of the </w:t>
      </w:r>
      <w:proofErr w:type="spellStart"/>
      <w:r w:rsidR="00B6527C">
        <w:rPr>
          <w:rFonts w:asciiTheme="majorBidi" w:hAnsiTheme="majorBidi" w:cstheme="majorBidi"/>
          <w:lang w:val="en-US"/>
        </w:rPr>
        <w:t>Arabophone</w:t>
      </w:r>
      <w:proofErr w:type="spellEnd"/>
      <w:r w:rsidR="00B6527C">
        <w:rPr>
          <w:rFonts w:asciiTheme="majorBidi" w:hAnsiTheme="majorBidi" w:cstheme="majorBidi"/>
          <w:lang w:val="en-US"/>
        </w:rPr>
        <w:t xml:space="preserve"> Kunta clan of the Saharan West, </w:t>
      </w:r>
      <w:r w:rsidR="00B6527C" w:rsidRPr="00B6527C">
        <w:rPr>
          <w:rFonts w:asciiTheme="majorBidi" w:hAnsiTheme="majorBidi" w:cstheme="majorBidi"/>
          <w:lang w:val="en-US"/>
        </w:rPr>
        <w:t>al-Mukht</w:t>
      </w:r>
      <w:r w:rsidR="009F4A4B">
        <w:rPr>
          <w:rFonts w:asciiTheme="majorBidi" w:hAnsiTheme="majorBidi" w:cstheme="majorBidi"/>
          <w:lang w:val="en-US"/>
        </w:rPr>
        <w:t>ā</w:t>
      </w:r>
      <w:r w:rsidR="00B6527C" w:rsidRPr="00B6527C">
        <w:rPr>
          <w:rFonts w:asciiTheme="majorBidi" w:hAnsiTheme="majorBidi" w:cstheme="majorBidi"/>
          <w:lang w:val="en-US"/>
        </w:rPr>
        <w:t>r al-Kabīr</w:t>
      </w:r>
      <w:r w:rsidR="00B6527C">
        <w:rPr>
          <w:rFonts w:asciiTheme="majorBidi" w:hAnsiTheme="majorBidi" w:cstheme="majorBidi"/>
          <w:lang w:val="en-US"/>
        </w:rPr>
        <w:t xml:space="preserve"> (d. 1811).</w:t>
      </w:r>
      <w:r w:rsidR="00965748">
        <w:rPr>
          <w:rStyle w:val="FootnoteReference"/>
          <w:rFonts w:asciiTheme="majorBidi" w:hAnsiTheme="majorBidi" w:cstheme="majorBidi"/>
          <w:lang w:val="en-US"/>
        </w:rPr>
        <w:footnoteReference w:id="8"/>
      </w:r>
      <w:r w:rsidR="00B6527C">
        <w:rPr>
          <w:rFonts w:asciiTheme="majorBidi" w:hAnsiTheme="majorBidi" w:cstheme="majorBidi"/>
          <w:lang w:val="en-US"/>
        </w:rPr>
        <w:t xml:space="preserve"> Al-Mukhtār al-Kabīr </w:t>
      </w:r>
      <w:r w:rsidR="00B6527C" w:rsidRPr="00B6527C">
        <w:rPr>
          <w:rFonts w:asciiTheme="majorBidi" w:hAnsiTheme="majorBidi" w:cstheme="majorBidi"/>
          <w:lang w:val="en-US"/>
        </w:rPr>
        <w:t>reformulated</w:t>
      </w:r>
      <w:r w:rsidR="00B6527C">
        <w:rPr>
          <w:rFonts w:asciiTheme="majorBidi" w:hAnsiTheme="majorBidi" w:cstheme="majorBidi"/>
          <w:lang w:val="en-US"/>
        </w:rPr>
        <w:t xml:space="preserve"> the brotherhood </w:t>
      </w:r>
      <w:r w:rsidR="00B6527C" w:rsidRPr="00B6527C">
        <w:rPr>
          <w:rFonts w:asciiTheme="majorBidi" w:hAnsiTheme="majorBidi" w:cstheme="majorBidi"/>
          <w:lang w:val="en-US"/>
        </w:rPr>
        <w:t xml:space="preserve">and became responsible for the unprecedented spread of the Qādiriyya in </w:t>
      </w:r>
      <w:r w:rsidR="00265B0F">
        <w:rPr>
          <w:rFonts w:asciiTheme="majorBidi" w:hAnsiTheme="majorBidi" w:cstheme="majorBidi"/>
          <w:lang w:val="en-US"/>
        </w:rPr>
        <w:t>w</w:t>
      </w:r>
      <w:r w:rsidR="00B6527C" w:rsidRPr="00B6527C">
        <w:rPr>
          <w:rFonts w:asciiTheme="majorBidi" w:hAnsiTheme="majorBidi" w:cstheme="majorBidi"/>
          <w:lang w:val="en-US"/>
        </w:rPr>
        <w:t>est</w:t>
      </w:r>
      <w:r w:rsidR="00B6527C">
        <w:rPr>
          <w:rFonts w:asciiTheme="majorBidi" w:hAnsiTheme="majorBidi" w:cstheme="majorBidi"/>
          <w:lang w:val="en-US"/>
        </w:rPr>
        <w:t>ern</w:t>
      </w:r>
      <w:r w:rsidR="00B6527C" w:rsidRPr="00B6527C">
        <w:rPr>
          <w:rFonts w:asciiTheme="majorBidi" w:hAnsiTheme="majorBidi" w:cstheme="majorBidi"/>
          <w:lang w:val="en-US"/>
        </w:rPr>
        <w:t xml:space="preserve"> Africa</w:t>
      </w:r>
      <w:r w:rsidR="00B6527C">
        <w:rPr>
          <w:rFonts w:asciiTheme="majorBidi" w:hAnsiTheme="majorBidi" w:cstheme="majorBidi"/>
          <w:lang w:val="en-US"/>
        </w:rPr>
        <w:t xml:space="preserve">. </w:t>
      </w:r>
    </w:p>
    <w:p w14:paraId="36757AB2" w14:textId="43299B66" w:rsidR="00B847CA" w:rsidRDefault="008328EA" w:rsidP="00B6527C">
      <w:pPr>
        <w:spacing w:line="360" w:lineRule="auto"/>
        <w:ind w:firstLine="708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These </w:t>
      </w:r>
      <w:r w:rsidRPr="00A0077F">
        <w:rPr>
          <w:rFonts w:asciiTheme="majorBidi" w:hAnsiTheme="majorBidi" w:cstheme="majorBidi"/>
          <w:i/>
          <w:iCs/>
          <w:lang w:val="en-US"/>
        </w:rPr>
        <w:t>ijāza</w:t>
      </w:r>
      <w:r>
        <w:rPr>
          <w:rFonts w:asciiTheme="majorBidi" w:hAnsiTheme="majorBidi" w:cstheme="majorBidi"/>
          <w:i/>
          <w:iCs/>
          <w:lang w:val="en-US"/>
        </w:rPr>
        <w:t>s</w:t>
      </w:r>
      <w:r>
        <w:rPr>
          <w:rFonts w:asciiTheme="majorBidi" w:hAnsiTheme="majorBidi" w:cstheme="majorBidi"/>
          <w:lang w:val="en-US"/>
        </w:rPr>
        <w:t xml:space="preserve"> belonged to an influential Muslim scholar of the Saharan West, Shaykh </w:t>
      </w:r>
      <w:proofErr w:type="spellStart"/>
      <w:r>
        <w:rPr>
          <w:rFonts w:asciiTheme="majorBidi" w:hAnsiTheme="majorBidi" w:cstheme="majorBidi"/>
          <w:lang w:val="en-US"/>
        </w:rPr>
        <w:t>Sīdiyyā</w:t>
      </w:r>
      <w:proofErr w:type="spellEnd"/>
      <w:r>
        <w:rPr>
          <w:rFonts w:asciiTheme="majorBidi" w:hAnsiTheme="majorBidi" w:cstheme="majorBidi"/>
          <w:lang w:val="en-US"/>
        </w:rPr>
        <w:t xml:space="preserve"> (d. 1868).</w:t>
      </w:r>
      <w:r>
        <w:rPr>
          <w:rStyle w:val="FootnoteReference"/>
          <w:rFonts w:asciiTheme="majorBidi" w:hAnsiTheme="majorBidi" w:cstheme="majorBidi"/>
          <w:lang w:val="en-US"/>
        </w:rPr>
        <w:footnoteReference w:id="9"/>
      </w:r>
      <w:r>
        <w:rPr>
          <w:rFonts w:asciiTheme="majorBidi" w:hAnsiTheme="majorBidi" w:cstheme="majorBidi"/>
          <w:lang w:val="en-US"/>
        </w:rPr>
        <w:t xml:space="preserve">  He was a</w:t>
      </w:r>
      <w:r w:rsidR="00B6527C">
        <w:rPr>
          <w:rFonts w:asciiTheme="majorBidi" w:hAnsiTheme="majorBidi" w:cstheme="majorBidi"/>
          <w:lang w:val="en-US"/>
        </w:rPr>
        <w:t xml:space="preserve">mong the disciples of al-Mukhtār al-Kabīr, a member of the </w:t>
      </w:r>
      <w:proofErr w:type="spellStart"/>
      <w:r w:rsidR="00B6527C">
        <w:rPr>
          <w:rFonts w:asciiTheme="majorBidi" w:hAnsiTheme="majorBidi" w:cstheme="majorBidi"/>
          <w:lang w:val="en-US"/>
        </w:rPr>
        <w:t>Awl</w:t>
      </w:r>
      <w:r w:rsidR="007D24FE">
        <w:rPr>
          <w:rFonts w:asciiTheme="majorBidi" w:hAnsiTheme="majorBidi" w:cstheme="majorBidi"/>
          <w:lang w:val="en-US"/>
        </w:rPr>
        <w:t>ā</w:t>
      </w:r>
      <w:r w:rsidR="00B6527C">
        <w:rPr>
          <w:rFonts w:asciiTheme="majorBidi" w:hAnsiTheme="majorBidi" w:cstheme="majorBidi"/>
          <w:lang w:val="en-US"/>
        </w:rPr>
        <w:t>d</w:t>
      </w:r>
      <w:proofErr w:type="spellEnd"/>
      <w:r w:rsidR="00B6527C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E6457">
        <w:rPr>
          <w:rFonts w:asciiTheme="majorBidi" w:hAnsiTheme="majorBidi" w:cstheme="majorBidi"/>
          <w:lang w:val="en-US"/>
        </w:rPr>
        <w:t>Aby</w:t>
      </w:r>
      <w:r w:rsidR="006F1A59">
        <w:rPr>
          <w:rFonts w:asciiTheme="majorBidi" w:hAnsiTheme="majorBidi" w:cstheme="majorBidi"/>
          <w:lang w:val="en-US" w:bidi="ar-EG"/>
        </w:rPr>
        <w:t>a</w:t>
      </w:r>
      <w:r w:rsidR="0028553F">
        <w:rPr>
          <w:rFonts w:asciiTheme="majorBidi" w:hAnsiTheme="majorBidi" w:cstheme="majorBidi"/>
          <w:lang w:val="en-US" w:bidi="ar-EG"/>
        </w:rPr>
        <w:t>yr</w:t>
      </w:r>
      <w:r w:rsidR="009C7CAA">
        <w:rPr>
          <w:rFonts w:asciiTheme="majorBidi" w:hAnsiTheme="majorBidi" w:cstheme="majorBidi"/>
          <w:lang w:val="en-US" w:bidi="ar-EG"/>
        </w:rPr>
        <w:t>ī</w:t>
      </w:r>
      <w:proofErr w:type="spellEnd"/>
      <w:r w:rsidR="00B6527C">
        <w:rPr>
          <w:rFonts w:asciiTheme="majorBidi" w:hAnsiTheme="majorBidi" w:cstheme="majorBidi"/>
          <w:lang w:val="en-US"/>
        </w:rPr>
        <w:t xml:space="preserve"> tribe</w:t>
      </w:r>
      <w:r w:rsidR="009B5DF2">
        <w:rPr>
          <w:rFonts w:asciiTheme="majorBidi" w:hAnsiTheme="majorBidi" w:cstheme="majorBidi"/>
          <w:lang w:val="en-US"/>
        </w:rPr>
        <w:t xml:space="preserve"> from the northern shore of the middle course of the Senegal </w:t>
      </w:r>
      <w:r w:rsidR="00EB36A5">
        <w:rPr>
          <w:rFonts w:asciiTheme="majorBidi" w:hAnsiTheme="majorBidi" w:cstheme="majorBidi"/>
          <w:lang w:val="en-US"/>
        </w:rPr>
        <w:t xml:space="preserve">River </w:t>
      </w:r>
      <w:r w:rsidR="003C02A9">
        <w:rPr>
          <w:rFonts w:asciiTheme="majorBidi" w:hAnsiTheme="majorBidi" w:cstheme="majorBidi"/>
          <w:lang w:val="en-US"/>
        </w:rPr>
        <w:t>i</w:t>
      </w:r>
      <w:r w:rsidR="009B5DF2">
        <w:rPr>
          <w:rFonts w:asciiTheme="majorBidi" w:hAnsiTheme="majorBidi" w:cstheme="majorBidi"/>
          <w:lang w:val="en-US"/>
        </w:rPr>
        <w:t xml:space="preserve">n what is today’s Mauritania. </w:t>
      </w:r>
      <w:r w:rsidR="0053519C">
        <w:rPr>
          <w:rFonts w:asciiTheme="majorBidi" w:hAnsiTheme="majorBidi" w:cstheme="majorBidi"/>
          <w:lang w:val="en-US"/>
        </w:rPr>
        <w:t xml:space="preserve">Born in 1775, </w:t>
      </w:r>
      <w:r w:rsidR="00793804">
        <w:rPr>
          <w:rFonts w:asciiTheme="majorBidi" w:hAnsiTheme="majorBidi" w:cstheme="majorBidi"/>
          <w:lang w:val="en-US"/>
        </w:rPr>
        <w:t>he</w:t>
      </w:r>
      <w:r w:rsidR="009312D9">
        <w:rPr>
          <w:rFonts w:asciiTheme="majorBidi" w:hAnsiTheme="majorBidi" w:cstheme="majorBidi"/>
          <w:lang w:val="en-US"/>
        </w:rPr>
        <w:t xml:space="preserve"> completed his study of the </w:t>
      </w:r>
      <w:proofErr w:type="spellStart"/>
      <w:r w:rsidR="009312D9">
        <w:rPr>
          <w:rFonts w:asciiTheme="majorBidi" w:hAnsiTheme="majorBidi" w:cstheme="majorBidi"/>
          <w:lang w:val="en-US"/>
        </w:rPr>
        <w:t>Qur</w:t>
      </w:r>
      <w:r w:rsidR="009C7CAA">
        <w:rPr>
          <w:rFonts w:asciiTheme="majorBidi" w:hAnsiTheme="majorBidi" w:cstheme="majorBidi"/>
          <w:lang w:val="en-US"/>
        </w:rPr>
        <w:t>ʾ</w:t>
      </w:r>
      <w:r w:rsidR="008E5CD0">
        <w:rPr>
          <w:rFonts w:asciiTheme="majorBidi" w:hAnsiTheme="majorBidi" w:cstheme="majorBidi"/>
          <w:lang w:val="en-US"/>
        </w:rPr>
        <w:t>a</w:t>
      </w:r>
      <w:r w:rsidR="009312D9">
        <w:rPr>
          <w:rFonts w:asciiTheme="majorBidi" w:hAnsiTheme="majorBidi" w:cstheme="majorBidi"/>
          <w:lang w:val="en-US"/>
        </w:rPr>
        <w:t>n</w:t>
      </w:r>
      <w:proofErr w:type="spellEnd"/>
      <w:r w:rsidR="009312D9">
        <w:rPr>
          <w:rFonts w:asciiTheme="majorBidi" w:hAnsiTheme="majorBidi" w:cstheme="majorBidi"/>
          <w:lang w:val="en-US"/>
        </w:rPr>
        <w:t xml:space="preserve"> at the early age of thirteen with his mother</w:t>
      </w:r>
      <w:r w:rsidR="00793804">
        <w:rPr>
          <w:rFonts w:asciiTheme="majorBidi" w:hAnsiTheme="majorBidi" w:cstheme="majorBidi"/>
          <w:lang w:val="en-US"/>
        </w:rPr>
        <w:t>,</w:t>
      </w:r>
      <w:r w:rsidR="009312D9">
        <w:rPr>
          <w:rFonts w:asciiTheme="majorBidi" w:hAnsiTheme="majorBidi" w:cstheme="majorBidi"/>
          <w:lang w:val="en-US"/>
        </w:rPr>
        <w:t xml:space="preserve"> Maryama Barka</w:t>
      </w:r>
      <w:r w:rsidR="00793804">
        <w:rPr>
          <w:rFonts w:asciiTheme="majorBidi" w:hAnsiTheme="majorBidi" w:cstheme="majorBidi"/>
          <w:lang w:val="en-US"/>
        </w:rPr>
        <w:t>.</w:t>
      </w:r>
      <w:r w:rsidR="00BF0A00">
        <w:rPr>
          <w:rFonts w:asciiTheme="majorBidi" w:hAnsiTheme="majorBidi" w:cstheme="majorBidi"/>
          <w:lang w:val="en-US"/>
        </w:rPr>
        <w:t xml:space="preserve"> He then </w:t>
      </w:r>
      <w:r w:rsidR="00B03C7B">
        <w:rPr>
          <w:rFonts w:asciiTheme="majorBidi" w:hAnsiTheme="majorBidi" w:cstheme="majorBidi"/>
          <w:lang w:val="en-US"/>
        </w:rPr>
        <w:t xml:space="preserve">left his tribe to study with a famous teacher of the </w:t>
      </w:r>
      <w:proofErr w:type="spellStart"/>
      <w:r w:rsidR="00B03C7B">
        <w:rPr>
          <w:rFonts w:asciiTheme="majorBidi" w:hAnsiTheme="majorBidi" w:cstheme="majorBidi"/>
          <w:lang w:val="en-US"/>
        </w:rPr>
        <w:t>Idaw</w:t>
      </w:r>
      <w:proofErr w:type="spellEnd"/>
      <w:r w:rsidR="00B03C7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4752E">
        <w:rPr>
          <w:rFonts w:asciiTheme="majorBidi" w:hAnsiTheme="majorBidi" w:cstheme="majorBidi"/>
          <w:lang w:val="en-US"/>
        </w:rPr>
        <w:t>ʿ</w:t>
      </w:r>
      <w:r w:rsidR="00B03C7B">
        <w:rPr>
          <w:rFonts w:asciiTheme="majorBidi" w:hAnsiTheme="majorBidi" w:cstheme="majorBidi"/>
          <w:lang w:val="en-US"/>
        </w:rPr>
        <w:t>Alī</w:t>
      </w:r>
      <w:proofErr w:type="spellEnd"/>
      <w:r w:rsidR="00B03C7B">
        <w:rPr>
          <w:rFonts w:asciiTheme="majorBidi" w:hAnsiTheme="majorBidi" w:cstheme="majorBidi"/>
          <w:lang w:val="en-US"/>
        </w:rPr>
        <w:t xml:space="preserve"> named </w:t>
      </w:r>
      <w:proofErr w:type="spellStart"/>
      <w:r w:rsidR="00B03C7B">
        <w:rPr>
          <w:rFonts w:asciiTheme="majorBidi" w:hAnsiTheme="majorBidi" w:cstheme="majorBidi"/>
          <w:lang w:val="en-US"/>
        </w:rPr>
        <w:t>Ḥurma</w:t>
      </w:r>
      <w:proofErr w:type="spellEnd"/>
      <w:r w:rsidR="00B03C7B">
        <w:rPr>
          <w:rFonts w:asciiTheme="majorBidi" w:hAnsiTheme="majorBidi" w:cstheme="majorBidi"/>
          <w:lang w:val="en-US"/>
        </w:rPr>
        <w:t xml:space="preserve"> </w:t>
      </w:r>
      <w:r w:rsidR="00A66578">
        <w:rPr>
          <w:rFonts w:asciiTheme="majorBidi" w:hAnsiTheme="majorBidi" w:cstheme="majorBidi"/>
          <w:lang w:val="en-US"/>
        </w:rPr>
        <w:t>b.</w:t>
      </w:r>
      <w:r w:rsidR="00B03C7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4752E">
        <w:rPr>
          <w:rFonts w:asciiTheme="majorBidi" w:hAnsiTheme="majorBidi" w:cstheme="majorBidi"/>
          <w:lang w:val="en-US"/>
        </w:rPr>
        <w:t>ʿ</w:t>
      </w:r>
      <w:r w:rsidR="00B03C7B">
        <w:rPr>
          <w:rFonts w:asciiTheme="majorBidi" w:hAnsiTheme="majorBidi" w:cstheme="majorBidi"/>
          <w:lang w:val="en-US"/>
        </w:rPr>
        <w:t>Abd</w:t>
      </w:r>
      <w:proofErr w:type="spellEnd"/>
      <w:r w:rsidR="00B03C7B">
        <w:rPr>
          <w:rFonts w:asciiTheme="majorBidi" w:hAnsiTheme="majorBidi" w:cstheme="majorBidi"/>
          <w:lang w:val="en-US"/>
        </w:rPr>
        <w:t xml:space="preserve"> al-</w:t>
      </w:r>
      <w:proofErr w:type="spellStart"/>
      <w:r w:rsidR="00B03C7B">
        <w:rPr>
          <w:rFonts w:asciiTheme="majorBidi" w:hAnsiTheme="majorBidi" w:cstheme="majorBidi"/>
          <w:lang w:val="en-US"/>
        </w:rPr>
        <w:t>Jalīl</w:t>
      </w:r>
      <w:proofErr w:type="spellEnd"/>
      <w:r w:rsidR="00B03C7B">
        <w:rPr>
          <w:rFonts w:asciiTheme="majorBidi" w:hAnsiTheme="majorBidi" w:cstheme="majorBidi"/>
          <w:lang w:val="en-US"/>
        </w:rPr>
        <w:t xml:space="preserve"> al-</w:t>
      </w:r>
      <w:proofErr w:type="spellStart"/>
      <w:r w:rsidR="00A66578">
        <w:rPr>
          <w:rFonts w:asciiTheme="majorBidi" w:hAnsiTheme="majorBidi" w:cstheme="majorBidi"/>
          <w:lang w:val="en-US"/>
        </w:rPr>
        <w:t>ʿ</w:t>
      </w:r>
      <w:r w:rsidR="00B03C7B">
        <w:rPr>
          <w:rFonts w:asciiTheme="majorBidi" w:hAnsiTheme="majorBidi" w:cstheme="majorBidi"/>
          <w:lang w:val="en-US"/>
        </w:rPr>
        <w:t>Alawī</w:t>
      </w:r>
      <w:proofErr w:type="spellEnd"/>
      <w:r w:rsidR="00B03C7B">
        <w:rPr>
          <w:rFonts w:asciiTheme="majorBidi" w:hAnsiTheme="majorBidi" w:cstheme="majorBidi"/>
          <w:lang w:val="en-US"/>
        </w:rPr>
        <w:t>. He spent seventeen years with this teacher, becoming an accomplished scholar and</w:t>
      </w:r>
      <w:r w:rsidR="0053519C">
        <w:rPr>
          <w:rFonts w:asciiTheme="majorBidi" w:hAnsiTheme="majorBidi" w:cstheme="majorBidi"/>
          <w:lang w:val="en-US"/>
        </w:rPr>
        <w:t xml:space="preserve"> </w:t>
      </w:r>
      <w:r w:rsidR="00B03C7B">
        <w:rPr>
          <w:rFonts w:asciiTheme="majorBidi" w:hAnsiTheme="majorBidi" w:cstheme="majorBidi"/>
          <w:lang w:val="en-US"/>
        </w:rPr>
        <w:t>authoring his first work, a commentary on</w:t>
      </w:r>
      <w:r w:rsidR="0053519C">
        <w:rPr>
          <w:rFonts w:asciiTheme="majorBidi" w:hAnsiTheme="majorBidi" w:cstheme="majorBidi"/>
          <w:lang w:val="en-US"/>
        </w:rPr>
        <w:t xml:space="preserve"> the didactic poem on grammar by</w:t>
      </w:r>
      <w:r w:rsidR="00B03C7B">
        <w:rPr>
          <w:rFonts w:asciiTheme="majorBidi" w:hAnsiTheme="majorBidi" w:cstheme="majorBidi"/>
          <w:lang w:val="en-US"/>
        </w:rPr>
        <w:t xml:space="preserve"> Ibn </w:t>
      </w:r>
      <w:proofErr w:type="spellStart"/>
      <w:r w:rsidR="00B03C7B">
        <w:rPr>
          <w:rFonts w:asciiTheme="majorBidi" w:hAnsiTheme="majorBidi" w:cstheme="majorBidi"/>
          <w:lang w:val="en-US"/>
        </w:rPr>
        <w:t>Durayd</w:t>
      </w:r>
      <w:proofErr w:type="spellEnd"/>
      <w:r w:rsidR="0053519C">
        <w:rPr>
          <w:rFonts w:asciiTheme="majorBidi" w:hAnsiTheme="majorBidi" w:cstheme="majorBidi"/>
          <w:lang w:val="en-US"/>
        </w:rPr>
        <w:t xml:space="preserve"> (d. 933) called</w:t>
      </w:r>
      <w:r w:rsidR="00B03C7B">
        <w:rPr>
          <w:rFonts w:asciiTheme="majorBidi" w:hAnsiTheme="majorBidi" w:cstheme="majorBidi"/>
          <w:lang w:val="en-US"/>
        </w:rPr>
        <w:t xml:space="preserve"> </w:t>
      </w:r>
      <w:r w:rsidR="00B03C7B" w:rsidRPr="00B03C7B">
        <w:rPr>
          <w:rFonts w:asciiTheme="majorBidi" w:hAnsiTheme="majorBidi" w:cstheme="majorBidi"/>
          <w:i/>
          <w:iCs/>
          <w:lang w:val="en-US"/>
        </w:rPr>
        <w:t>al-</w:t>
      </w:r>
      <w:proofErr w:type="spellStart"/>
      <w:r w:rsidR="00B03C7B" w:rsidRPr="00B03C7B">
        <w:rPr>
          <w:rFonts w:asciiTheme="majorBidi" w:hAnsiTheme="majorBidi" w:cstheme="majorBidi"/>
          <w:i/>
          <w:iCs/>
          <w:lang w:val="en-US"/>
        </w:rPr>
        <w:t>Maqṣūra</w:t>
      </w:r>
      <w:proofErr w:type="spellEnd"/>
      <w:r w:rsidR="0053519C">
        <w:rPr>
          <w:rFonts w:asciiTheme="majorBidi" w:hAnsiTheme="majorBidi" w:cstheme="majorBidi"/>
          <w:lang w:val="en-US"/>
        </w:rPr>
        <w:t>. He the</w:t>
      </w:r>
      <w:r w:rsidR="004F30EA">
        <w:rPr>
          <w:rFonts w:asciiTheme="majorBidi" w:hAnsiTheme="majorBidi" w:cstheme="majorBidi"/>
          <w:lang w:val="en-US"/>
        </w:rPr>
        <w:t>n</w:t>
      </w:r>
      <w:r w:rsidR="0053519C">
        <w:rPr>
          <w:rFonts w:asciiTheme="majorBidi" w:hAnsiTheme="majorBidi" w:cstheme="majorBidi"/>
          <w:lang w:val="en-US"/>
        </w:rPr>
        <w:t xml:space="preserve"> moved to study jurisprudence among the </w:t>
      </w:r>
      <w:proofErr w:type="spellStart"/>
      <w:r w:rsidR="0053519C">
        <w:rPr>
          <w:rFonts w:asciiTheme="majorBidi" w:hAnsiTheme="majorBidi" w:cstheme="majorBidi"/>
          <w:lang w:val="en-US"/>
        </w:rPr>
        <w:t>Djedjeba</w:t>
      </w:r>
      <w:proofErr w:type="spellEnd"/>
      <w:r w:rsidR="0053519C">
        <w:rPr>
          <w:rFonts w:asciiTheme="majorBidi" w:hAnsiTheme="majorBidi" w:cstheme="majorBidi"/>
          <w:lang w:val="en-US"/>
        </w:rPr>
        <w:t xml:space="preserve"> and specifically under Ḥabīb Allāh </w:t>
      </w:r>
      <w:r w:rsidR="00447373">
        <w:rPr>
          <w:rFonts w:asciiTheme="majorBidi" w:hAnsiTheme="majorBidi" w:cstheme="majorBidi"/>
          <w:lang w:val="en-US"/>
        </w:rPr>
        <w:t>b.</w:t>
      </w:r>
      <w:r w:rsidR="0053519C">
        <w:rPr>
          <w:rFonts w:asciiTheme="majorBidi" w:hAnsiTheme="majorBidi" w:cstheme="majorBidi"/>
          <w:lang w:val="en-US"/>
        </w:rPr>
        <w:t xml:space="preserve"> al-Qāḍī (d. </w:t>
      </w:r>
      <w:r w:rsidR="0053519C" w:rsidRPr="006E1022">
        <w:rPr>
          <w:rFonts w:asciiTheme="majorBidi" w:hAnsiTheme="majorBidi" w:cstheme="majorBidi"/>
          <w:lang w:val="en-US"/>
        </w:rPr>
        <w:t>c.</w:t>
      </w:r>
      <w:r w:rsidR="0053519C">
        <w:rPr>
          <w:rFonts w:asciiTheme="majorBidi" w:hAnsiTheme="majorBidi" w:cstheme="majorBidi"/>
          <w:lang w:val="en-US"/>
        </w:rPr>
        <w:t xml:space="preserve"> 1815). </w:t>
      </w:r>
      <w:r w:rsidR="009126C9">
        <w:rPr>
          <w:rFonts w:asciiTheme="majorBidi" w:hAnsiTheme="majorBidi" w:cstheme="majorBidi"/>
          <w:lang w:val="en-US"/>
        </w:rPr>
        <w:t>At</w:t>
      </w:r>
      <w:r w:rsidR="0053519C">
        <w:rPr>
          <w:rFonts w:asciiTheme="majorBidi" w:hAnsiTheme="majorBidi" w:cstheme="majorBidi"/>
          <w:lang w:val="en-US"/>
        </w:rPr>
        <w:t xml:space="preserve"> this stage of his career, </w:t>
      </w:r>
      <w:r w:rsidR="006E1022">
        <w:rPr>
          <w:rFonts w:asciiTheme="majorBidi" w:hAnsiTheme="majorBidi" w:cstheme="majorBidi"/>
          <w:lang w:val="en-US"/>
        </w:rPr>
        <w:t xml:space="preserve">at </w:t>
      </w:r>
      <w:r w:rsidR="009126C9">
        <w:rPr>
          <w:rFonts w:asciiTheme="majorBidi" w:hAnsiTheme="majorBidi" w:cstheme="majorBidi"/>
          <w:lang w:val="en-US"/>
        </w:rPr>
        <w:t>around</w:t>
      </w:r>
      <w:r w:rsidR="006E1022">
        <w:rPr>
          <w:rFonts w:asciiTheme="majorBidi" w:hAnsiTheme="majorBidi" w:cstheme="majorBidi"/>
          <w:lang w:val="en-US"/>
        </w:rPr>
        <w:t xml:space="preserve"> thirty-five years of age, </w:t>
      </w:r>
      <w:r w:rsidR="0053519C">
        <w:rPr>
          <w:rFonts w:asciiTheme="majorBidi" w:hAnsiTheme="majorBidi" w:cstheme="majorBidi"/>
          <w:lang w:val="en-US"/>
        </w:rPr>
        <w:t xml:space="preserve">Shaykh </w:t>
      </w:r>
      <w:proofErr w:type="spellStart"/>
      <w:r w:rsidR="0053519C">
        <w:rPr>
          <w:rFonts w:asciiTheme="majorBidi" w:hAnsiTheme="majorBidi" w:cstheme="majorBidi"/>
          <w:lang w:val="en-US"/>
        </w:rPr>
        <w:t>Sīdiyy</w:t>
      </w:r>
      <w:r w:rsidR="006E1022">
        <w:rPr>
          <w:rFonts w:asciiTheme="majorBidi" w:hAnsiTheme="majorBidi" w:cstheme="majorBidi"/>
          <w:lang w:val="en-US"/>
        </w:rPr>
        <w:t>ā</w:t>
      </w:r>
      <w:proofErr w:type="spellEnd"/>
      <w:r w:rsidR="0053519C">
        <w:rPr>
          <w:rFonts w:asciiTheme="majorBidi" w:hAnsiTheme="majorBidi" w:cstheme="majorBidi"/>
          <w:lang w:val="en-US"/>
        </w:rPr>
        <w:t xml:space="preserve"> finally moved to the Azawād, north of the Niger Bend, to study under al-Mukhtār al-Kabīr. Unfortunately, </w:t>
      </w:r>
      <w:r w:rsidR="00B847CA">
        <w:rPr>
          <w:rFonts w:asciiTheme="majorBidi" w:hAnsiTheme="majorBidi" w:cstheme="majorBidi"/>
          <w:lang w:val="en-US"/>
        </w:rPr>
        <w:t xml:space="preserve">the Kunta scholar was </w:t>
      </w:r>
      <w:r w:rsidR="00EC3A25">
        <w:rPr>
          <w:rFonts w:asciiTheme="majorBidi" w:hAnsiTheme="majorBidi" w:cstheme="majorBidi"/>
          <w:lang w:val="en-US"/>
        </w:rPr>
        <w:t xml:space="preserve">close to death when </w:t>
      </w:r>
      <w:r w:rsidR="00B847CA">
        <w:rPr>
          <w:rFonts w:asciiTheme="majorBidi" w:hAnsiTheme="majorBidi" w:cstheme="majorBidi"/>
          <w:lang w:val="en-US"/>
        </w:rPr>
        <w:t xml:space="preserve">Shaykh </w:t>
      </w:r>
      <w:proofErr w:type="spellStart"/>
      <w:r w:rsidR="00B847CA">
        <w:rPr>
          <w:rFonts w:asciiTheme="majorBidi" w:hAnsiTheme="majorBidi" w:cstheme="majorBidi"/>
          <w:lang w:val="en-US"/>
        </w:rPr>
        <w:t>Sīdiyy</w:t>
      </w:r>
      <w:r w:rsidR="00EC3A25">
        <w:rPr>
          <w:rFonts w:asciiTheme="majorBidi" w:hAnsiTheme="majorBidi" w:cstheme="majorBidi"/>
          <w:lang w:val="en-US"/>
        </w:rPr>
        <w:t>ā</w:t>
      </w:r>
      <w:proofErr w:type="spellEnd"/>
      <w:r w:rsidR="00B847CA">
        <w:rPr>
          <w:rFonts w:asciiTheme="majorBidi" w:hAnsiTheme="majorBidi" w:cstheme="majorBidi"/>
          <w:lang w:val="en-US"/>
        </w:rPr>
        <w:t xml:space="preserve"> </w:t>
      </w:r>
      <w:r w:rsidR="00EC3A25">
        <w:rPr>
          <w:rFonts w:asciiTheme="majorBidi" w:hAnsiTheme="majorBidi" w:cstheme="majorBidi"/>
          <w:lang w:val="en-US"/>
        </w:rPr>
        <w:t>arrived</w:t>
      </w:r>
      <w:r w:rsidR="00677C53">
        <w:rPr>
          <w:rFonts w:asciiTheme="majorBidi" w:hAnsiTheme="majorBidi" w:cstheme="majorBidi"/>
          <w:lang w:val="en-US"/>
        </w:rPr>
        <w:t>; as a result he</w:t>
      </w:r>
      <w:r w:rsidR="00896232">
        <w:rPr>
          <w:rFonts w:asciiTheme="majorBidi" w:hAnsiTheme="majorBidi" w:cstheme="majorBidi"/>
          <w:lang w:val="en-US"/>
        </w:rPr>
        <w:t xml:space="preserve"> spent only</w:t>
      </w:r>
      <w:r w:rsidR="00D44CAA">
        <w:rPr>
          <w:rFonts w:asciiTheme="majorBidi" w:hAnsiTheme="majorBidi" w:cstheme="majorBidi"/>
          <w:lang w:val="en-US"/>
        </w:rPr>
        <w:t xml:space="preserve"> five months with </w:t>
      </w:r>
      <w:r w:rsidR="008059E7">
        <w:rPr>
          <w:rFonts w:asciiTheme="majorBidi" w:hAnsiTheme="majorBidi" w:cstheme="majorBidi"/>
          <w:lang w:val="en-US"/>
        </w:rPr>
        <w:t>al-Mukhtār al-Kabīr</w:t>
      </w:r>
      <w:r w:rsidR="00D44CAA">
        <w:rPr>
          <w:rFonts w:asciiTheme="majorBidi" w:hAnsiTheme="majorBidi" w:cstheme="majorBidi"/>
          <w:lang w:val="en-US"/>
        </w:rPr>
        <w:t xml:space="preserve"> </w:t>
      </w:r>
      <w:r w:rsidR="00896232">
        <w:rPr>
          <w:rFonts w:asciiTheme="majorBidi" w:hAnsiTheme="majorBidi" w:cstheme="majorBidi"/>
          <w:lang w:val="en-US"/>
        </w:rPr>
        <w:t>before</w:t>
      </w:r>
      <w:r w:rsidR="00D44CAA">
        <w:rPr>
          <w:rFonts w:asciiTheme="majorBidi" w:hAnsiTheme="majorBidi" w:cstheme="majorBidi"/>
          <w:lang w:val="en-US"/>
        </w:rPr>
        <w:t xml:space="preserve"> </w:t>
      </w:r>
      <w:r w:rsidR="000A1700">
        <w:rPr>
          <w:rFonts w:asciiTheme="majorBidi" w:hAnsiTheme="majorBidi" w:cstheme="majorBidi"/>
          <w:lang w:val="en-US"/>
        </w:rPr>
        <w:t>bec</w:t>
      </w:r>
      <w:r w:rsidR="00896232">
        <w:rPr>
          <w:rFonts w:asciiTheme="majorBidi" w:hAnsiTheme="majorBidi" w:cstheme="majorBidi"/>
          <w:lang w:val="en-US"/>
        </w:rPr>
        <w:t>oming</w:t>
      </w:r>
      <w:r w:rsidR="00D556D7">
        <w:rPr>
          <w:rFonts w:asciiTheme="majorBidi" w:hAnsiTheme="majorBidi" w:cstheme="majorBidi"/>
          <w:lang w:val="en-US"/>
        </w:rPr>
        <w:t xml:space="preserve"> </w:t>
      </w:r>
      <w:r w:rsidR="00B847CA">
        <w:rPr>
          <w:rFonts w:asciiTheme="majorBidi" w:hAnsiTheme="majorBidi" w:cstheme="majorBidi"/>
          <w:lang w:val="en-US"/>
        </w:rPr>
        <w:t>m</w:t>
      </w:r>
      <w:r w:rsidR="00E85749">
        <w:rPr>
          <w:rFonts w:asciiTheme="majorBidi" w:hAnsiTheme="majorBidi" w:cstheme="majorBidi"/>
          <w:lang w:val="en-US"/>
        </w:rPr>
        <w:t>ainly</w:t>
      </w:r>
      <w:r w:rsidR="00B847CA">
        <w:rPr>
          <w:rFonts w:asciiTheme="majorBidi" w:hAnsiTheme="majorBidi" w:cstheme="majorBidi"/>
          <w:lang w:val="en-US"/>
        </w:rPr>
        <w:t xml:space="preserve"> the student of </w:t>
      </w:r>
      <w:r w:rsidR="00D556D7">
        <w:rPr>
          <w:rFonts w:asciiTheme="majorBidi" w:hAnsiTheme="majorBidi" w:cstheme="majorBidi"/>
          <w:lang w:val="en-US"/>
        </w:rPr>
        <w:t>his</w:t>
      </w:r>
      <w:r w:rsidR="00B847CA">
        <w:rPr>
          <w:rFonts w:asciiTheme="majorBidi" w:hAnsiTheme="majorBidi" w:cstheme="majorBidi"/>
          <w:lang w:val="en-US"/>
        </w:rPr>
        <w:t xml:space="preserve"> successor</w:t>
      </w:r>
      <w:r w:rsidR="008059E7">
        <w:rPr>
          <w:rFonts w:asciiTheme="majorBidi" w:hAnsiTheme="majorBidi" w:cstheme="majorBidi"/>
          <w:lang w:val="en-US"/>
        </w:rPr>
        <w:t>,</w:t>
      </w:r>
      <w:r w:rsidR="00B847CA">
        <w:rPr>
          <w:rFonts w:asciiTheme="majorBidi" w:hAnsiTheme="majorBidi" w:cstheme="majorBidi"/>
          <w:lang w:val="en-US"/>
        </w:rPr>
        <w:t xml:space="preserve"> Muḥammad al-Kuntī (d. 1826).</w:t>
      </w:r>
      <w:r w:rsidR="00200893">
        <w:rPr>
          <w:rStyle w:val="FootnoteReference"/>
          <w:rFonts w:asciiTheme="majorBidi" w:hAnsiTheme="majorBidi" w:cstheme="majorBidi"/>
          <w:lang w:val="en-US"/>
        </w:rPr>
        <w:footnoteReference w:id="10"/>
      </w:r>
      <w:r w:rsidR="00B847CA">
        <w:rPr>
          <w:rFonts w:asciiTheme="majorBidi" w:hAnsiTheme="majorBidi" w:cstheme="majorBidi"/>
          <w:lang w:val="en-US"/>
        </w:rPr>
        <w:t xml:space="preserve"> With him, he further</w:t>
      </w:r>
      <w:r w:rsidR="00D556D7">
        <w:rPr>
          <w:rFonts w:asciiTheme="majorBidi" w:hAnsiTheme="majorBidi" w:cstheme="majorBidi"/>
          <w:lang w:val="en-US"/>
        </w:rPr>
        <w:t>ed</w:t>
      </w:r>
      <w:r w:rsidR="00B847CA">
        <w:rPr>
          <w:rFonts w:asciiTheme="majorBidi" w:hAnsiTheme="majorBidi" w:cstheme="majorBidi"/>
          <w:lang w:val="en-US"/>
        </w:rPr>
        <w:t xml:space="preserve"> his studies in jurisprudence, which led him </w:t>
      </w:r>
      <w:r w:rsidR="00D556D7">
        <w:rPr>
          <w:rFonts w:asciiTheme="majorBidi" w:hAnsiTheme="majorBidi" w:cstheme="majorBidi"/>
          <w:lang w:val="en-US"/>
        </w:rPr>
        <w:t xml:space="preserve">to </w:t>
      </w:r>
      <w:r w:rsidR="00B847CA">
        <w:rPr>
          <w:rFonts w:asciiTheme="majorBidi" w:hAnsiTheme="majorBidi" w:cstheme="majorBidi"/>
          <w:lang w:val="en-US"/>
        </w:rPr>
        <w:t>becom</w:t>
      </w:r>
      <w:r w:rsidR="00D556D7">
        <w:rPr>
          <w:rFonts w:asciiTheme="majorBidi" w:hAnsiTheme="majorBidi" w:cstheme="majorBidi"/>
          <w:lang w:val="en-US"/>
        </w:rPr>
        <w:t>e</w:t>
      </w:r>
      <w:r w:rsidR="00B847CA">
        <w:rPr>
          <w:rFonts w:asciiTheme="majorBidi" w:hAnsiTheme="majorBidi" w:cstheme="majorBidi"/>
          <w:lang w:val="en-US"/>
        </w:rPr>
        <w:t xml:space="preserve"> a prominent jurist and influential political figure once returned to the </w:t>
      </w:r>
      <w:proofErr w:type="spellStart"/>
      <w:r w:rsidR="00B847CA">
        <w:rPr>
          <w:rFonts w:asciiTheme="majorBidi" w:hAnsiTheme="majorBidi" w:cstheme="majorBidi"/>
          <w:lang w:val="en-US"/>
        </w:rPr>
        <w:t>Gebla</w:t>
      </w:r>
      <w:proofErr w:type="spellEnd"/>
      <w:r w:rsidR="00B847CA">
        <w:rPr>
          <w:rFonts w:asciiTheme="majorBidi" w:hAnsiTheme="majorBidi" w:cstheme="majorBidi"/>
          <w:lang w:val="en-US"/>
        </w:rPr>
        <w:t xml:space="preserve"> region after the death of </w:t>
      </w:r>
      <w:proofErr w:type="spellStart"/>
      <w:r w:rsidR="00B847CA">
        <w:rPr>
          <w:rFonts w:asciiTheme="majorBidi" w:hAnsiTheme="majorBidi" w:cstheme="majorBidi"/>
          <w:lang w:val="en-US"/>
        </w:rPr>
        <w:t>Muḥammad</w:t>
      </w:r>
      <w:proofErr w:type="spellEnd"/>
      <w:r w:rsidR="00B847CA">
        <w:rPr>
          <w:rFonts w:asciiTheme="majorBidi" w:hAnsiTheme="majorBidi" w:cstheme="majorBidi"/>
          <w:lang w:val="en-US"/>
        </w:rPr>
        <w:t xml:space="preserve"> al-</w:t>
      </w:r>
      <w:proofErr w:type="spellStart"/>
      <w:r w:rsidR="00B847CA">
        <w:rPr>
          <w:rFonts w:asciiTheme="majorBidi" w:hAnsiTheme="majorBidi" w:cstheme="majorBidi"/>
          <w:lang w:val="en-US"/>
        </w:rPr>
        <w:t>Kuntī</w:t>
      </w:r>
      <w:proofErr w:type="spellEnd"/>
      <w:r w:rsidR="00B847CA">
        <w:rPr>
          <w:rFonts w:asciiTheme="majorBidi" w:hAnsiTheme="majorBidi" w:cstheme="majorBidi"/>
          <w:lang w:val="en-US"/>
        </w:rPr>
        <w:t xml:space="preserve">. </w:t>
      </w:r>
    </w:p>
    <w:p w14:paraId="3340F4C8" w14:textId="25AB8BCF" w:rsidR="00DB42C2" w:rsidRPr="00AB37F6" w:rsidRDefault="00B847CA" w:rsidP="00501AD8">
      <w:pPr>
        <w:spacing w:line="360" w:lineRule="auto"/>
        <w:ind w:firstLine="708"/>
        <w:jc w:val="both"/>
        <w:rPr>
          <w:rFonts w:asciiTheme="majorBidi" w:hAnsiTheme="majorBidi" w:cstheme="majorBidi"/>
          <w:lang w:val="en-US"/>
        </w:rPr>
      </w:pPr>
      <w:r w:rsidRPr="00AB37F6">
        <w:rPr>
          <w:rFonts w:asciiTheme="majorBidi" w:hAnsiTheme="majorBidi" w:cstheme="majorBidi"/>
          <w:lang w:val="en-US"/>
        </w:rPr>
        <w:t xml:space="preserve">  In the Kunta camp, Shaykh </w:t>
      </w:r>
      <w:proofErr w:type="spellStart"/>
      <w:r w:rsidRPr="00AB37F6">
        <w:rPr>
          <w:rFonts w:asciiTheme="majorBidi" w:hAnsiTheme="majorBidi" w:cstheme="majorBidi"/>
          <w:lang w:val="en-US"/>
        </w:rPr>
        <w:t>Sīdiyy</w:t>
      </w:r>
      <w:r w:rsidR="00A13B78" w:rsidRPr="00AB37F6">
        <w:rPr>
          <w:rFonts w:asciiTheme="majorBidi" w:hAnsiTheme="majorBidi" w:cstheme="majorBidi"/>
          <w:lang w:val="en-US"/>
        </w:rPr>
        <w:t>ā</w:t>
      </w:r>
      <w:proofErr w:type="spellEnd"/>
      <w:r w:rsidRPr="00AB37F6">
        <w:rPr>
          <w:rFonts w:asciiTheme="majorBidi" w:hAnsiTheme="majorBidi" w:cstheme="majorBidi"/>
          <w:lang w:val="en-US"/>
        </w:rPr>
        <w:t xml:space="preserve"> also studied Sufism and became initiated in</w:t>
      </w:r>
      <w:r w:rsidR="00E974FC" w:rsidRPr="00AB37F6">
        <w:rPr>
          <w:rFonts w:asciiTheme="majorBidi" w:hAnsiTheme="majorBidi" w:cstheme="majorBidi"/>
          <w:lang w:val="en-US"/>
        </w:rPr>
        <w:t>to</w:t>
      </w:r>
      <w:r w:rsidRPr="00AB37F6">
        <w:rPr>
          <w:rFonts w:asciiTheme="majorBidi" w:hAnsiTheme="majorBidi" w:cstheme="majorBidi"/>
          <w:lang w:val="en-US"/>
        </w:rPr>
        <w:t xml:space="preserve"> the Qādiriyya, as the three </w:t>
      </w:r>
      <w:r w:rsidR="00A66B42" w:rsidRPr="00AB37F6">
        <w:rPr>
          <w:rFonts w:asciiTheme="majorBidi" w:hAnsiTheme="majorBidi" w:cstheme="majorBidi"/>
          <w:i/>
          <w:iCs/>
          <w:lang w:val="en-US"/>
        </w:rPr>
        <w:t>ijāza</w:t>
      </w:r>
      <w:r w:rsidR="00A13B78" w:rsidRPr="00AB37F6">
        <w:rPr>
          <w:rFonts w:asciiTheme="majorBidi" w:hAnsiTheme="majorBidi" w:cstheme="majorBidi"/>
          <w:i/>
          <w:iCs/>
          <w:lang w:val="en-US"/>
        </w:rPr>
        <w:t>s</w:t>
      </w:r>
      <w:r w:rsidR="00A66B42" w:rsidRPr="00AB37F6">
        <w:rPr>
          <w:rFonts w:asciiTheme="majorBidi" w:hAnsiTheme="majorBidi" w:cstheme="majorBidi"/>
          <w:lang w:val="en-US"/>
        </w:rPr>
        <w:t xml:space="preserve"> presented here</w:t>
      </w:r>
      <w:r w:rsidRPr="00AB37F6">
        <w:rPr>
          <w:rFonts w:asciiTheme="majorBidi" w:hAnsiTheme="majorBidi" w:cstheme="majorBidi"/>
          <w:lang w:val="en-US"/>
        </w:rPr>
        <w:t xml:space="preserve"> demonstrate. </w:t>
      </w:r>
      <w:r w:rsidR="001F4EBD" w:rsidRPr="00AB37F6">
        <w:rPr>
          <w:rFonts w:asciiTheme="majorBidi" w:hAnsiTheme="majorBidi" w:cstheme="majorBidi"/>
          <w:lang w:val="en-US"/>
        </w:rPr>
        <w:t>The first</w:t>
      </w:r>
      <w:r w:rsidR="00EA5704" w:rsidRPr="00AB37F6">
        <w:rPr>
          <w:rStyle w:val="FootnoteReference"/>
          <w:rFonts w:asciiTheme="majorBidi" w:hAnsiTheme="majorBidi" w:cstheme="majorBidi"/>
          <w:lang w:val="en-US"/>
        </w:rPr>
        <w:footnoteReference w:id="11"/>
      </w:r>
      <w:r w:rsidR="001F4EBD" w:rsidRPr="00AB37F6">
        <w:rPr>
          <w:rFonts w:asciiTheme="majorBidi" w:hAnsiTheme="majorBidi" w:cstheme="majorBidi"/>
          <w:lang w:val="en-US"/>
        </w:rPr>
        <w:t xml:space="preserve"> was</w:t>
      </w:r>
      <w:r w:rsidRPr="00AB37F6">
        <w:rPr>
          <w:rFonts w:asciiTheme="majorBidi" w:hAnsiTheme="majorBidi" w:cstheme="majorBidi"/>
          <w:lang w:val="en-US"/>
        </w:rPr>
        <w:t xml:space="preserve"> written </w:t>
      </w:r>
      <w:r w:rsidR="001F4EBD" w:rsidRPr="00AB37F6">
        <w:rPr>
          <w:rFonts w:asciiTheme="majorBidi" w:hAnsiTheme="majorBidi" w:cstheme="majorBidi"/>
          <w:lang w:val="en-US"/>
        </w:rPr>
        <w:t xml:space="preserve">by the son of Muḥammad al-Kuntī, al-Mukhtār al-Ṣaghīr (d. 1846), who would become the leader of the </w:t>
      </w:r>
      <w:r w:rsidR="001F4EBD" w:rsidRPr="00AB37F6">
        <w:rPr>
          <w:rFonts w:asciiTheme="majorBidi" w:hAnsiTheme="majorBidi" w:cstheme="majorBidi"/>
          <w:lang w:val="en-US"/>
        </w:rPr>
        <w:lastRenderedPageBreak/>
        <w:t>Kunta Qādiriyya in the region after his father’s demise,</w:t>
      </w:r>
      <w:r w:rsidR="001F4EBD" w:rsidRPr="00AB37F6">
        <w:rPr>
          <w:rStyle w:val="FootnoteReference"/>
          <w:rFonts w:asciiTheme="majorBidi" w:hAnsiTheme="majorBidi" w:cstheme="majorBidi"/>
          <w:lang w:val="en-US"/>
        </w:rPr>
        <w:footnoteReference w:id="12"/>
      </w:r>
      <w:r w:rsidR="001F4EBD" w:rsidRPr="00AB37F6">
        <w:rPr>
          <w:rFonts w:asciiTheme="majorBidi" w:hAnsiTheme="majorBidi" w:cstheme="majorBidi"/>
          <w:lang w:val="en-US"/>
        </w:rPr>
        <w:t xml:space="preserve"> and the other two</w:t>
      </w:r>
      <w:r w:rsidR="00F23FAE" w:rsidRPr="00AB37F6">
        <w:rPr>
          <w:rStyle w:val="FootnoteReference"/>
          <w:rFonts w:asciiTheme="majorBidi" w:hAnsiTheme="majorBidi" w:cstheme="majorBidi"/>
          <w:lang w:val="en-US"/>
        </w:rPr>
        <w:footnoteReference w:id="13"/>
      </w:r>
      <w:r w:rsidR="00E50D3F" w:rsidRPr="00AB37F6">
        <w:rPr>
          <w:rFonts w:asciiTheme="majorBidi" w:hAnsiTheme="majorBidi" w:cstheme="majorBidi"/>
          <w:lang w:val="en-US"/>
        </w:rPr>
        <w:t xml:space="preserve"> </w:t>
      </w:r>
      <w:r w:rsidRPr="00AB37F6">
        <w:rPr>
          <w:rFonts w:asciiTheme="majorBidi" w:hAnsiTheme="majorBidi" w:cstheme="majorBidi"/>
          <w:lang w:val="en-US"/>
        </w:rPr>
        <w:t xml:space="preserve">by a rather obscure son of </w:t>
      </w:r>
      <w:r w:rsidR="00A66B42" w:rsidRPr="00AB37F6">
        <w:rPr>
          <w:rFonts w:asciiTheme="majorBidi" w:hAnsiTheme="majorBidi" w:cstheme="majorBidi"/>
          <w:lang w:val="en-US"/>
        </w:rPr>
        <w:t>al-Mukhtār al-Kabīr, ‘Umar</w:t>
      </w:r>
      <w:r w:rsidR="001F4EBD" w:rsidRPr="00AB37F6">
        <w:rPr>
          <w:rFonts w:asciiTheme="majorBidi" w:hAnsiTheme="majorBidi" w:cstheme="majorBidi"/>
          <w:lang w:val="en-US"/>
        </w:rPr>
        <w:t>.</w:t>
      </w:r>
      <w:r w:rsidR="00DB42C2" w:rsidRPr="00AB37F6">
        <w:rPr>
          <w:rFonts w:asciiTheme="majorBidi" w:hAnsiTheme="majorBidi" w:cstheme="majorBidi"/>
          <w:lang w:val="en-US"/>
        </w:rPr>
        <w:t xml:space="preserve"> The three </w:t>
      </w:r>
      <w:proofErr w:type="spellStart"/>
      <w:r w:rsidR="00DB42C2" w:rsidRPr="00AB37F6">
        <w:rPr>
          <w:rFonts w:asciiTheme="majorBidi" w:hAnsiTheme="majorBidi" w:cstheme="majorBidi"/>
          <w:i/>
          <w:iCs/>
          <w:lang w:val="en-US"/>
        </w:rPr>
        <w:t>ijāzas</w:t>
      </w:r>
      <w:proofErr w:type="spellEnd"/>
      <w:r w:rsidR="00DB42C2" w:rsidRPr="00AB37F6">
        <w:rPr>
          <w:rFonts w:asciiTheme="majorBidi" w:hAnsiTheme="majorBidi" w:cstheme="majorBidi"/>
          <w:lang w:val="en-US"/>
        </w:rPr>
        <w:t xml:space="preserve"> granted to Shaykh </w:t>
      </w:r>
      <w:proofErr w:type="spellStart"/>
      <w:r w:rsidR="00DB42C2" w:rsidRPr="00AB37F6">
        <w:rPr>
          <w:rFonts w:asciiTheme="majorBidi" w:hAnsiTheme="majorBidi" w:cstheme="majorBidi"/>
          <w:lang w:val="en-US"/>
        </w:rPr>
        <w:t>Sīdiyyā</w:t>
      </w:r>
      <w:proofErr w:type="spellEnd"/>
      <w:r w:rsidR="00DB42C2" w:rsidRPr="00AB37F6">
        <w:rPr>
          <w:rFonts w:asciiTheme="majorBidi" w:hAnsiTheme="majorBidi" w:cstheme="majorBidi"/>
          <w:lang w:val="en-US"/>
        </w:rPr>
        <w:t xml:space="preserve"> are absolute, general and full, the same as those received by al-</w:t>
      </w:r>
      <w:proofErr w:type="spellStart"/>
      <w:r w:rsidR="00DB42C2" w:rsidRPr="00AB37F6">
        <w:rPr>
          <w:rFonts w:asciiTheme="majorBidi" w:hAnsiTheme="majorBidi" w:cstheme="majorBidi"/>
          <w:lang w:val="en-US"/>
        </w:rPr>
        <w:t>Mukhtār</w:t>
      </w:r>
      <w:proofErr w:type="spellEnd"/>
      <w:r w:rsidR="00DB42C2" w:rsidRPr="00AB37F6">
        <w:rPr>
          <w:rFonts w:asciiTheme="majorBidi" w:hAnsiTheme="majorBidi" w:cstheme="majorBidi"/>
          <w:lang w:val="en-US"/>
        </w:rPr>
        <w:t xml:space="preserve"> al-</w:t>
      </w:r>
      <w:proofErr w:type="spellStart"/>
      <w:r w:rsidR="00DB42C2" w:rsidRPr="00AB37F6">
        <w:rPr>
          <w:rFonts w:asciiTheme="majorBidi" w:hAnsiTheme="majorBidi" w:cstheme="majorBidi"/>
          <w:lang w:val="en-US"/>
        </w:rPr>
        <w:t>Kuntī</w:t>
      </w:r>
      <w:proofErr w:type="spellEnd"/>
      <w:r w:rsidR="00DB42C2" w:rsidRPr="00AB37F6">
        <w:rPr>
          <w:rFonts w:asciiTheme="majorBidi" w:hAnsiTheme="majorBidi" w:cstheme="majorBidi"/>
          <w:lang w:val="en-US"/>
        </w:rPr>
        <w:t xml:space="preserve">, according to </w:t>
      </w:r>
      <w:r w:rsidR="00501AD8" w:rsidRPr="00AB37F6">
        <w:rPr>
          <w:rFonts w:asciiTheme="majorBidi" w:hAnsiTheme="majorBidi" w:cstheme="majorBidi"/>
          <w:lang w:val="en-US"/>
        </w:rPr>
        <w:t xml:space="preserve">their </w:t>
      </w:r>
      <w:r w:rsidR="00DB42C2" w:rsidRPr="00AB37F6">
        <w:rPr>
          <w:rFonts w:asciiTheme="majorBidi" w:hAnsiTheme="majorBidi" w:cstheme="majorBidi"/>
          <w:lang w:val="en-US"/>
        </w:rPr>
        <w:t xml:space="preserve">authors. As such, they grant him the right to initiate aspirants into the entirety of the </w:t>
      </w:r>
      <w:proofErr w:type="spellStart"/>
      <w:r w:rsidR="00DB42C2" w:rsidRPr="00AB37F6">
        <w:rPr>
          <w:rFonts w:asciiTheme="majorBidi" w:hAnsiTheme="majorBidi" w:cstheme="majorBidi"/>
          <w:i/>
          <w:iCs/>
          <w:lang w:val="en-US"/>
        </w:rPr>
        <w:t>wird</w:t>
      </w:r>
      <w:proofErr w:type="spellEnd"/>
      <w:r w:rsidR="00DB42C2" w:rsidRPr="00AB37F6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DB42C2" w:rsidRPr="00AB37F6">
        <w:rPr>
          <w:rFonts w:asciiTheme="majorBidi" w:hAnsiTheme="majorBidi" w:cstheme="majorBidi"/>
          <w:i/>
          <w:iCs/>
          <w:lang w:val="en-US"/>
        </w:rPr>
        <w:t>ḥizb</w:t>
      </w:r>
      <w:proofErr w:type="spellEnd"/>
      <w:r w:rsidR="00DB42C2" w:rsidRPr="00AB37F6">
        <w:rPr>
          <w:rFonts w:asciiTheme="majorBidi" w:hAnsiTheme="majorBidi" w:cstheme="majorBidi"/>
          <w:lang w:val="en-US"/>
        </w:rPr>
        <w:t xml:space="preserve">, and other prayers, as well as the secrets and mysteries of the </w:t>
      </w:r>
      <w:r w:rsidR="00DB42C2" w:rsidRPr="00AB37F6">
        <w:rPr>
          <w:rFonts w:asciiTheme="majorBidi" w:hAnsiTheme="majorBidi" w:cstheme="majorBidi"/>
          <w:i/>
          <w:iCs/>
          <w:lang w:val="en-US"/>
        </w:rPr>
        <w:t>ṭarīqa</w:t>
      </w:r>
      <w:r w:rsidR="00DB42C2" w:rsidRPr="00AB37F6">
        <w:rPr>
          <w:rFonts w:asciiTheme="majorBidi" w:hAnsiTheme="majorBidi" w:cstheme="majorBidi"/>
          <w:lang w:val="en-US"/>
        </w:rPr>
        <w:t>.</w:t>
      </w:r>
    </w:p>
    <w:p w14:paraId="07919C09" w14:textId="22E79B60" w:rsidR="00A11339" w:rsidRDefault="00A11339" w:rsidP="3F821AFC">
      <w:pPr>
        <w:spacing w:line="360" w:lineRule="auto"/>
        <w:ind w:firstLine="708"/>
        <w:jc w:val="both"/>
        <w:rPr>
          <w:rFonts w:asciiTheme="majorBidi" w:hAnsiTheme="majorBidi" w:cstheme="majorBidi"/>
          <w:lang w:val="en-US"/>
        </w:rPr>
      </w:pPr>
    </w:p>
    <w:sectPr w:rsidR="00A11339" w:rsidSect="00AD6A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5B39" w14:textId="77777777" w:rsidR="00E047EA" w:rsidRDefault="00E047EA" w:rsidP="00640CE5">
      <w:r>
        <w:separator/>
      </w:r>
    </w:p>
  </w:endnote>
  <w:endnote w:type="continuationSeparator" w:id="0">
    <w:p w14:paraId="0D602387" w14:textId="77777777" w:rsidR="00E047EA" w:rsidRDefault="00E047EA" w:rsidP="0064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 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 Sans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427C" w14:textId="77777777" w:rsidR="00E047EA" w:rsidRDefault="00E047EA" w:rsidP="00640CE5">
      <w:r>
        <w:separator/>
      </w:r>
    </w:p>
  </w:footnote>
  <w:footnote w:type="continuationSeparator" w:id="0">
    <w:p w14:paraId="7A253452" w14:textId="77777777" w:rsidR="00E047EA" w:rsidRDefault="00E047EA" w:rsidP="00640CE5">
      <w:r>
        <w:continuationSeparator/>
      </w:r>
    </w:p>
  </w:footnote>
  <w:footnote w:id="1">
    <w:p w14:paraId="531CC047" w14:textId="2D5E3BC1" w:rsidR="00640CE5" w:rsidRPr="00295D8D" w:rsidRDefault="00640CE5" w:rsidP="00200893">
      <w:pPr>
        <w:pStyle w:val="FootnoteText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295D8D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D318D4" w:rsidRPr="00295D8D">
        <w:rPr>
          <w:rFonts w:asciiTheme="majorBidi" w:hAnsiTheme="majorBidi" w:cstheme="majorBidi"/>
          <w:sz w:val="22"/>
          <w:szCs w:val="22"/>
          <w:lang w:val="en-US"/>
        </w:rPr>
        <w:t xml:space="preserve">On this system, see William A. Graham, </w:t>
      </w:r>
      <w:r w:rsidR="0073149D" w:rsidRPr="00295D8D">
        <w:rPr>
          <w:rFonts w:asciiTheme="majorBidi" w:hAnsiTheme="majorBidi" w:cstheme="majorBidi"/>
          <w:sz w:val="22"/>
          <w:szCs w:val="22"/>
          <w:lang w:val="en-US"/>
        </w:rPr>
        <w:t>“</w:t>
      </w:r>
      <w:r w:rsidR="00D318D4" w:rsidRPr="00295D8D">
        <w:rPr>
          <w:rFonts w:asciiTheme="majorBidi" w:hAnsiTheme="majorBidi" w:cstheme="majorBidi"/>
          <w:sz w:val="22"/>
          <w:szCs w:val="22"/>
          <w:lang w:val="en-US"/>
        </w:rPr>
        <w:t xml:space="preserve">Traditionalism in Islam: An Essay in Interpretation,” </w:t>
      </w:r>
      <w:r w:rsidR="00D318D4" w:rsidRPr="00295D8D">
        <w:rPr>
          <w:rFonts w:asciiTheme="majorBidi" w:hAnsiTheme="majorBidi" w:cstheme="majorBidi"/>
          <w:i/>
          <w:iCs/>
          <w:sz w:val="22"/>
          <w:szCs w:val="22"/>
          <w:lang w:val="en-US"/>
        </w:rPr>
        <w:t>Journal of Interdisciplinary History</w:t>
      </w:r>
      <w:r w:rsidR="00965748" w:rsidRPr="00295D8D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D318D4" w:rsidRPr="00295D8D">
        <w:rPr>
          <w:rFonts w:asciiTheme="majorBidi" w:hAnsiTheme="majorBidi" w:cstheme="majorBidi"/>
          <w:sz w:val="22"/>
          <w:szCs w:val="22"/>
          <w:lang w:val="en-US"/>
        </w:rPr>
        <w:t xml:space="preserve">23, </w:t>
      </w:r>
      <w:r w:rsidR="00D23BBC">
        <w:rPr>
          <w:rFonts w:asciiTheme="majorBidi" w:hAnsiTheme="majorBidi" w:cstheme="majorBidi"/>
          <w:sz w:val="22"/>
          <w:szCs w:val="22"/>
          <w:lang w:val="en-US"/>
        </w:rPr>
        <w:t>n</w:t>
      </w:r>
      <w:r w:rsidR="00D318D4" w:rsidRPr="00295D8D">
        <w:rPr>
          <w:rFonts w:asciiTheme="majorBidi" w:hAnsiTheme="majorBidi" w:cstheme="majorBidi"/>
          <w:sz w:val="22"/>
          <w:szCs w:val="22"/>
          <w:lang w:val="en-US"/>
        </w:rPr>
        <w:t>o. 3</w:t>
      </w:r>
      <w:r w:rsidR="00965748" w:rsidRPr="00295D8D">
        <w:rPr>
          <w:rFonts w:asciiTheme="majorBidi" w:hAnsiTheme="majorBidi" w:cstheme="majorBidi"/>
          <w:sz w:val="22"/>
          <w:szCs w:val="22"/>
          <w:lang w:val="en-US"/>
        </w:rPr>
        <w:t>, (1993)</w:t>
      </w:r>
      <w:r w:rsidR="00D23BBC">
        <w:rPr>
          <w:rFonts w:asciiTheme="majorBidi" w:hAnsiTheme="majorBidi" w:cstheme="majorBidi"/>
          <w:sz w:val="22"/>
          <w:szCs w:val="22"/>
          <w:lang w:val="en-US"/>
        </w:rPr>
        <w:t xml:space="preserve">: </w:t>
      </w:r>
      <w:r w:rsidR="00D318D4" w:rsidRPr="00295D8D">
        <w:rPr>
          <w:rFonts w:asciiTheme="majorBidi" w:hAnsiTheme="majorBidi" w:cstheme="majorBidi"/>
          <w:sz w:val="22"/>
          <w:szCs w:val="22"/>
          <w:lang w:val="en-US"/>
        </w:rPr>
        <w:t>495-522</w:t>
      </w:r>
      <w:r w:rsidR="00C65B46" w:rsidRPr="00295D8D">
        <w:rPr>
          <w:rFonts w:asciiTheme="majorBidi" w:hAnsiTheme="majorBidi" w:cstheme="majorBidi"/>
          <w:sz w:val="22"/>
          <w:szCs w:val="22"/>
          <w:lang w:val="en-US"/>
        </w:rPr>
        <w:t>.</w:t>
      </w:r>
    </w:p>
  </w:footnote>
  <w:footnote w:id="2">
    <w:p w14:paraId="48BAFBC5" w14:textId="0CD59D4B" w:rsidR="00F5486C" w:rsidRPr="00F5486C" w:rsidRDefault="00F548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5486C">
        <w:rPr>
          <w:lang w:val="en-US"/>
        </w:rPr>
        <w:t xml:space="preserve"> </w:t>
      </w:r>
      <w:r w:rsidR="00E5130D" w:rsidRPr="00295D8D">
        <w:rPr>
          <w:rFonts w:asciiTheme="majorBidi" w:hAnsiTheme="majorBidi" w:cstheme="majorBidi"/>
          <w:sz w:val="22"/>
          <w:szCs w:val="22"/>
          <w:lang w:val="en-US"/>
        </w:rPr>
        <w:t>Graham, “Traditionalism in Islam</w:t>
      </w:r>
      <w:r w:rsidR="00E5130D">
        <w:rPr>
          <w:rFonts w:asciiTheme="majorBidi" w:hAnsiTheme="majorBidi" w:cstheme="majorBidi"/>
          <w:sz w:val="22"/>
          <w:szCs w:val="22"/>
          <w:lang w:val="en-US"/>
        </w:rPr>
        <w:t>,” 507.</w:t>
      </w:r>
    </w:p>
  </w:footnote>
  <w:footnote w:id="3">
    <w:p w14:paraId="1DC024A9" w14:textId="2B212A2E" w:rsidR="00A43CCE" w:rsidRPr="00295D8D" w:rsidRDefault="00A43CCE">
      <w:pPr>
        <w:pStyle w:val="FootnoteText"/>
        <w:rPr>
          <w:rFonts w:asciiTheme="majorBidi" w:hAnsiTheme="majorBidi" w:cstheme="majorBidi"/>
          <w:sz w:val="22"/>
          <w:szCs w:val="22"/>
          <w:lang w:val="en-US"/>
        </w:rPr>
      </w:pPr>
      <w:r w:rsidRPr="00295D8D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695011" w:rsidRPr="00295D8D">
        <w:rPr>
          <w:rFonts w:asciiTheme="majorBidi" w:hAnsiTheme="majorBidi" w:cstheme="majorBidi"/>
          <w:sz w:val="22"/>
          <w:szCs w:val="22"/>
          <w:lang w:val="en-US"/>
        </w:rPr>
        <w:t xml:space="preserve">The plural of </w:t>
      </w:r>
      <w:proofErr w:type="spellStart"/>
      <w:r w:rsidR="00695011" w:rsidRPr="00295D8D">
        <w:rPr>
          <w:rFonts w:asciiTheme="majorBidi" w:hAnsiTheme="majorBidi" w:cstheme="majorBidi"/>
          <w:i/>
          <w:iCs/>
          <w:sz w:val="22"/>
          <w:szCs w:val="22"/>
          <w:lang w:val="en-US"/>
        </w:rPr>
        <w:t>ij</w:t>
      </w:r>
      <w:r w:rsidR="001A36E4" w:rsidRPr="00295D8D">
        <w:rPr>
          <w:rFonts w:asciiTheme="majorBidi" w:hAnsiTheme="majorBidi" w:cstheme="majorBidi"/>
          <w:i/>
          <w:iCs/>
          <w:sz w:val="22"/>
          <w:szCs w:val="22"/>
          <w:lang w:val="en-US"/>
        </w:rPr>
        <w:t>ā</w:t>
      </w:r>
      <w:r w:rsidR="00695011" w:rsidRPr="00295D8D">
        <w:rPr>
          <w:rFonts w:asciiTheme="majorBidi" w:hAnsiTheme="majorBidi" w:cstheme="majorBidi"/>
          <w:i/>
          <w:iCs/>
          <w:sz w:val="22"/>
          <w:szCs w:val="22"/>
          <w:lang w:val="en-US"/>
        </w:rPr>
        <w:t>za</w:t>
      </w:r>
      <w:proofErr w:type="spellEnd"/>
      <w:r w:rsidR="00695011" w:rsidRPr="00295D8D">
        <w:rPr>
          <w:rFonts w:asciiTheme="majorBidi" w:hAnsiTheme="majorBidi" w:cstheme="majorBidi"/>
          <w:sz w:val="22"/>
          <w:szCs w:val="22"/>
          <w:lang w:val="en-US"/>
        </w:rPr>
        <w:t xml:space="preserve"> is </w:t>
      </w:r>
      <w:proofErr w:type="spellStart"/>
      <w:r w:rsidR="00EC347E" w:rsidRPr="00295D8D">
        <w:rPr>
          <w:rFonts w:asciiTheme="majorBidi" w:hAnsiTheme="majorBidi" w:cstheme="majorBidi"/>
          <w:i/>
          <w:iCs/>
          <w:sz w:val="22"/>
          <w:szCs w:val="22"/>
          <w:lang w:val="en-US"/>
        </w:rPr>
        <w:t>ijāzāt</w:t>
      </w:r>
      <w:proofErr w:type="spellEnd"/>
      <w:r w:rsidR="001F49AA" w:rsidRPr="00295D8D">
        <w:rPr>
          <w:rFonts w:asciiTheme="majorBidi" w:hAnsiTheme="majorBidi" w:cstheme="majorBidi"/>
          <w:sz w:val="22"/>
          <w:szCs w:val="22"/>
          <w:lang w:val="en-US"/>
        </w:rPr>
        <w:t>, though here for ease of reference we use the anglic</w:t>
      </w:r>
      <w:r w:rsidR="00295D8D" w:rsidRPr="00295D8D">
        <w:rPr>
          <w:rFonts w:asciiTheme="majorBidi" w:hAnsiTheme="majorBidi" w:cstheme="majorBidi"/>
          <w:sz w:val="22"/>
          <w:szCs w:val="22"/>
          <w:lang w:val="en-US"/>
        </w:rPr>
        <w:t>ized plural, “</w:t>
      </w:r>
      <w:r w:rsidR="00295D8D" w:rsidRPr="00295D8D">
        <w:rPr>
          <w:rFonts w:asciiTheme="majorBidi" w:hAnsiTheme="majorBidi" w:cstheme="majorBidi"/>
          <w:i/>
          <w:iCs/>
          <w:sz w:val="22"/>
          <w:szCs w:val="22"/>
          <w:lang w:val="en-US"/>
        </w:rPr>
        <w:t>ijāzas</w:t>
      </w:r>
      <w:r w:rsidR="00295D8D" w:rsidRPr="00295D8D">
        <w:rPr>
          <w:rFonts w:asciiTheme="majorBidi" w:hAnsiTheme="majorBidi" w:cstheme="majorBidi"/>
          <w:sz w:val="22"/>
          <w:szCs w:val="22"/>
          <w:lang w:val="en-US"/>
        </w:rPr>
        <w:t>.”</w:t>
      </w:r>
    </w:p>
  </w:footnote>
  <w:footnote w:id="4">
    <w:p w14:paraId="35D27C04" w14:textId="3D903595" w:rsidR="00965748" w:rsidRPr="00295D8D" w:rsidRDefault="00965748" w:rsidP="002407E3">
      <w:pPr>
        <w:rPr>
          <w:rFonts w:asciiTheme="majorBidi" w:eastAsia="Times New Roman" w:hAnsiTheme="majorBidi" w:cstheme="majorBidi"/>
          <w:sz w:val="22"/>
          <w:szCs w:val="22"/>
          <w:lang w:val="en-US"/>
        </w:rPr>
      </w:pPr>
      <w:r w:rsidRPr="00295D8D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 For an introduction to Sufism and Sufi </w:t>
      </w:r>
      <w:r w:rsidR="00B00BE6">
        <w:rPr>
          <w:rFonts w:asciiTheme="majorBidi" w:hAnsiTheme="majorBidi" w:cstheme="majorBidi"/>
          <w:sz w:val="22"/>
          <w:szCs w:val="22"/>
          <w:lang w:val="en-US"/>
        </w:rPr>
        <w:t>b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rotherhoods see, </w:t>
      </w:r>
      <w:r w:rsidR="00422AF8">
        <w:rPr>
          <w:rFonts w:asciiTheme="majorBidi" w:hAnsiTheme="majorBidi" w:cstheme="majorBidi"/>
          <w:sz w:val="22"/>
          <w:szCs w:val="22"/>
          <w:lang w:val="en-US"/>
        </w:rPr>
        <w:t>David Cook, “Mysticism in Sufi Islam</w:t>
      </w:r>
      <w:r w:rsidR="004563E0">
        <w:rPr>
          <w:rFonts w:asciiTheme="majorBidi" w:hAnsiTheme="majorBidi" w:cstheme="majorBidi"/>
          <w:sz w:val="22"/>
          <w:szCs w:val="22"/>
          <w:lang w:val="en-US"/>
        </w:rPr>
        <w:t>,</w:t>
      </w:r>
      <w:r w:rsidR="00B00BE6">
        <w:rPr>
          <w:rFonts w:asciiTheme="majorBidi" w:hAnsiTheme="majorBidi" w:cstheme="majorBidi"/>
          <w:sz w:val="22"/>
          <w:szCs w:val="22"/>
          <w:lang w:val="en-US"/>
        </w:rPr>
        <w:t>”</w:t>
      </w:r>
      <w:r w:rsidR="004563E0">
        <w:rPr>
          <w:rFonts w:asciiTheme="majorBidi" w:hAnsiTheme="majorBidi" w:cstheme="majorBidi"/>
          <w:sz w:val="22"/>
          <w:szCs w:val="22"/>
          <w:lang w:val="en-US"/>
        </w:rPr>
        <w:t xml:space="preserve"> in</w:t>
      </w:r>
      <w:r w:rsidR="00110F57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110F57" w:rsidRPr="00261FDA">
        <w:rPr>
          <w:rFonts w:asciiTheme="majorBidi" w:hAnsiTheme="majorBidi" w:cstheme="majorBidi"/>
          <w:i/>
          <w:iCs/>
          <w:sz w:val="22"/>
          <w:szCs w:val="22"/>
          <w:lang w:val="en-US"/>
        </w:rPr>
        <w:t>Oxford  Research Encyclopedia of Religion</w:t>
      </w:r>
      <w:r w:rsidR="00261FDA">
        <w:rPr>
          <w:rFonts w:asciiTheme="majorBidi" w:hAnsiTheme="majorBidi" w:cstheme="majorBidi"/>
          <w:sz w:val="22"/>
          <w:szCs w:val="22"/>
          <w:lang w:val="en-US"/>
        </w:rPr>
        <w:t xml:space="preserve"> (Oxford: Oxford University Press, </w:t>
      </w:r>
      <w:r w:rsidR="00545FA8">
        <w:rPr>
          <w:rFonts w:asciiTheme="majorBidi" w:hAnsiTheme="majorBidi" w:cstheme="majorBidi"/>
          <w:sz w:val="22"/>
          <w:szCs w:val="22"/>
          <w:lang w:val="en-US"/>
        </w:rPr>
        <w:t>published online 4 May</w:t>
      </w:r>
      <w:r w:rsidR="00261FDA">
        <w:rPr>
          <w:rFonts w:asciiTheme="majorBidi" w:hAnsiTheme="majorBidi" w:cstheme="majorBidi"/>
          <w:sz w:val="22"/>
          <w:szCs w:val="22"/>
          <w:lang w:val="en-US"/>
        </w:rPr>
        <w:t xml:space="preserve"> 2015</w:t>
      </w:r>
      <w:r w:rsidR="00545FA8">
        <w:rPr>
          <w:rFonts w:asciiTheme="majorBidi" w:hAnsiTheme="majorBidi" w:cstheme="majorBidi"/>
          <w:sz w:val="22"/>
          <w:szCs w:val="22"/>
          <w:lang w:val="en-US"/>
        </w:rPr>
        <w:t xml:space="preserve">), </w:t>
      </w:r>
      <w:hyperlink r:id="rId1" w:history="1">
        <w:r w:rsidR="00385AB7" w:rsidRPr="0051486F">
          <w:rPr>
            <w:rStyle w:val="Hyperlink"/>
            <w:rFonts w:asciiTheme="majorBidi" w:hAnsiTheme="majorBidi" w:cstheme="majorBidi"/>
            <w:sz w:val="22"/>
            <w:szCs w:val="22"/>
            <w:lang w:val="en-US"/>
          </w:rPr>
          <w:t>https://oxfordre.com/religion/display/10.1093/acrefore/9780199340378.001.0001/acrefore-9780199340378-e-51</w:t>
        </w:r>
      </w:hyperlink>
      <w:r w:rsidR="0051486F">
        <w:rPr>
          <w:rFonts w:asciiTheme="majorBidi" w:hAnsiTheme="majorBidi" w:cstheme="majorBidi"/>
          <w:sz w:val="22"/>
          <w:szCs w:val="22"/>
          <w:lang w:val="en-US"/>
        </w:rPr>
        <w:t xml:space="preserve">. 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For a history of these Sufi </w:t>
      </w:r>
      <w:r w:rsidR="00B00BE6">
        <w:rPr>
          <w:rFonts w:asciiTheme="majorBidi" w:hAnsiTheme="majorBidi" w:cstheme="majorBidi"/>
          <w:sz w:val="22"/>
          <w:szCs w:val="22"/>
          <w:lang w:val="en-US"/>
        </w:rPr>
        <w:t>b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>rother</w:t>
      </w:r>
      <w:r w:rsidR="00B00BE6">
        <w:rPr>
          <w:rFonts w:asciiTheme="majorBidi" w:hAnsiTheme="majorBidi" w:cstheme="majorBidi"/>
          <w:sz w:val="22"/>
          <w:szCs w:val="22"/>
          <w:lang w:val="en-US"/>
        </w:rPr>
        <w:t>h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oods in West Africa, see </w:t>
      </w:r>
      <w:r w:rsidR="00B00BE6">
        <w:rPr>
          <w:rFonts w:asciiTheme="majorBidi" w:hAnsiTheme="majorBidi" w:cstheme="majorBidi"/>
          <w:sz w:val="22"/>
          <w:szCs w:val="22"/>
          <w:lang w:val="en-US"/>
        </w:rPr>
        <w:t xml:space="preserve">Mauro </w:t>
      </w:r>
      <w:r w:rsidRPr="00295D8D">
        <w:rPr>
          <w:rFonts w:asciiTheme="majorBidi" w:eastAsia="Times New Roman" w:hAnsiTheme="majorBidi" w:cstheme="majorBidi"/>
          <w:sz w:val="22"/>
          <w:szCs w:val="22"/>
          <w:lang w:val="en-US"/>
        </w:rPr>
        <w:t>Nobili, “Muslim Brotherhoods in West African History</w:t>
      </w:r>
      <w:r w:rsidR="00B00BE6">
        <w:rPr>
          <w:rFonts w:asciiTheme="majorBidi" w:eastAsia="Times New Roman" w:hAnsiTheme="majorBidi" w:cstheme="majorBidi"/>
          <w:sz w:val="22"/>
          <w:szCs w:val="22"/>
          <w:lang w:val="en-US"/>
        </w:rPr>
        <w:t>,</w:t>
      </w:r>
      <w:r w:rsidRPr="00295D8D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” </w:t>
      </w:r>
      <w:r w:rsidR="00D30F6E">
        <w:rPr>
          <w:rFonts w:asciiTheme="majorBidi" w:eastAsia="Times New Roman" w:hAnsiTheme="majorBidi" w:cstheme="majorBidi"/>
          <w:sz w:val="22"/>
          <w:szCs w:val="22"/>
          <w:lang w:val="en-US"/>
        </w:rPr>
        <w:t>in</w:t>
      </w:r>
      <w:r w:rsidRPr="00295D8D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 </w:t>
      </w:r>
      <w:r w:rsidRPr="00295D8D">
        <w:rPr>
          <w:rFonts w:asciiTheme="majorBidi" w:eastAsia="Times New Roman" w:hAnsiTheme="majorBidi" w:cstheme="majorBidi"/>
          <w:i/>
          <w:iCs/>
          <w:sz w:val="22"/>
          <w:szCs w:val="22"/>
          <w:lang w:val="en-US"/>
        </w:rPr>
        <w:t>Oxford Research Encyclopedia of African History</w:t>
      </w:r>
      <w:r w:rsidR="005E5BFA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 (published online 29 October</w:t>
      </w:r>
      <w:r w:rsidRPr="00295D8D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 2021</w:t>
      </w:r>
      <w:r w:rsidR="005E5BFA">
        <w:rPr>
          <w:rFonts w:asciiTheme="majorBidi" w:eastAsia="Times New Roman" w:hAnsiTheme="majorBidi" w:cstheme="majorBidi"/>
          <w:sz w:val="22"/>
          <w:szCs w:val="22"/>
          <w:lang w:val="en-US"/>
        </w:rPr>
        <w:t>)</w:t>
      </w:r>
      <w:r w:rsidR="000F2261">
        <w:rPr>
          <w:rFonts w:asciiTheme="majorBidi" w:eastAsia="Times New Roman" w:hAnsiTheme="majorBidi" w:cstheme="majorBidi"/>
          <w:sz w:val="22"/>
          <w:szCs w:val="22"/>
          <w:lang w:val="en-US"/>
        </w:rPr>
        <w:t>,</w:t>
      </w:r>
      <w:r w:rsidRPr="00295D8D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 </w:t>
      </w:r>
      <w:hyperlink r:id="rId2" w:history="1">
        <w:r w:rsidRPr="00295D8D">
          <w:rPr>
            <w:rFonts w:asciiTheme="majorBidi" w:eastAsia="Times New Roman" w:hAnsiTheme="majorBidi" w:cstheme="majorBidi"/>
            <w:color w:val="0000FF"/>
            <w:sz w:val="22"/>
            <w:szCs w:val="22"/>
            <w:u w:val="single"/>
            <w:lang w:val="en-US"/>
          </w:rPr>
          <w:t>https://doi.org/10.1093/acrefore/9780190277734.013.171</w:t>
        </w:r>
      </w:hyperlink>
      <w:r w:rsidRPr="00295D8D">
        <w:rPr>
          <w:rFonts w:asciiTheme="majorBidi" w:eastAsia="Times New Roman" w:hAnsiTheme="majorBidi" w:cstheme="majorBidi"/>
          <w:sz w:val="22"/>
          <w:szCs w:val="22"/>
          <w:lang w:val="en-US"/>
        </w:rPr>
        <w:t>.</w:t>
      </w:r>
    </w:p>
  </w:footnote>
  <w:footnote w:id="5">
    <w:p w14:paraId="19023B25" w14:textId="5A611BB3" w:rsidR="007E24A5" w:rsidRPr="007E24A5" w:rsidRDefault="007E24A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E24A5">
        <w:rPr>
          <w:lang w:val="en-US"/>
        </w:rPr>
        <w:t xml:space="preserve"> 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MS 95/4/1057, </w:t>
      </w:r>
      <w:r>
        <w:rPr>
          <w:rFonts w:asciiTheme="majorBidi" w:hAnsiTheme="majorBidi" w:cstheme="majorBidi"/>
          <w:sz w:val="22"/>
          <w:szCs w:val="22"/>
          <w:lang w:val="en-US"/>
        </w:rPr>
        <w:t xml:space="preserve">MS 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 xml:space="preserve">95/4/1058, </w:t>
      </w:r>
      <w:r>
        <w:rPr>
          <w:rFonts w:asciiTheme="majorBidi" w:hAnsiTheme="majorBidi" w:cstheme="majorBidi"/>
          <w:sz w:val="22"/>
          <w:szCs w:val="22"/>
          <w:lang w:val="en-US"/>
        </w:rPr>
        <w:t xml:space="preserve">MS 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>95/4/1059, Charles C. Stewart Papers, University of Illinois Archives</w:t>
      </w:r>
      <w:r>
        <w:rPr>
          <w:rFonts w:asciiTheme="majorBidi" w:hAnsiTheme="majorBidi" w:cstheme="majorBidi"/>
          <w:sz w:val="22"/>
          <w:szCs w:val="22"/>
          <w:lang w:val="en-US"/>
        </w:rPr>
        <w:t xml:space="preserve"> (henceforth “Stewart Papers”)</w:t>
      </w:r>
      <w:r w:rsidRPr="00295D8D">
        <w:rPr>
          <w:rFonts w:asciiTheme="majorBidi" w:hAnsiTheme="majorBidi" w:cstheme="majorBidi"/>
          <w:sz w:val="22"/>
          <w:szCs w:val="22"/>
          <w:lang w:val="en-US"/>
        </w:rPr>
        <w:t>.</w:t>
      </w:r>
    </w:p>
  </w:footnote>
  <w:footnote w:id="6">
    <w:p w14:paraId="5CAF899B" w14:textId="275904B8" w:rsidR="00965748" w:rsidRPr="0035664A" w:rsidRDefault="00965748" w:rsidP="00200893">
      <w:pPr>
        <w:pStyle w:val="FootnoteText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35664A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200893" w:rsidRPr="0035664A">
        <w:rPr>
          <w:rFonts w:asciiTheme="majorBidi" w:eastAsia="DejaVu Serif" w:hAnsiTheme="majorBidi" w:cstheme="majorBidi"/>
          <w:sz w:val="22"/>
          <w:szCs w:val="22"/>
          <w:lang w:val="en-US"/>
        </w:rPr>
        <w:t xml:space="preserve">R. G. Jenkins, “The Evolution of Religious Brotherhoods in North and Northwest Africa 1523–1900,” in </w:t>
      </w:r>
      <w:r w:rsidR="00200893" w:rsidRPr="0035664A">
        <w:rPr>
          <w:rFonts w:asciiTheme="majorBidi" w:eastAsia="DejaVu Serif" w:hAnsiTheme="majorBidi" w:cstheme="majorBidi"/>
          <w:i/>
          <w:iCs/>
          <w:sz w:val="22"/>
          <w:szCs w:val="22"/>
          <w:lang w:val="en-US"/>
        </w:rPr>
        <w:t>Studies in West African Islamic History</w:t>
      </w:r>
      <w:r w:rsidR="00200893" w:rsidRPr="0035664A">
        <w:rPr>
          <w:rFonts w:asciiTheme="majorBidi" w:eastAsia="DejaVu Serif" w:hAnsiTheme="majorBidi" w:cstheme="majorBidi"/>
          <w:sz w:val="22"/>
          <w:szCs w:val="22"/>
          <w:lang w:val="en-US"/>
        </w:rPr>
        <w:t xml:space="preserve">, ed. John R. Willis (London: F. Cass, 1979); and </w:t>
      </w:r>
      <w:r w:rsidR="00200893" w:rsidRPr="0035664A">
        <w:rPr>
          <w:rFonts w:asciiTheme="majorBidi" w:eastAsia="DejaVu Serif" w:hAnsiTheme="majorBidi" w:cstheme="majorBidi"/>
          <w:color w:val="2A2A2A"/>
          <w:sz w:val="22"/>
          <w:szCs w:val="22"/>
          <w:lang w:val="en-US"/>
        </w:rPr>
        <w:t xml:space="preserve">Louis Brenner, “Concepts of Ṭarīqa in West Africa: The Case of the Qādiriyya,” in </w:t>
      </w:r>
      <w:r w:rsidR="00200893" w:rsidRPr="0035664A">
        <w:rPr>
          <w:rFonts w:asciiTheme="majorBidi" w:eastAsia="DejaVu Serif" w:hAnsiTheme="majorBidi" w:cstheme="majorBidi"/>
          <w:i/>
          <w:iCs/>
          <w:color w:val="000000"/>
          <w:sz w:val="22"/>
          <w:szCs w:val="22"/>
          <w:lang w:val="en-US"/>
        </w:rPr>
        <w:t>Charisma and Brotherhood in African Islam</w:t>
      </w:r>
      <w:r w:rsidR="00200893" w:rsidRPr="0035664A">
        <w:rPr>
          <w:rFonts w:asciiTheme="majorBidi" w:eastAsia="DejaVu Serif" w:hAnsiTheme="majorBidi" w:cstheme="majorBidi"/>
          <w:color w:val="2A2A2A"/>
          <w:sz w:val="22"/>
          <w:szCs w:val="22"/>
          <w:lang w:val="en-US"/>
        </w:rPr>
        <w:t>, ed. Donal B. Cruise O’Brien and Christian Coulon (Oxford: Clarendon Press, 1989), 33–52</w:t>
      </w:r>
      <w:r w:rsidR="00200893" w:rsidRPr="0035664A">
        <w:rPr>
          <w:rFonts w:asciiTheme="majorBidi" w:eastAsia="DejaVu Serif" w:hAnsiTheme="majorBidi" w:cstheme="majorBidi"/>
          <w:color w:val="000000"/>
          <w:sz w:val="22"/>
          <w:szCs w:val="22"/>
          <w:lang w:val="en-US"/>
        </w:rPr>
        <w:t>.</w:t>
      </w:r>
    </w:p>
  </w:footnote>
  <w:footnote w:id="7">
    <w:p w14:paraId="7453FC80" w14:textId="4796E910" w:rsidR="00B6527C" w:rsidRPr="0035664A" w:rsidRDefault="00B6527C" w:rsidP="00200893">
      <w:pPr>
        <w:pStyle w:val="FootnoteText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35664A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965748" w:rsidRPr="0035664A">
        <w:rPr>
          <w:rFonts w:asciiTheme="majorBidi" w:eastAsia="DejaVu Serif" w:hAnsiTheme="majorBidi" w:cstheme="majorBidi"/>
          <w:sz w:val="22"/>
          <w:szCs w:val="22"/>
          <w:lang w:val="en-US"/>
        </w:rPr>
        <w:t>Jenkins, “The Evolution of Religious Brotherhoods</w:t>
      </w:r>
      <w:r w:rsidR="001E2C01">
        <w:rPr>
          <w:rFonts w:asciiTheme="majorBidi" w:eastAsia="DejaVu Serif" w:hAnsiTheme="majorBidi" w:cstheme="majorBidi"/>
          <w:sz w:val="22"/>
          <w:szCs w:val="22"/>
          <w:lang w:val="en-US"/>
        </w:rPr>
        <w:t>,”</w:t>
      </w:r>
      <w:r w:rsidR="00965748" w:rsidRPr="0035664A">
        <w:rPr>
          <w:rFonts w:asciiTheme="majorBidi" w:eastAsia="DejaVu Serif" w:hAnsiTheme="majorBidi" w:cstheme="majorBidi"/>
          <w:sz w:val="22"/>
          <w:szCs w:val="22"/>
          <w:lang w:val="en-US"/>
        </w:rPr>
        <w:t xml:space="preserve"> 44.</w:t>
      </w:r>
    </w:p>
  </w:footnote>
  <w:footnote w:id="8">
    <w:p w14:paraId="51AB393F" w14:textId="44865723" w:rsidR="00965748" w:rsidRPr="0035664A" w:rsidRDefault="00965748" w:rsidP="000E041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35664A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35664A">
        <w:rPr>
          <w:rFonts w:asciiTheme="majorBidi" w:hAnsiTheme="majorBidi" w:cstheme="majorBidi"/>
          <w:sz w:val="22"/>
          <w:szCs w:val="22"/>
        </w:rPr>
        <w:t xml:space="preserve"> </w:t>
      </w:r>
      <w:r w:rsidRPr="0035664A">
        <w:rPr>
          <w:rFonts w:asciiTheme="majorBidi" w:eastAsia="DejaVu Serif" w:hAnsiTheme="majorBidi" w:cstheme="majorBidi"/>
          <w:color w:val="2A2A2A"/>
          <w:sz w:val="22"/>
          <w:szCs w:val="22"/>
        </w:rPr>
        <w:t>Aziz A. Batran, “Sīdī al-Mu</w:t>
      </w:r>
      <w:r w:rsidRPr="0035664A">
        <w:rPr>
          <w:rFonts w:asciiTheme="majorBidi" w:eastAsia="DejaVu Serif" w:hAnsiTheme="majorBidi" w:cstheme="majorBidi"/>
          <w:color w:val="000000"/>
          <w:sz w:val="22"/>
          <w:szCs w:val="22"/>
        </w:rPr>
        <w:t>kh</w:t>
      </w:r>
      <w:r w:rsidRPr="0035664A">
        <w:rPr>
          <w:rFonts w:asciiTheme="majorBidi" w:eastAsia="DejaVu Serif" w:hAnsiTheme="majorBidi" w:cstheme="majorBidi"/>
          <w:color w:val="2A2A2A"/>
          <w:sz w:val="22"/>
          <w:szCs w:val="22"/>
        </w:rPr>
        <w:t>tār al-Kuntī and the Recrudescence of Islam in the Western Sahara and the Middle Niger, c. 1750–1811” (PhD diss., University of Birmingham, 1971), 341</w:t>
      </w:r>
      <w:r w:rsidRPr="0035664A">
        <w:rPr>
          <w:rFonts w:asciiTheme="majorBidi" w:eastAsia="DejaVu Serif" w:hAnsiTheme="majorBidi" w:cstheme="majorBidi"/>
          <w:color w:val="000000"/>
          <w:sz w:val="22"/>
          <w:szCs w:val="22"/>
        </w:rPr>
        <w:t>. On al-Mukht</w:t>
      </w:r>
      <w:r w:rsidRPr="0035664A">
        <w:rPr>
          <w:rFonts w:asciiTheme="majorBidi" w:eastAsia="DejaVu Sans" w:hAnsiTheme="majorBidi" w:cstheme="majorBidi"/>
          <w:color w:val="000000"/>
          <w:sz w:val="22"/>
          <w:szCs w:val="22"/>
        </w:rPr>
        <w:t>ā</w:t>
      </w:r>
      <w:r w:rsidRPr="0035664A">
        <w:rPr>
          <w:rFonts w:asciiTheme="majorBidi" w:eastAsia="DejaVu Serif" w:hAnsiTheme="majorBidi" w:cstheme="majorBidi"/>
          <w:color w:val="000000"/>
          <w:sz w:val="22"/>
          <w:szCs w:val="22"/>
        </w:rPr>
        <w:t>r al-Kab</w:t>
      </w:r>
      <w:r w:rsidRPr="0035664A">
        <w:rPr>
          <w:rFonts w:asciiTheme="majorBidi" w:eastAsia="DejaVu Sans" w:hAnsiTheme="majorBidi" w:cstheme="majorBidi"/>
          <w:color w:val="000000"/>
          <w:sz w:val="22"/>
          <w:szCs w:val="22"/>
        </w:rPr>
        <w:t>ī</w:t>
      </w:r>
      <w:r w:rsidRPr="0035664A">
        <w:rPr>
          <w:rFonts w:asciiTheme="majorBidi" w:eastAsia="DejaVu Serif" w:hAnsiTheme="majorBidi" w:cstheme="majorBidi"/>
          <w:color w:val="000000"/>
          <w:sz w:val="22"/>
          <w:szCs w:val="22"/>
        </w:rPr>
        <w:t>r, see</w:t>
      </w:r>
      <w:r w:rsidR="00027ABB" w:rsidRPr="0035664A">
        <w:rPr>
          <w:rFonts w:asciiTheme="majorBidi" w:eastAsia="DejaVu Serif" w:hAnsiTheme="majorBidi" w:cstheme="majorBidi"/>
          <w:color w:val="000000"/>
          <w:sz w:val="22"/>
          <w:szCs w:val="22"/>
        </w:rPr>
        <w:t xml:space="preserve"> </w:t>
      </w:r>
      <w:r w:rsidR="00027ABB" w:rsidRPr="0035664A">
        <w:rPr>
          <w:rStyle w:val="normaltextrun"/>
          <w:rFonts w:asciiTheme="majorBidi" w:hAnsiTheme="majorBidi" w:cstheme="majorBidi"/>
          <w:sz w:val="22"/>
          <w:szCs w:val="22"/>
        </w:rPr>
        <w:t xml:space="preserve">John O. Hunwick, </w:t>
      </w:r>
      <w:r w:rsidR="00027ABB" w:rsidRPr="0035664A">
        <w:rPr>
          <w:rStyle w:val="normaltextrun"/>
          <w:rFonts w:asciiTheme="majorBidi" w:hAnsiTheme="majorBidi" w:cstheme="majorBidi"/>
          <w:i/>
          <w:iCs/>
          <w:sz w:val="22"/>
          <w:szCs w:val="22"/>
        </w:rPr>
        <w:t>Arabic Literature of Africa</w:t>
      </w:r>
      <w:r w:rsidR="00027ABB" w:rsidRPr="0035664A">
        <w:rPr>
          <w:rStyle w:val="normaltextrun"/>
          <w:rFonts w:asciiTheme="majorBidi" w:hAnsiTheme="majorBidi" w:cstheme="majorBidi"/>
          <w:sz w:val="22"/>
          <w:szCs w:val="22"/>
        </w:rPr>
        <w:t xml:space="preserve">, vol. 4, </w:t>
      </w:r>
      <w:r w:rsidR="00027ABB" w:rsidRPr="0035664A">
        <w:rPr>
          <w:rStyle w:val="normaltextrun"/>
          <w:rFonts w:asciiTheme="majorBidi" w:hAnsiTheme="majorBidi" w:cstheme="majorBidi"/>
          <w:i/>
          <w:iCs/>
          <w:sz w:val="22"/>
          <w:szCs w:val="22"/>
        </w:rPr>
        <w:t>The Writings of Western Sudanic Africa</w:t>
      </w:r>
      <w:r w:rsidR="00027ABB" w:rsidRPr="0035664A">
        <w:rPr>
          <w:rStyle w:val="normaltextrun"/>
          <w:rFonts w:asciiTheme="majorBidi" w:hAnsiTheme="majorBidi" w:cstheme="majorBidi"/>
          <w:sz w:val="22"/>
          <w:szCs w:val="22"/>
        </w:rPr>
        <w:t xml:space="preserve"> (Leiden: Brill, 2003), </w:t>
      </w:r>
      <w:r w:rsidR="00F4679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68-94. The full version of his name, as found in </w:t>
      </w:r>
      <w:r w:rsidR="00F46794" w:rsidRPr="00F5486C">
        <w:rPr>
          <w:rStyle w:val="eop"/>
          <w:rFonts w:asciiTheme="majorBidi" w:hAnsiTheme="majorBidi" w:cstheme="majorBidi"/>
          <w:i/>
          <w:iCs/>
          <w:sz w:val="22"/>
          <w:szCs w:val="22"/>
        </w:rPr>
        <w:t>ALA</w:t>
      </w:r>
      <w:r w:rsidR="00F4679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 vol. 4, is </w:t>
      </w:r>
      <w:r w:rsidR="007E37A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al-Mukhtār b. Aḥmad b. </w:t>
      </w:r>
      <w:proofErr w:type="spellStart"/>
      <w:r w:rsidR="007E37A4" w:rsidRPr="0035664A">
        <w:rPr>
          <w:rStyle w:val="eop"/>
          <w:rFonts w:asciiTheme="majorBidi" w:hAnsiTheme="majorBidi" w:cstheme="majorBidi"/>
          <w:sz w:val="22"/>
          <w:szCs w:val="22"/>
        </w:rPr>
        <w:t>Abī</w:t>
      </w:r>
      <w:proofErr w:type="spellEnd"/>
      <w:r w:rsidR="007E37A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 Bakr al-</w:t>
      </w:r>
      <w:proofErr w:type="spellStart"/>
      <w:r w:rsidR="007E37A4" w:rsidRPr="0035664A">
        <w:rPr>
          <w:rStyle w:val="eop"/>
          <w:rFonts w:asciiTheme="majorBidi" w:hAnsiTheme="majorBidi" w:cstheme="majorBidi"/>
          <w:sz w:val="22"/>
          <w:szCs w:val="22"/>
        </w:rPr>
        <w:t>Kuntī</w:t>
      </w:r>
      <w:proofErr w:type="spellEnd"/>
      <w:r w:rsidR="007E37A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 al-</w:t>
      </w:r>
      <w:proofErr w:type="spellStart"/>
      <w:r w:rsidR="007E37A4" w:rsidRPr="0035664A">
        <w:rPr>
          <w:rStyle w:val="eop"/>
          <w:rFonts w:asciiTheme="majorBidi" w:hAnsiTheme="majorBidi" w:cstheme="majorBidi"/>
          <w:sz w:val="22"/>
          <w:szCs w:val="22"/>
        </w:rPr>
        <w:t>Wāfi</w:t>
      </w:r>
      <w:proofErr w:type="spellEnd"/>
      <w:r w:rsidR="008A3FF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8A3FF4" w:rsidRPr="0035664A">
        <w:rPr>
          <w:rStyle w:val="eop"/>
          <w:rFonts w:asciiTheme="majorBidi" w:hAnsiTheme="majorBidi" w:cstheme="majorBidi"/>
          <w:sz w:val="22"/>
          <w:szCs w:val="22"/>
        </w:rPr>
        <w:t>Abū</w:t>
      </w:r>
      <w:proofErr w:type="spellEnd"/>
      <w:r w:rsidR="008A3FF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 Zayn al-</w:t>
      </w:r>
      <w:proofErr w:type="spellStart"/>
      <w:r w:rsidR="008A3FF4" w:rsidRPr="0035664A">
        <w:rPr>
          <w:rStyle w:val="eop"/>
          <w:rFonts w:asciiTheme="majorBidi" w:hAnsiTheme="majorBidi" w:cstheme="majorBidi"/>
          <w:sz w:val="22"/>
          <w:szCs w:val="22"/>
        </w:rPr>
        <w:t>ʿĀbidīn</w:t>
      </w:r>
      <w:proofErr w:type="spellEnd"/>
      <w:r w:rsidR="008A3FF4" w:rsidRPr="0035664A">
        <w:rPr>
          <w:rStyle w:val="eop"/>
          <w:rFonts w:asciiTheme="majorBidi" w:hAnsiTheme="majorBidi" w:cstheme="majorBidi"/>
          <w:sz w:val="22"/>
          <w:szCs w:val="22"/>
        </w:rPr>
        <w:t xml:space="preserve">. </w:t>
      </w:r>
    </w:p>
  </w:footnote>
  <w:footnote w:id="9">
    <w:p w14:paraId="54E4B6D8" w14:textId="77777777" w:rsidR="008328EA" w:rsidRPr="0035664A" w:rsidRDefault="008328EA" w:rsidP="000E0413">
      <w:pPr>
        <w:jc w:val="both"/>
        <w:rPr>
          <w:rFonts w:asciiTheme="majorBidi" w:eastAsia="Times New Roman" w:hAnsiTheme="majorBidi" w:cstheme="majorBidi"/>
          <w:sz w:val="22"/>
          <w:szCs w:val="22"/>
          <w:lang w:val="en-US"/>
        </w:rPr>
      </w:pPr>
      <w:r w:rsidRPr="0035664A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 For a study on Shaykh </w:t>
      </w:r>
      <w:proofErr w:type="spellStart"/>
      <w:r w:rsidRPr="0035664A">
        <w:rPr>
          <w:rFonts w:asciiTheme="majorBidi" w:hAnsiTheme="majorBidi" w:cstheme="majorBidi"/>
          <w:sz w:val="22"/>
          <w:szCs w:val="22"/>
          <w:lang w:val="en-US"/>
        </w:rPr>
        <w:t>Sīdiyyā</w:t>
      </w:r>
      <w:proofErr w:type="spellEnd"/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, see Charles C. </w:t>
      </w:r>
      <w:proofErr w:type="spellStart"/>
      <w:r w:rsidRPr="0035664A">
        <w:rPr>
          <w:rFonts w:asciiTheme="majorBidi" w:eastAsia="Times New Roman" w:hAnsiTheme="majorBidi" w:cstheme="majorBidi"/>
          <w:sz w:val="22"/>
          <w:szCs w:val="22"/>
          <w:lang w:val="en-US"/>
        </w:rPr>
        <w:t>Stewar</w:t>
      </w:r>
      <w:proofErr w:type="spellEnd"/>
      <w:r w:rsidRPr="0035664A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. </w:t>
      </w:r>
      <w:r w:rsidRPr="0035664A">
        <w:rPr>
          <w:rFonts w:asciiTheme="majorBidi" w:eastAsia="Times New Roman" w:hAnsiTheme="majorBidi" w:cstheme="majorBidi"/>
          <w:i/>
          <w:iCs/>
          <w:sz w:val="22"/>
          <w:szCs w:val="22"/>
          <w:lang w:val="en-US"/>
        </w:rPr>
        <w:t>Islam and Social Order in Mauritania: A Case Study from the Nineteenth Century</w:t>
      </w:r>
      <w:r w:rsidRPr="0035664A">
        <w:rPr>
          <w:rFonts w:asciiTheme="majorBidi" w:eastAsia="Times New Roman" w:hAnsiTheme="majorBidi" w:cstheme="majorBidi"/>
          <w:sz w:val="22"/>
          <w:szCs w:val="22"/>
          <w:lang w:val="en-US"/>
        </w:rPr>
        <w:t xml:space="preserve"> (Oxford: Clarendon Press, 1973) and </w:t>
      </w:r>
      <w:r w:rsidRPr="0035664A">
        <w:rPr>
          <w:rStyle w:val="normaltextrun"/>
          <w:rFonts w:asciiTheme="majorBidi" w:hAnsiTheme="majorBidi" w:cstheme="majorBidi"/>
          <w:color w:val="000000"/>
          <w:sz w:val="22"/>
          <w:szCs w:val="22"/>
          <w:lang w:val="en-US"/>
        </w:rPr>
        <w:t xml:space="preserve">Charles C. Stewart with Sidi Ahmed </w:t>
      </w:r>
      <w:proofErr w:type="spellStart"/>
      <w:r w:rsidRPr="0035664A">
        <w:rPr>
          <w:rStyle w:val="normaltextrun"/>
          <w:rFonts w:asciiTheme="majorBidi" w:hAnsiTheme="majorBidi" w:cstheme="majorBidi"/>
          <w:color w:val="000000"/>
          <w:sz w:val="22"/>
          <w:szCs w:val="22"/>
          <w:lang w:val="en-US"/>
        </w:rPr>
        <w:t>Wuld</w:t>
      </w:r>
      <w:proofErr w:type="spellEnd"/>
      <w:r w:rsidRPr="0035664A">
        <w:rPr>
          <w:rStyle w:val="normaltextrun"/>
          <w:rFonts w:asciiTheme="majorBidi" w:hAnsiTheme="majorBidi" w:cstheme="majorBidi"/>
          <w:color w:val="000000"/>
          <w:sz w:val="22"/>
          <w:szCs w:val="22"/>
          <w:lang w:val="en-US"/>
        </w:rPr>
        <w:t xml:space="preserve"> Ahmed Salim, </w:t>
      </w:r>
      <w:r w:rsidRPr="0035664A">
        <w:rPr>
          <w:rStyle w:val="normaltextrun"/>
          <w:rFonts w:asciiTheme="majorBidi" w:hAnsiTheme="majorBidi" w:cstheme="majorBidi"/>
          <w:i/>
          <w:iCs/>
          <w:color w:val="000000"/>
          <w:sz w:val="22"/>
          <w:szCs w:val="22"/>
          <w:lang w:val="en-US"/>
        </w:rPr>
        <w:t xml:space="preserve">Arabic Literature of Africa, </w:t>
      </w:r>
      <w:r w:rsidRPr="0035664A">
        <w:rPr>
          <w:rStyle w:val="normaltextrun"/>
          <w:rFonts w:asciiTheme="majorBidi" w:hAnsiTheme="majorBidi" w:cstheme="majorBidi"/>
          <w:color w:val="000000"/>
          <w:sz w:val="22"/>
          <w:szCs w:val="22"/>
          <w:lang w:val="en-US"/>
        </w:rPr>
        <w:t xml:space="preserve">vol. 5, pt. 1, </w:t>
      </w:r>
      <w:r w:rsidRPr="0035664A">
        <w:rPr>
          <w:rStyle w:val="normaltextrun"/>
          <w:rFonts w:asciiTheme="majorBidi" w:hAnsiTheme="majorBidi" w:cstheme="majorBidi"/>
          <w:i/>
          <w:iCs/>
          <w:color w:val="000000"/>
          <w:sz w:val="22"/>
          <w:szCs w:val="22"/>
          <w:lang w:val="en-US"/>
        </w:rPr>
        <w:t>The Writings of Mauritania and the Western Sahara</w:t>
      </w:r>
      <w:r w:rsidRPr="0035664A">
        <w:rPr>
          <w:rStyle w:val="normaltextrun"/>
          <w:rFonts w:asciiTheme="majorBidi" w:hAnsiTheme="majorBidi" w:cstheme="majorBidi"/>
          <w:color w:val="000000"/>
          <w:sz w:val="22"/>
          <w:szCs w:val="22"/>
          <w:lang w:val="en-US"/>
        </w:rPr>
        <w:t xml:space="preserve"> (Leiden: Brill, 2016), </w:t>
      </w:r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133–45. The full version of his name, as found in ALA vol. 5, is Shaykh </w:t>
      </w:r>
      <w:proofErr w:type="spellStart"/>
      <w:r w:rsidRPr="0035664A">
        <w:rPr>
          <w:rFonts w:asciiTheme="majorBidi" w:hAnsiTheme="majorBidi" w:cstheme="majorBidi"/>
          <w:sz w:val="22"/>
          <w:szCs w:val="22"/>
          <w:lang w:val="en-US"/>
        </w:rPr>
        <w:t>Sīdiyyā</w:t>
      </w:r>
      <w:proofErr w:type="spellEnd"/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 b. al-Mukhtār b. al-</w:t>
      </w:r>
      <w:proofErr w:type="spellStart"/>
      <w:r w:rsidRPr="0035664A">
        <w:rPr>
          <w:rFonts w:asciiTheme="majorBidi" w:hAnsiTheme="majorBidi" w:cstheme="majorBidi"/>
          <w:sz w:val="22"/>
          <w:szCs w:val="22"/>
          <w:lang w:val="en-US"/>
        </w:rPr>
        <w:t>Hayba</w:t>
      </w:r>
      <w:proofErr w:type="spellEnd"/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 al </w:t>
      </w:r>
      <w:proofErr w:type="spellStart"/>
      <w:r w:rsidRPr="0035664A">
        <w:rPr>
          <w:rFonts w:asciiTheme="majorBidi" w:hAnsiTheme="majorBidi" w:cstheme="majorBidi"/>
          <w:sz w:val="22"/>
          <w:szCs w:val="22"/>
          <w:lang w:val="en-US"/>
        </w:rPr>
        <w:t>Abyayrī</w:t>
      </w:r>
      <w:proofErr w:type="spellEnd"/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 al-</w:t>
      </w:r>
      <w:proofErr w:type="spellStart"/>
      <w:r w:rsidRPr="0035664A">
        <w:rPr>
          <w:rFonts w:asciiTheme="majorBidi" w:hAnsiTheme="majorBidi" w:cstheme="majorBidi"/>
          <w:sz w:val="22"/>
          <w:szCs w:val="22"/>
          <w:lang w:val="en-US"/>
        </w:rPr>
        <w:t>Intashāʾī</w:t>
      </w:r>
      <w:proofErr w:type="spellEnd"/>
      <w:r w:rsidRPr="0035664A">
        <w:rPr>
          <w:rFonts w:asciiTheme="majorBidi" w:hAnsiTheme="majorBidi" w:cstheme="majorBidi"/>
          <w:sz w:val="22"/>
          <w:szCs w:val="22"/>
          <w:lang w:val="en-US"/>
        </w:rPr>
        <w:t xml:space="preserve">. </w:t>
      </w:r>
    </w:p>
  </w:footnote>
  <w:footnote w:id="10">
    <w:p w14:paraId="5321AA32" w14:textId="5F64CB80" w:rsidR="00200893" w:rsidRPr="008952BF" w:rsidRDefault="00200893" w:rsidP="00200893">
      <w:pPr>
        <w:pStyle w:val="FootnoteText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8952BF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For a study of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Muḥammad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al-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Kuntī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, see </w:t>
      </w:r>
      <w:r w:rsidR="00D40245" w:rsidRPr="008952BF">
        <w:rPr>
          <w:rFonts w:asciiTheme="majorBidi" w:hAnsiTheme="majorBidi" w:cstheme="majorBidi"/>
          <w:sz w:val="22"/>
          <w:szCs w:val="22"/>
          <w:lang w:val="en-US"/>
        </w:rPr>
        <w:t xml:space="preserve">Abdallah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Ould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Daddah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>, “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Šayh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Sîdi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Muhammed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Wuld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Sîd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Al-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Muḫtar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al-Kunti (1183H/1769-70-2 </w:t>
      </w:r>
      <w:proofErr w:type="spellStart"/>
      <w:r w:rsidRPr="008952BF">
        <w:rPr>
          <w:rFonts w:asciiTheme="majorBidi" w:hAnsiTheme="majorBidi" w:cstheme="majorBidi"/>
          <w:sz w:val="22"/>
          <w:szCs w:val="22"/>
          <w:lang w:val="en-US"/>
        </w:rPr>
        <w:t>Šawwâl</w:t>
      </w:r>
      <w:proofErr w:type="spellEnd"/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1241/12 Mars 1826). </w:t>
      </w:r>
      <w:r w:rsidRPr="008952BF">
        <w:rPr>
          <w:rFonts w:asciiTheme="majorBidi" w:hAnsiTheme="majorBidi" w:cstheme="majorBidi"/>
          <w:sz w:val="22"/>
          <w:szCs w:val="22"/>
        </w:rPr>
        <w:t>Contribution à l’</w:t>
      </w:r>
      <w:r w:rsidR="004E21D2" w:rsidRPr="008952BF">
        <w:rPr>
          <w:rFonts w:asciiTheme="majorBidi" w:hAnsiTheme="majorBidi" w:cstheme="majorBidi"/>
          <w:sz w:val="22"/>
          <w:szCs w:val="22"/>
        </w:rPr>
        <w:t>h</w:t>
      </w:r>
      <w:r w:rsidRPr="008952BF">
        <w:rPr>
          <w:rFonts w:asciiTheme="majorBidi" w:hAnsiTheme="majorBidi" w:cstheme="majorBidi"/>
          <w:sz w:val="22"/>
          <w:szCs w:val="22"/>
        </w:rPr>
        <w:t xml:space="preserve">istoire </w:t>
      </w:r>
      <w:r w:rsidR="004E21D2" w:rsidRPr="008952BF">
        <w:rPr>
          <w:rFonts w:asciiTheme="majorBidi" w:hAnsiTheme="majorBidi" w:cstheme="majorBidi"/>
          <w:sz w:val="22"/>
          <w:szCs w:val="22"/>
        </w:rPr>
        <w:t>p</w:t>
      </w:r>
      <w:r w:rsidRPr="008952BF">
        <w:rPr>
          <w:rFonts w:asciiTheme="majorBidi" w:hAnsiTheme="majorBidi" w:cstheme="majorBidi"/>
          <w:sz w:val="22"/>
          <w:szCs w:val="22"/>
        </w:rPr>
        <w:t xml:space="preserve">olitique et </w:t>
      </w:r>
      <w:r w:rsidR="004E21D2" w:rsidRPr="008952BF">
        <w:rPr>
          <w:rFonts w:asciiTheme="majorBidi" w:hAnsiTheme="majorBidi" w:cstheme="majorBidi"/>
          <w:sz w:val="22"/>
          <w:szCs w:val="22"/>
        </w:rPr>
        <w:t>r</w:t>
      </w:r>
      <w:r w:rsidRPr="008952BF">
        <w:rPr>
          <w:rFonts w:asciiTheme="majorBidi" w:hAnsiTheme="majorBidi" w:cstheme="majorBidi"/>
          <w:sz w:val="22"/>
          <w:szCs w:val="22"/>
        </w:rPr>
        <w:t xml:space="preserve">eligieuse de </w:t>
      </w:r>
      <w:proofErr w:type="spellStart"/>
      <w:r w:rsidRPr="008952BF">
        <w:rPr>
          <w:rFonts w:asciiTheme="majorBidi" w:hAnsiTheme="majorBidi" w:cstheme="majorBidi"/>
          <w:sz w:val="22"/>
          <w:szCs w:val="22"/>
        </w:rPr>
        <w:t>Bilâd</w:t>
      </w:r>
      <w:proofErr w:type="spellEnd"/>
      <w:r w:rsidRPr="008952BF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8952BF">
        <w:rPr>
          <w:rFonts w:asciiTheme="majorBidi" w:hAnsiTheme="majorBidi" w:cstheme="majorBidi"/>
          <w:sz w:val="22"/>
          <w:szCs w:val="22"/>
        </w:rPr>
        <w:t>Šinqîṭ</w:t>
      </w:r>
      <w:proofErr w:type="spellEnd"/>
      <w:r w:rsidRPr="008952BF">
        <w:rPr>
          <w:rFonts w:asciiTheme="majorBidi" w:hAnsiTheme="majorBidi" w:cstheme="majorBidi"/>
          <w:sz w:val="22"/>
          <w:szCs w:val="22"/>
        </w:rPr>
        <w:t xml:space="preserve"> et </w:t>
      </w:r>
      <w:r w:rsidR="009179E0" w:rsidRPr="008952BF">
        <w:rPr>
          <w:rFonts w:asciiTheme="majorBidi" w:hAnsiTheme="majorBidi" w:cstheme="majorBidi"/>
          <w:sz w:val="22"/>
          <w:szCs w:val="22"/>
        </w:rPr>
        <w:t>d</w:t>
      </w:r>
      <w:r w:rsidRPr="008952BF">
        <w:rPr>
          <w:rFonts w:asciiTheme="majorBidi" w:hAnsiTheme="majorBidi" w:cstheme="majorBidi"/>
          <w:sz w:val="22"/>
          <w:szCs w:val="22"/>
        </w:rPr>
        <w:t xml:space="preserve">es </w:t>
      </w:r>
      <w:r w:rsidR="004E21D2" w:rsidRPr="008952BF">
        <w:rPr>
          <w:rFonts w:asciiTheme="majorBidi" w:hAnsiTheme="majorBidi" w:cstheme="majorBidi"/>
          <w:sz w:val="22"/>
          <w:szCs w:val="22"/>
        </w:rPr>
        <w:t>r</w:t>
      </w:r>
      <w:r w:rsidRPr="008952BF">
        <w:rPr>
          <w:rFonts w:asciiTheme="majorBidi" w:hAnsiTheme="majorBidi" w:cstheme="majorBidi"/>
          <w:sz w:val="22"/>
          <w:szCs w:val="22"/>
        </w:rPr>
        <w:t xml:space="preserve">égions </w:t>
      </w:r>
      <w:r w:rsidR="004E21D2" w:rsidRPr="008952BF">
        <w:rPr>
          <w:rFonts w:asciiTheme="majorBidi" w:hAnsiTheme="majorBidi" w:cstheme="majorBidi"/>
          <w:sz w:val="22"/>
          <w:szCs w:val="22"/>
        </w:rPr>
        <w:t>v</w:t>
      </w:r>
      <w:r w:rsidRPr="008952BF">
        <w:rPr>
          <w:rFonts w:asciiTheme="majorBidi" w:hAnsiTheme="majorBidi" w:cstheme="majorBidi"/>
          <w:sz w:val="22"/>
          <w:szCs w:val="22"/>
        </w:rPr>
        <w:t xml:space="preserve">oisines, </w:t>
      </w:r>
      <w:r w:rsidR="004E21D2" w:rsidRPr="008952BF">
        <w:rPr>
          <w:rFonts w:asciiTheme="majorBidi" w:hAnsiTheme="majorBidi" w:cstheme="majorBidi"/>
          <w:sz w:val="22"/>
          <w:szCs w:val="22"/>
        </w:rPr>
        <w:t>n</w:t>
      </w:r>
      <w:r w:rsidRPr="008952BF">
        <w:rPr>
          <w:rFonts w:asciiTheme="majorBidi" w:hAnsiTheme="majorBidi" w:cstheme="majorBidi"/>
          <w:sz w:val="22"/>
          <w:szCs w:val="22"/>
        </w:rPr>
        <w:t xml:space="preserve">otamment d’après </w:t>
      </w:r>
      <w:r w:rsidR="00757023" w:rsidRPr="008952BF">
        <w:rPr>
          <w:rFonts w:asciiTheme="majorBidi" w:hAnsiTheme="majorBidi" w:cstheme="majorBidi"/>
          <w:sz w:val="22"/>
          <w:szCs w:val="22"/>
        </w:rPr>
        <w:t>l</w:t>
      </w:r>
      <w:r w:rsidRPr="008952BF">
        <w:rPr>
          <w:rFonts w:asciiTheme="majorBidi" w:hAnsiTheme="majorBidi" w:cstheme="majorBidi"/>
          <w:sz w:val="22"/>
          <w:szCs w:val="22"/>
        </w:rPr>
        <w:t xml:space="preserve">es </w:t>
      </w:r>
      <w:r w:rsidR="004E21D2" w:rsidRPr="008952BF">
        <w:rPr>
          <w:rFonts w:asciiTheme="majorBidi" w:hAnsiTheme="majorBidi" w:cstheme="majorBidi"/>
          <w:sz w:val="22"/>
          <w:szCs w:val="22"/>
        </w:rPr>
        <w:t>s</w:t>
      </w:r>
      <w:r w:rsidRPr="008952BF">
        <w:rPr>
          <w:rFonts w:asciiTheme="majorBidi" w:hAnsiTheme="majorBidi" w:cstheme="majorBidi"/>
          <w:sz w:val="22"/>
          <w:szCs w:val="22"/>
        </w:rPr>
        <w:t xml:space="preserve">ources </w:t>
      </w:r>
      <w:r w:rsidR="004E21D2" w:rsidRPr="008952BF">
        <w:rPr>
          <w:rFonts w:asciiTheme="majorBidi" w:hAnsiTheme="majorBidi" w:cstheme="majorBidi"/>
          <w:sz w:val="22"/>
          <w:szCs w:val="22"/>
        </w:rPr>
        <w:t>a</w:t>
      </w:r>
      <w:r w:rsidRPr="008952BF">
        <w:rPr>
          <w:rFonts w:asciiTheme="majorBidi" w:hAnsiTheme="majorBidi" w:cstheme="majorBidi"/>
          <w:sz w:val="22"/>
          <w:szCs w:val="22"/>
        </w:rPr>
        <w:t xml:space="preserve">rabes </w:t>
      </w:r>
      <w:r w:rsidR="004E21D2" w:rsidRPr="008952BF">
        <w:rPr>
          <w:rFonts w:asciiTheme="majorBidi" w:hAnsiTheme="majorBidi" w:cstheme="majorBidi"/>
          <w:sz w:val="22"/>
          <w:szCs w:val="22"/>
        </w:rPr>
        <w:t>i</w:t>
      </w:r>
      <w:r w:rsidRPr="008952BF">
        <w:rPr>
          <w:rFonts w:asciiTheme="majorBidi" w:hAnsiTheme="majorBidi" w:cstheme="majorBidi"/>
          <w:sz w:val="22"/>
          <w:szCs w:val="22"/>
        </w:rPr>
        <w:t>nédites”</w:t>
      </w:r>
      <w:r w:rsidR="00757023" w:rsidRPr="008952BF">
        <w:rPr>
          <w:rFonts w:asciiTheme="majorBidi" w:hAnsiTheme="majorBidi" w:cstheme="majorBidi"/>
          <w:sz w:val="22"/>
          <w:szCs w:val="22"/>
        </w:rPr>
        <w:t xml:space="preserve"> (PhD </w:t>
      </w:r>
      <w:proofErr w:type="spellStart"/>
      <w:r w:rsidR="00757023" w:rsidRPr="008952BF">
        <w:rPr>
          <w:rFonts w:asciiTheme="majorBidi" w:hAnsiTheme="majorBidi" w:cstheme="majorBidi"/>
          <w:sz w:val="22"/>
          <w:szCs w:val="22"/>
        </w:rPr>
        <w:t>diss</w:t>
      </w:r>
      <w:proofErr w:type="spellEnd"/>
      <w:r w:rsidR="00757023" w:rsidRPr="008952BF">
        <w:rPr>
          <w:rFonts w:asciiTheme="majorBidi" w:hAnsiTheme="majorBidi" w:cstheme="majorBidi"/>
          <w:sz w:val="22"/>
          <w:szCs w:val="22"/>
        </w:rPr>
        <w:t>.,</w:t>
      </w:r>
      <w:r w:rsidRPr="008952BF">
        <w:rPr>
          <w:rFonts w:asciiTheme="majorBidi" w:hAnsiTheme="majorBidi" w:cstheme="majorBidi"/>
          <w:sz w:val="22"/>
          <w:szCs w:val="22"/>
        </w:rPr>
        <w:t xml:space="preserve"> Université de Paris–Sorbonne, 1977</w:t>
      </w:r>
      <w:proofErr w:type="gramStart"/>
      <w:r w:rsidR="00F1462E" w:rsidRPr="008952BF">
        <w:rPr>
          <w:rFonts w:asciiTheme="majorBidi" w:hAnsiTheme="majorBidi" w:cstheme="majorBidi"/>
          <w:sz w:val="22"/>
          <w:szCs w:val="22"/>
        </w:rPr>
        <w:t>)</w:t>
      </w:r>
      <w:r w:rsidRPr="008952BF">
        <w:rPr>
          <w:rFonts w:asciiTheme="majorBidi" w:hAnsiTheme="majorBidi" w:cstheme="majorBidi"/>
          <w:sz w:val="22"/>
          <w:szCs w:val="22"/>
        </w:rPr>
        <w:t>;</w:t>
      </w:r>
      <w:proofErr w:type="gramEnd"/>
      <w:r w:rsidRPr="008952BF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="00E24B3F" w:rsidRPr="008952BF">
        <w:rPr>
          <w:rFonts w:asciiTheme="majorBidi" w:hAnsiTheme="majorBidi" w:cstheme="majorBidi"/>
          <w:sz w:val="22"/>
          <w:szCs w:val="22"/>
        </w:rPr>
        <w:t>Hunwick</w:t>
      </w:r>
      <w:proofErr w:type="spellEnd"/>
      <w:r w:rsidR="00E24B3F" w:rsidRPr="008952BF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8952BF">
        <w:rPr>
          <w:rFonts w:asciiTheme="majorBidi" w:hAnsiTheme="majorBidi" w:cstheme="majorBidi"/>
          <w:i/>
          <w:iCs/>
          <w:sz w:val="22"/>
          <w:szCs w:val="22"/>
        </w:rPr>
        <w:t>A</w:t>
      </w:r>
      <w:r w:rsidR="00B37E2A" w:rsidRPr="008952BF">
        <w:rPr>
          <w:rFonts w:asciiTheme="majorBidi" w:hAnsiTheme="majorBidi" w:cstheme="majorBidi"/>
          <w:i/>
          <w:iCs/>
          <w:sz w:val="22"/>
          <w:szCs w:val="22"/>
        </w:rPr>
        <w:t>rabic</w:t>
      </w:r>
      <w:proofErr w:type="spellEnd"/>
      <w:r w:rsidR="00B37E2A" w:rsidRPr="008952BF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proofErr w:type="spellStart"/>
      <w:r w:rsidRPr="008952BF">
        <w:rPr>
          <w:rFonts w:asciiTheme="majorBidi" w:hAnsiTheme="majorBidi" w:cstheme="majorBidi"/>
          <w:i/>
          <w:iCs/>
          <w:sz w:val="22"/>
          <w:szCs w:val="22"/>
        </w:rPr>
        <w:t>L</w:t>
      </w:r>
      <w:r w:rsidR="00B37E2A" w:rsidRPr="008952BF">
        <w:rPr>
          <w:rFonts w:asciiTheme="majorBidi" w:hAnsiTheme="majorBidi" w:cstheme="majorBidi"/>
          <w:i/>
          <w:iCs/>
          <w:sz w:val="22"/>
          <w:szCs w:val="22"/>
        </w:rPr>
        <w:t>iterature</w:t>
      </w:r>
      <w:proofErr w:type="spellEnd"/>
      <w:r w:rsidR="00B37E2A" w:rsidRPr="008952BF">
        <w:rPr>
          <w:rFonts w:asciiTheme="majorBidi" w:hAnsiTheme="majorBidi" w:cstheme="majorBidi"/>
          <w:i/>
          <w:iCs/>
          <w:sz w:val="22"/>
          <w:szCs w:val="22"/>
        </w:rPr>
        <w:t xml:space="preserve"> of </w:t>
      </w:r>
      <w:r w:rsidRPr="008952BF">
        <w:rPr>
          <w:rFonts w:asciiTheme="majorBidi" w:hAnsiTheme="majorBidi" w:cstheme="majorBidi"/>
          <w:i/>
          <w:iCs/>
          <w:sz w:val="22"/>
          <w:szCs w:val="22"/>
        </w:rPr>
        <w:t>A</w:t>
      </w:r>
      <w:r w:rsidR="00B37E2A" w:rsidRPr="008952BF">
        <w:rPr>
          <w:rFonts w:asciiTheme="majorBidi" w:hAnsiTheme="majorBidi" w:cstheme="majorBidi"/>
          <w:i/>
          <w:iCs/>
          <w:sz w:val="22"/>
          <w:szCs w:val="22"/>
        </w:rPr>
        <w:t>frica</w:t>
      </w:r>
      <w:r w:rsidR="00B37E2A" w:rsidRPr="008952BF">
        <w:rPr>
          <w:rFonts w:asciiTheme="majorBidi" w:hAnsiTheme="majorBidi" w:cstheme="majorBidi"/>
          <w:sz w:val="22"/>
          <w:szCs w:val="22"/>
        </w:rPr>
        <w:t xml:space="preserve">, vol. 4, </w:t>
      </w:r>
      <w:r w:rsidRPr="008952BF">
        <w:rPr>
          <w:rFonts w:asciiTheme="majorBidi" w:hAnsiTheme="majorBidi" w:cstheme="majorBidi"/>
          <w:sz w:val="22"/>
          <w:szCs w:val="22"/>
        </w:rPr>
        <w:t>94-115.</w:t>
      </w:r>
      <w:r w:rsidR="00B37E2A" w:rsidRPr="008952BF">
        <w:rPr>
          <w:rFonts w:asciiTheme="majorBidi" w:hAnsiTheme="majorBidi" w:cstheme="majorBidi"/>
          <w:sz w:val="22"/>
          <w:szCs w:val="22"/>
        </w:rPr>
        <w:t xml:space="preserve"> </w:t>
      </w:r>
      <w:r w:rsidR="00B37E2A" w:rsidRPr="008952BF">
        <w:rPr>
          <w:rFonts w:asciiTheme="majorBidi" w:hAnsiTheme="majorBidi" w:cstheme="majorBidi"/>
          <w:sz w:val="22"/>
          <w:szCs w:val="22"/>
          <w:lang w:val="en-US"/>
        </w:rPr>
        <w:t xml:space="preserve">The full version of his name as it appears in </w:t>
      </w:r>
      <w:r w:rsidR="002C4815">
        <w:rPr>
          <w:rFonts w:asciiTheme="majorBidi" w:hAnsiTheme="majorBidi" w:cstheme="majorBidi"/>
          <w:sz w:val="22"/>
          <w:szCs w:val="22"/>
          <w:lang w:val="en-US"/>
        </w:rPr>
        <w:t xml:space="preserve">the </w:t>
      </w:r>
      <w:r w:rsidR="002C4815" w:rsidRPr="002C4815">
        <w:rPr>
          <w:rFonts w:asciiTheme="majorBidi" w:hAnsiTheme="majorBidi" w:cstheme="majorBidi"/>
          <w:i/>
          <w:iCs/>
          <w:sz w:val="22"/>
          <w:szCs w:val="22"/>
          <w:lang w:val="en-US"/>
        </w:rPr>
        <w:t>Arabic Literature of Africa</w:t>
      </w:r>
      <w:r w:rsidR="00B37E2A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is </w:t>
      </w:r>
      <w:proofErr w:type="spellStart"/>
      <w:r w:rsidR="0028011A" w:rsidRPr="008952BF">
        <w:rPr>
          <w:rFonts w:asciiTheme="majorBidi" w:hAnsiTheme="majorBidi" w:cstheme="majorBidi"/>
          <w:sz w:val="22"/>
          <w:szCs w:val="22"/>
          <w:lang w:val="en-US"/>
        </w:rPr>
        <w:t>Sīdī</w:t>
      </w:r>
      <w:proofErr w:type="spellEnd"/>
      <w:r w:rsidR="00145971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spellStart"/>
      <w:r w:rsidR="00145971" w:rsidRPr="008952BF">
        <w:rPr>
          <w:rFonts w:asciiTheme="majorBidi" w:hAnsiTheme="majorBidi" w:cstheme="majorBidi"/>
          <w:sz w:val="22"/>
          <w:szCs w:val="22"/>
          <w:lang w:val="en-US"/>
        </w:rPr>
        <w:t>Muḥammad</w:t>
      </w:r>
      <w:proofErr w:type="spellEnd"/>
      <w:r w:rsidR="00145971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b. al-Mukhtār b. Aḥmad b. </w:t>
      </w:r>
      <w:proofErr w:type="spellStart"/>
      <w:r w:rsidR="00145971" w:rsidRPr="008952BF">
        <w:rPr>
          <w:rFonts w:asciiTheme="majorBidi" w:hAnsiTheme="majorBidi" w:cstheme="majorBidi"/>
          <w:sz w:val="22"/>
          <w:szCs w:val="22"/>
          <w:lang w:val="en-US"/>
        </w:rPr>
        <w:t>Abī</w:t>
      </w:r>
      <w:proofErr w:type="spellEnd"/>
      <w:r w:rsidR="00145971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Bakr al-Kunti al-</w:t>
      </w:r>
      <w:proofErr w:type="spellStart"/>
      <w:r w:rsidR="00145971" w:rsidRPr="008952BF">
        <w:rPr>
          <w:rFonts w:asciiTheme="majorBidi" w:hAnsiTheme="majorBidi" w:cstheme="majorBidi"/>
          <w:sz w:val="22"/>
          <w:szCs w:val="22"/>
          <w:lang w:val="en-US"/>
        </w:rPr>
        <w:t>Wāfī</w:t>
      </w:r>
      <w:proofErr w:type="spellEnd"/>
      <w:r w:rsidR="00577028" w:rsidRPr="008952BF">
        <w:rPr>
          <w:rFonts w:asciiTheme="majorBidi" w:hAnsiTheme="majorBidi" w:cstheme="majorBidi"/>
          <w:sz w:val="22"/>
          <w:szCs w:val="22"/>
          <w:lang w:val="en-US"/>
        </w:rPr>
        <w:t xml:space="preserve">. </w:t>
      </w:r>
    </w:p>
  </w:footnote>
  <w:footnote w:id="11">
    <w:p w14:paraId="4DD1AC39" w14:textId="2F2CE328" w:rsidR="00EA5704" w:rsidRPr="008952BF" w:rsidRDefault="00EA5704">
      <w:pPr>
        <w:pStyle w:val="FootnoteText"/>
        <w:rPr>
          <w:rFonts w:asciiTheme="majorBidi" w:hAnsiTheme="majorBidi" w:cstheme="majorBidi"/>
          <w:sz w:val="22"/>
          <w:szCs w:val="22"/>
          <w:lang w:val="en-US"/>
        </w:rPr>
      </w:pPr>
      <w:r w:rsidRPr="008952BF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8867CA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Ijāza from </w:t>
      </w:r>
      <w:r w:rsidR="00607665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al-Mukhtā</w:t>
      </w:r>
      <w:r w:rsidR="00696E6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r b.  Muḥammad b. al-Mukhtār b. Aḥmad b. </w:t>
      </w:r>
      <w:proofErr w:type="spellStart"/>
      <w:r w:rsidR="00696E6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Abī</w:t>
      </w:r>
      <w:proofErr w:type="spellEnd"/>
      <w:r w:rsidR="00696E6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Bakr al-Kunti al-</w:t>
      </w:r>
      <w:proofErr w:type="spellStart"/>
      <w:r w:rsidR="00696E6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W</w:t>
      </w:r>
      <w:r w:rsidR="003E7407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āfi</w:t>
      </w:r>
      <w:proofErr w:type="spellEnd"/>
      <w:r w:rsidR="003E7407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to </w:t>
      </w:r>
      <w:proofErr w:type="spellStart"/>
      <w:r w:rsidR="003E7407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Sīdiyyā</w:t>
      </w:r>
      <w:proofErr w:type="spellEnd"/>
      <w:r w:rsidR="003E7407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b. al-Mukhtār b. al-</w:t>
      </w:r>
      <w:proofErr w:type="spellStart"/>
      <w:r w:rsidR="003E7407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Hayba</w:t>
      </w:r>
      <w:proofErr w:type="spellEnd"/>
      <w:r w:rsidR="003E7407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al-</w:t>
      </w:r>
      <w:proofErr w:type="spellStart"/>
      <w:r w:rsidR="00597AB3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Abyarī</w:t>
      </w:r>
      <w:proofErr w:type="spellEnd"/>
      <w:r w:rsidR="00597AB3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al-</w:t>
      </w:r>
      <w:proofErr w:type="spellStart"/>
      <w:r w:rsidR="00597AB3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Intashāʾī</w:t>
      </w:r>
      <w:proofErr w:type="spellEnd"/>
      <w:r w:rsidR="00597AB3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(title of work assigned by </w:t>
      </w:r>
      <w:r w:rsidR="004860FC" w:rsidRPr="008952BF">
        <w:rPr>
          <w:rFonts w:asciiTheme="majorBidi" w:hAnsiTheme="majorBidi" w:cstheme="majorBidi"/>
          <w:sz w:val="22"/>
          <w:szCs w:val="22"/>
          <w:lang w:val="en-US"/>
        </w:rPr>
        <w:t xml:space="preserve">the </w:t>
      </w:r>
      <w:proofErr w:type="spellStart"/>
      <w:r w:rsidR="004860FC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Maktaba</w:t>
      </w:r>
      <w:proofErr w:type="spellEnd"/>
      <w:r w:rsidR="004860FC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project)</w:t>
      </w:r>
      <w:r w:rsidR="00E211E3" w:rsidRPr="008952BF">
        <w:rPr>
          <w:rFonts w:asciiTheme="majorBidi" w:hAnsiTheme="majorBidi" w:cstheme="majorBidi"/>
          <w:sz w:val="22"/>
          <w:szCs w:val="22"/>
          <w:lang w:val="en-US"/>
        </w:rPr>
        <w:t>, MS</w:t>
      </w:r>
      <w:r w:rsidR="00846F84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95/4/1059, Stewart Papers.</w:t>
      </w:r>
    </w:p>
  </w:footnote>
  <w:footnote w:id="12">
    <w:p w14:paraId="0ABFE116" w14:textId="187C829E" w:rsidR="001F4EBD" w:rsidRPr="008952BF" w:rsidRDefault="001F4EBD" w:rsidP="001F4EBD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8952BF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8952BF">
        <w:rPr>
          <w:rFonts w:asciiTheme="majorBidi" w:hAnsiTheme="majorBidi" w:cstheme="majorBidi"/>
          <w:sz w:val="22"/>
          <w:szCs w:val="22"/>
        </w:rPr>
        <w:t xml:space="preserve"> On al-</w:t>
      </w:r>
      <w:proofErr w:type="spellStart"/>
      <w:r w:rsidRPr="008952BF">
        <w:rPr>
          <w:rFonts w:asciiTheme="majorBidi" w:hAnsiTheme="majorBidi" w:cstheme="majorBidi"/>
          <w:sz w:val="22"/>
          <w:szCs w:val="22"/>
        </w:rPr>
        <w:t>Mukhtār</w:t>
      </w:r>
      <w:proofErr w:type="spellEnd"/>
      <w:r w:rsidRPr="008952BF">
        <w:rPr>
          <w:rFonts w:asciiTheme="majorBidi" w:hAnsiTheme="majorBidi" w:cstheme="majorBidi"/>
          <w:sz w:val="22"/>
          <w:szCs w:val="22"/>
        </w:rPr>
        <w:t xml:space="preserve"> al-</w:t>
      </w:r>
      <w:proofErr w:type="spellStart"/>
      <w:r w:rsidRPr="008952BF">
        <w:rPr>
          <w:rFonts w:asciiTheme="majorBidi" w:hAnsiTheme="majorBidi" w:cstheme="majorBidi"/>
          <w:sz w:val="22"/>
          <w:szCs w:val="22"/>
        </w:rPr>
        <w:t>Ṣaghīr</w:t>
      </w:r>
      <w:proofErr w:type="spellEnd"/>
      <w:r w:rsidRPr="008952BF">
        <w:rPr>
          <w:rFonts w:asciiTheme="majorBidi" w:hAnsiTheme="majorBidi" w:cstheme="majorBidi"/>
          <w:sz w:val="22"/>
          <w:szCs w:val="22"/>
        </w:rPr>
        <w:t xml:space="preserve">, see </w:t>
      </w:r>
      <w:r w:rsidR="00770819" w:rsidRPr="008952BF">
        <w:rPr>
          <w:rFonts w:asciiTheme="majorBidi" w:hAnsiTheme="majorBidi" w:cstheme="majorBidi"/>
          <w:sz w:val="22"/>
          <w:szCs w:val="22"/>
        </w:rPr>
        <w:t xml:space="preserve">Boubacar 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Sissoko</w:t>
      </w:r>
      <w:r w:rsidR="00D751FA" w:rsidRPr="008952BF">
        <w:rPr>
          <w:rFonts w:asciiTheme="majorBidi" w:hAnsiTheme="majorBidi" w:cstheme="majorBidi"/>
          <w:color w:val="212121"/>
          <w:sz w:val="22"/>
          <w:szCs w:val="22"/>
        </w:rPr>
        <w:t>,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r w:rsidR="00FC26F2" w:rsidRPr="008952BF">
        <w:rPr>
          <w:rFonts w:asciiTheme="majorBidi" w:hAnsiTheme="majorBidi" w:cstheme="majorBidi"/>
          <w:color w:val="212121"/>
          <w:sz w:val="22"/>
          <w:szCs w:val="22"/>
        </w:rPr>
        <w:t>“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Le cheikh al-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Muḫtār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aṣ-Ṣaġīr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al-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Kuntī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(1790–1847): 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médiation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entre 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l’</w:t>
      </w:r>
      <w:r w:rsidR="00215F34" w:rsidRPr="008952BF">
        <w:rPr>
          <w:rFonts w:asciiTheme="majorBidi" w:hAnsiTheme="majorBidi" w:cstheme="majorBidi"/>
          <w:color w:val="212121"/>
          <w:sz w:val="22"/>
          <w:szCs w:val="22"/>
        </w:rPr>
        <w:t>é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tat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peul</w:t>
      </w:r>
      <w:proofErr w:type="spellEnd"/>
      <w:r w:rsidR="00FC26F2"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du 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Macina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et les </w:t>
      </w:r>
      <w:proofErr w:type="spellStart"/>
      <w:r w:rsidRPr="008952BF">
        <w:rPr>
          <w:rFonts w:asciiTheme="majorBidi" w:hAnsiTheme="majorBidi" w:cstheme="majorBidi"/>
          <w:color w:val="212121"/>
          <w:sz w:val="22"/>
          <w:szCs w:val="22"/>
        </w:rPr>
        <w:t>Touaregs</w:t>
      </w:r>
      <w:proofErr w:type="spellEnd"/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de Tombouctou de 1826 à 1847</w:t>
      </w:r>
      <w:r w:rsidR="00FC26F2" w:rsidRPr="008952BF">
        <w:rPr>
          <w:rFonts w:asciiTheme="majorBidi" w:hAnsiTheme="majorBidi" w:cstheme="majorBidi"/>
          <w:color w:val="212121"/>
          <w:sz w:val="22"/>
          <w:szCs w:val="22"/>
        </w:rPr>
        <w:t>”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r w:rsidR="00FC26F2" w:rsidRPr="008952BF">
        <w:rPr>
          <w:rFonts w:asciiTheme="majorBidi" w:hAnsiTheme="majorBidi" w:cstheme="majorBidi"/>
          <w:color w:val="212121"/>
          <w:sz w:val="22"/>
          <w:szCs w:val="22"/>
        </w:rPr>
        <w:t>(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PhD diss</w:t>
      </w:r>
      <w:r w:rsidR="00D751FA" w:rsidRPr="008952BF">
        <w:rPr>
          <w:rFonts w:asciiTheme="majorBidi" w:hAnsiTheme="majorBidi" w:cstheme="majorBidi"/>
          <w:color w:val="212121"/>
          <w:sz w:val="22"/>
          <w:szCs w:val="22"/>
        </w:rPr>
        <w:t>.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, Université Lumière Lyon</w:t>
      </w:r>
      <w:r w:rsidR="00D751FA"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2</w:t>
      </w:r>
      <w:r w:rsidR="00D751FA" w:rsidRPr="008952BF">
        <w:rPr>
          <w:rFonts w:asciiTheme="majorBidi" w:hAnsiTheme="majorBidi" w:cstheme="majorBidi"/>
          <w:color w:val="212121"/>
          <w:sz w:val="22"/>
          <w:szCs w:val="22"/>
        </w:rPr>
        <w:t>, 2019)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; and </w:t>
      </w:r>
      <w:r w:rsidR="00313787"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Hunwick, </w:t>
      </w:r>
      <w:r w:rsidRPr="008952BF">
        <w:rPr>
          <w:rFonts w:asciiTheme="majorBidi" w:hAnsiTheme="majorBidi" w:cstheme="majorBidi"/>
          <w:i/>
          <w:iCs/>
          <w:color w:val="212121"/>
          <w:sz w:val="22"/>
          <w:szCs w:val="22"/>
        </w:rPr>
        <w:t>A</w:t>
      </w:r>
      <w:r w:rsidR="00D751FA" w:rsidRPr="008952BF">
        <w:rPr>
          <w:rFonts w:asciiTheme="majorBidi" w:hAnsiTheme="majorBidi" w:cstheme="majorBidi"/>
          <w:i/>
          <w:iCs/>
          <w:color w:val="212121"/>
          <w:sz w:val="22"/>
          <w:szCs w:val="22"/>
        </w:rPr>
        <w:t xml:space="preserve">rabic </w:t>
      </w:r>
      <w:r w:rsidRPr="008952BF">
        <w:rPr>
          <w:rFonts w:asciiTheme="majorBidi" w:hAnsiTheme="majorBidi" w:cstheme="majorBidi"/>
          <w:i/>
          <w:iCs/>
          <w:color w:val="212121"/>
          <w:sz w:val="22"/>
          <w:szCs w:val="22"/>
        </w:rPr>
        <w:t>L</w:t>
      </w:r>
      <w:r w:rsidR="00D751FA" w:rsidRPr="008952BF">
        <w:rPr>
          <w:rFonts w:asciiTheme="majorBidi" w:hAnsiTheme="majorBidi" w:cstheme="majorBidi"/>
          <w:i/>
          <w:iCs/>
          <w:color w:val="212121"/>
          <w:sz w:val="22"/>
          <w:szCs w:val="22"/>
        </w:rPr>
        <w:t xml:space="preserve">iterature of </w:t>
      </w:r>
      <w:r w:rsidRPr="008952BF">
        <w:rPr>
          <w:rFonts w:asciiTheme="majorBidi" w:hAnsiTheme="majorBidi" w:cstheme="majorBidi"/>
          <w:i/>
          <w:iCs/>
          <w:color w:val="212121"/>
          <w:sz w:val="22"/>
          <w:szCs w:val="22"/>
        </w:rPr>
        <w:t>A</w:t>
      </w:r>
      <w:r w:rsidR="00D751FA" w:rsidRPr="008952BF">
        <w:rPr>
          <w:rFonts w:asciiTheme="majorBidi" w:hAnsiTheme="majorBidi" w:cstheme="majorBidi"/>
          <w:i/>
          <w:iCs/>
          <w:color w:val="212121"/>
          <w:sz w:val="22"/>
          <w:szCs w:val="22"/>
        </w:rPr>
        <w:t>frica</w:t>
      </w:r>
      <w:r w:rsidR="00D751FA" w:rsidRPr="008952BF">
        <w:rPr>
          <w:rFonts w:asciiTheme="majorBidi" w:hAnsiTheme="majorBidi" w:cstheme="majorBidi"/>
          <w:color w:val="212121"/>
          <w:sz w:val="22"/>
          <w:szCs w:val="22"/>
        </w:rPr>
        <w:t>,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r w:rsidR="00313787" w:rsidRPr="008952BF">
        <w:rPr>
          <w:rFonts w:asciiTheme="majorBidi" w:hAnsiTheme="majorBidi" w:cstheme="majorBidi"/>
          <w:color w:val="212121"/>
          <w:sz w:val="22"/>
          <w:szCs w:val="22"/>
        </w:rPr>
        <w:t>vol. 4</w:t>
      </w:r>
      <w:r w:rsidRPr="008952BF">
        <w:rPr>
          <w:rFonts w:asciiTheme="majorBidi" w:hAnsiTheme="majorBidi" w:cstheme="majorBidi"/>
          <w:color w:val="212121"/>
          <w:sz w:val="22"/>
          <w:szCs w:val="22"/>
        </w:rPr>
        <w:t>, 115-18.</w:t>
      </w:r>
      <w:r w:rsidR="00AB14A2" w:rsidRPr="008952BF">
        <w:rPr>
          <w:rFonts w:asciiTheme="majorBidi" w:hAnsiTheme="majorBidi" w:cstheme="majorBidi"/>
          <w:color w:val="212121"/>
          <w:sz w:val="22"/>
          <w:szCs w:val="22"/>
        </w:rPr>
        <w:t xml:space="preserve"> </w:t>
      </w:r>
      <w:r w:rsidR="00AB14A2" w:rsidRPr="008952BF">
        <w:rPr>
          <w:rFonts w:asciiTheme="majorBidi" w:hAnsiTheme="majorBidi" w:cstheme="majorBidi"/>
          <w:sz w:val="22"/>
          <w:szCs w:val="22"/>
        </w:rPr>
        <w:t>The full version of his name as it appears in ALA vol. 4</w:t>
      </w:r>
      <w:r w:rsidR="00C848E3" w:rsidRPr="008952BF">
        <w:rPr>
          <w:rFonts w:asciiTheme="majorBidi" w:hAnsiTheme="majorBidi" w:cstheme="majorBidi"/>
          <w:sz w:val="22"/>
          <w:szCs w:val="22"/>
        </w:rPr>
        <w:t xml:space="preserve"> is al-Mukhtār al-</w:t>
      </w:r>
      <w:r w:rsidR="00E736DD" w:rsidRPr="008952BF">
        <w:rPr>
          <w:rFonts w:asciiTheme="majorBidi" w:hAnsiTheme="majorBidi" w:cstheme="majorBidi"/>
          <w:sz w:val="22"/>
          <w:szCs w:val="22"/>
        </w:rPr>
        <w:t>Ṣaghīr b. Muḥammad b. al-Mukhtār b.</w:t>
      </w:r>
      <w:r w:rsidR="005D400D" w:rsidRPr="008952BF">
        <w:rPr>
          <w:rFonts w:asciiTheme="majorBidi" w:hAnsiTheme="majorBidi" w:cstheme="majorBidi"/>
          <w:sz w:val="22"/>
          <w:szCs w:val="22"/>
        </w:rPr>
        <w:t xml:space="preserve"> Aḥmad b. Abī Bakr al-Kuntī.</w:t>
      </w:r>
    </w:p>
  </w:footnote>
  <w:footnote w:id="13">
    <w:p w14:paraId="103DCE18" w14:textId="409E028C" w:rsidR="00DD4BCC" w:rsidRPr="008952BF" w:rsidRDefault="00F23FAE" w:rsidP="00DD4BCC">
      <w:pPr>
        <w:pStyle w:val="FootnoteText"/>
        <w:rPr>
          <w:rFonts w:asciiTheme="majorBidi" w:hAnsiTheme="majorBidi" w:cstheme="majorBidi"/>
          <w:sz w:val="22"/>
          <w:szCs w:val="22"/>
          <w:lang w:val="en-US"/>
        </w:rPr>
      </w:pPr>
      <w:r w:rsidRPr="008952BF">
        <w:rPr>
          <w:rStyle w:val="FootnoteReference"/>
          <w:rFonts w:asciiTheme="majorBidi" w:hAnsiTheme="majorBidi" w:cstheme="majorBidi"/>
          <w:sz w:val="22"/>
          <w:szCs w:val="22"/>
        </w:rPr>
        <w:footnoteRef/>
      </w:r>
      <w:r w:rsidRPr="008952B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E77F0D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Ijāza</w:t>
      </w:r>
      <w:r w:rsidR="008952BF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s</w:t>
      </w:r>
      <w:r w:rsidR="00E77F0D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from [ʿUmar] </w:t>
      </w:r>
      <w:r w:rsidR="00FF34A0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b. al-Shaykh al-Mukhtār b. Aḥmad b. </w:t>
      </w:r>
      <w:proofErr w:type="spellStart"/>
      <w:r w:rsidR="00FF34A0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Abī</w:t>
      </w:r>
      <w:proofErr w:type="spellEnd"/>
      <w:r w:rsidR="00FF34A0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Bakr al-</w:t>
      </w:r>
      <w:proofErr w:type="spellStart"/>
      <w:r w:rsidR="00FF34A0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W</w:t>
      </w:r>
      <w:r w:rsidR="00652E16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āfī</w:t>
      </w:r>
      <w:proofErr w:type="spellEnd"/>
      <w:r w:rsidR="00652E16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al-</w:t>
      </w:r>
      <w:proofErr w:type="spellStart"/>
      <w:r w:rsidR="00652E16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Kuntī</w:t>
      </w:r>
      <w:proofErr w:type="spellEnd"/>
      <w:r w:rsidR="00652E16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to </w:t>
      </w:r>
      <w:proofErr w:type="spellStart"/>
      <w:r w:rsidR="00652E16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Sīdiyyā</w:t>
      </w:r>
      <w:proofErr w:type="spellEnd"/>
      <w:r w:rsidR="009A797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b. al-Mukhtār b. al-</w:t>
      </w:r>
      <w:proofErr w:type="spellStart"/>
      <w:r w:rsidR="009A797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Hayba</w:t>
      </w:r>
      <w:proofErr w:type="spellEnd"/>
      <w:r w:rsidR="009A797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 xml:space="preserve"> al-</w:t>
      </w:r>
      <w:proofErr w:type="spellStart"/>
      <w:r w:rsidR="009A7971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Intashāʾī</w:t>
      </w:r>
      <w:proofErr w:type="spellEnd"/>
      <w:r w:rsidR="00DD4BCC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(title of work</w:t>
      </w:r>
      <w:r w:rsidR="008952BF" w:rsidRPr="008952BF">
        <w:rPr>
          <w:rFonts w:asciiTheme="majorBidi" w:hAnsiTheme="majorBidi" w:cstheme="majorBidi"/>
          <w:sz w:val="22"/>
          <w:szCs w:val="22"/>
          <w:lang w:val="en-US"/>
        </w:rPr>
        <w:t>s</w:t>
      </w:r>
      <w:r w:rsidR="00DD4BCC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assigned by the </w:t>
      </w:r>
      <w:proofErr w:type="spellStart"/>
      <w:r w:rsidR="00DD4BCC" w:rsidRPr="008952BF">
        <w:rPr>
          <w:rFonts w:asciiTheme="majorBidi" w:hAnsiTheme="majorBidi" w:cstheme="majorBidi"/>
          <w:i/>
          <w:iCs/>
          <w:sz w:val="22"/>
          <w:szCs w:val="22"/>
          <w:lang w:val="en-US"/>
        </w:rPr>
        <w:t>Maktaba</w:t>
      </w:r>
      <w:proofErr w:type="spellEnd"/>
      <w:r w:rsidR="00DD4BCC" w:rsidRPr="008952BF">
        <w:rPr>
          <w:rFonts w:asciiTheme="majorBidi" w:hAnsiTheme="majorBidi" w:cstheme="majorBidi"/>
          <w:sz w:val="22"/>
          <w:szCs w:val="22"/>
          <w:lang w:val="en-US"/>
        </w:rPr>
        <w:t xml:space="preserve"> project), MS 95/4/105</w:t>
      </w:r>
      <w:r w:rsidR="008952BF" w:rsidRPr="008952BF">
        <w:rPr>
          <w:rFonts w:asciiTheme="majorBidi" w:hAnsiTheme="majorBidi" w:cstheme="majorBidi"/>
          <w:sz w:val="22"/>
          <w:szCs w:val="22"/>
          <w:lang w:val="en-US"/>
        </w:rPr>
        <w:t>7 and MS 94/4/1058</w:t>
      </w:r>
      <w:r w:rsidR="00DD4BCC" w:rsidRPr="008952BF">
        <w:rPr>
          <w:rFonts w:asciiTheme="majorBidi" w:hAnsiTheme="majorBidi" w:cstheme="majorBidi"/>
          <w:sz w:val="22"/>
          <w:szCs w:val="22"/>
          <w:lang w:val="en-US"/>
        </w:rPr>
        <w:t>, Stewart Papers.</w:t>
      </w:r>
    </w:p>
    <w:p w14:paraId="06D308B6" w14:textId="7DAD92FA" w:rsidR="00F23FAE" w:rsidRPr="00652E16" w:rsidRDefault="00F23FAE">
      <w:pPr>
        <w:pStyle w:val="FootnoteTex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0"/>
    <w:rsid w:val="00021678"/>
    <w:rsid w:val="000273F3"/>
    <w:rsid w:val="00027ABB"/>
    <w:rsid w:val="00027B87"/>
    <w:rsid w:val="0005389E"/>
    <w:rsid w:val="00086A0F"/>
    <w:rsid w:val="00091963"/>
    <w:rsid w:val="000A1700"/>
    <w:rsid w:val="000A725D"/>
    <w:rsid w:val="000E0413"/>
    <w:rsid w:val="000F2261"/>
    <w:rsid w:val="00102B26"/>
    <w:rsid w:val="00110F57"/>
    <w:rsid w:val="00137EB0"/>
    <w:rsid w:val="00145971"/>
    <w:rsid w:val="00151D58"/>
    <w:rsid w:val="001528FC"/>
    <w:rsid w:val="00166140"/>
    <w:rsid w:val="00173BEA"/>
    <w:rsid w:val="001815B3"/>
    <w:rsid w:val="001A36E4"/>
    <w:rsid w:val="001C0BA3"/>
    <w:rsid w:val="001C6743"/>
    <w:rsid w:val="001C76D5"/>
    <w:rsid w:val="001D534D"/>
    <w:rsid w:val="001E2C01"/>
    <w:rsid w:val="001E6542"/>
    <w:rsid w:val="001E7B2A"/>
    <w:rsid w:val="001F49AA"/>
    <w:rsid w:val="001F4EBD"/>
    <w:rsid w:val="00200893"/>
    <w:rsid w:val="00200B58"/>
    <w:rsid w:val="00215F34"/>
    <w:rsid w:val="00225476"/>
    <w:rsid w:val="002334D7"/>
    <w:rsid w:val="002407E3"/>
    <w:rsid w:val="00242FCD"/>
    <w:rsid w:val="00261FDA"/>
    <w:rsid w:val="00265B0F"/>
    <w:rsid w:val="00274637"/>
    <w:rsid w:val="00275BAC"/>
    <w:rsid w:val="0028011A"/>
    <w:rsid w:val="0028283E"/>
    <w:rsid w:val="0028553F"/>
    <w:rsid w:val="00295D8D"/>
    <w:rsid w:val="002A6A9B"/>
    <w:rsid w:val="002C4815"/>
    <w:rsid w:val="002D1B50"/>
    <w:rsid w:val="002E5330"/>
    <w:rsid w:val="00306DFE"/>
    <w:rsid w:val="00313787"/>
    <w:rsid w:val="00341B9E"/>
    <w:rsid w:val="0035664A"/>
    <w:rsid w:val="00380C83"/>
    <w:rsid w:val="00385AB7"/>
    <w:rsid w:val="00394B95"/>
    <w:rsid w:val="003B786C"/>
    <w:rsid w:val="003C02A9"/>
    <w:rsid w:val="003E7407"/>
    <w:rsid w:val="004012B9"/>
    <w:rsid w:val="004045A6"/>
    <w:rsid w:val="00422AF8"/>
    <w:rsid w:val="00426807"/>
    <w:rsid w:val="00441817"/>
    <w:rsid w:val="00447373"/>
    <w:rsid w:val="00454667"/>
    <w:rsid w:val="004563E0"/>
    <w:rsid w:val="004860FC"/>
    <w:rsid w:val="004A1811"/>
    <w:rsid w:val="004C4F58"/>
    <w:rsid w:val="004D35D4"/>
    <w:rsid w:val="004E21D2"/>
    <w:rsid w:val="004E3196"/>
    <w:rsid w:val="004E4706"/>
    <w:rsid w:val="004F30EA"/>
    <w:rsid w:val="00501AD8"/>
    <w:rsid w:val="00512FC1"/>
    <w:rsid w:val="0051486F"/>
    <w:rsid w:val="0052116A"/>
    <w:rsid w:val="0052585F"/>
    <w:rsid w:val="00533B80"/>
    <w:rsid w:val="00534FF4"/>
    <w:rsid w:val="0053519C"/>
    <w:rsid w:val="00541D95"/>
    <w:rsid w:val="00545FA8"/>
    <w:rsid w:val="00561561"/>
    <w:rsid w:val="005703E9"/>
    <w:rsid w:val="00577028"/>
    <w:rsid w:val="00585DAB"/>
    <w:rsid w:val="00597AB3"/>
    <w:rsid w:val="00597F99"/>
    <w:rsid w:val="005A5EC9"/>
    <w:rsid w:val="005B289F"/>
    <w:rsid w:val="005C2730"/>
    <w:rsid w:val="005C6DB4"/>
    <w:rsid w:val="005D400D"/>
    <w:rsid w:val="005D55A3"/>
    <w:rsid w:val="005E0928"/>
    <w:rsid w:val="005E4CA1"/>
    <w:rsid w:val="005E5BFA"/>
    <w:rsid w:val="005F6A01"/>
    <w:rsid w:val="0060192E"/>
    <w:rsid w:val="00606624"/>
    <w:rsid w:val="00607665"/>
    <w:rsid w:val="00615397"/>
    <w:rsid w:val="00622CC0"/>
    <w:rsid w:val="00622F08"/>
    <w:rsid w:val="00626DB0"/>
    <w:rsid w:val="00640CE5"/>
    <w:rsid w:val="00652E16"/>
    <w:rsid w:val="00653C2F"/>
    <w:rsid w:val="00677C53"/>
    <w:rsid w:val="00695011"/>
    <w:rsid w:val="00696E61"/>
    <w:rsid w:val="006A6D0A"/>
    <w:rsid w:val="006C3995"/>
    <w:rsid w:val="006E1022"/>
    <w:rsid w:val="006F1A59"/>
    <w:rsid w:val="0070109C"/>
    <w:rsid w:val="00724F10"/>
    <w:rsid w:val="00726664"/>
    <w:rsid w:val="00730C35"/>
    <w:rsid w:val="0073149D"/>
    <w:rsid w:val="00750BBF"/>
    <w:rsid w:val="0075310B"/>
    <w:rsid w:val="00756D56"/>
    <w:rsid w:val="00757023"/>
    <w:rsid w:val="00770819"/>
    <w:rsid w:val="00775D83"/>
    <w:rsid w:val="00781CC9"/>
    <w:rsid w:val="00785D0B"/>
    <w:rsid w:val="00793804"/>
    <w:rsid w:val="007A7A81"/>
    <w:rsid w:val="007C572C"/>
    <w:rsid w:val="007C5AE6"/>
    <w:rsid w:val="007D1597"/>
    <w:rsid w:val="007D24FE"/>
    <w:rsid w:val="007D4735"/>
    <w:rsid w:val="007E24A5"/>
    <w:rsid w:val="007E37A4"/>
    <w:rsid w:val="008059E7"/>
    <w:rsid w:val="008107CD"/>
    <w:rsid w:val="008110F7"/>
    <w:rsid w:val="008328EA"/>
    <w:rsid w:val="008345BB"/>
    <w:rsid w:val="00846F84"/>
    <w:rsid w:val="00864D94"/>
    <w:rsid w:val="00865F97"/>
    <w:rsid w:val="00874E98"/>
    <w:rsid w:val="008867CA"/>
    <w:rsid w:val="0088734A"/>
    <w:rsid w:val="00894896"/>
    <w:rsid w:val="008952BF"/>
    <w:rsid w:val="00896232"/>
    <w:rsid w:val="008A3FF4"/>
    <w:rsid w:val="008B72AD"/>
    <w:rsid w:val="008E2207"/>
    <w:rsid w:val="008E5CD0"/>
    <w:rsid w:val="00905115"/>
    <w:rsid w:val="009126C9"/>
    <w:rsid w:val="00914B66"/>
    <w:rsid w:val="009179E0"/>
    <w:rsid w:val="00923B7F"/>
    <w:rsid w:val="009312D9"/>
    <w:rsid w:val="00937CAD"/>
    <w:rsid w:val="00944A76"/>
    <w:rsid w:val="00960A2C"/>
    <w:rsid w:val="00965748"/>
    <w:rsid w:val="0096617C"/>
    <w:rsid w:val="00970ED8"/>
    <w:rsid w:val="0097725E"/>
    <w:rsid w:val="00987AB0"/>
    <w:rsid w:val="009A7971"/>
    <w:rsid w:val="009B5DF2"/>
    <w:rsid w:val="009C7CAA"/>
    <w:rsid w:val="009D0E49"/>
    <w:rsid w:val="009D634A"/>
    <w:rsid w:val="009E25E2"/>
    <w:rsid w:val="009F4A4B"/>
    <w:rsid w:val="00A0077F"/>
    <w:rsid w:val="00A11339"/>
    <w:rsid w:val="00A13B78"/>
    <w:rsid w:val="00A2665A"/>
    <w:rsid w:val="00A32A43"/>
    <w:rsid w:val="00A343BD"/>
    <w:rsid w:val="00A34D06"/>
    <w:rsid w:val="00A43CCE"/>
    <w:rsid w:val="00A53D4C"/>
    <w:rsid w:val="00A66578"/>
    <w:rsid w:val="00A66B42"/>
    <w:rsid w:val="00A73CBB"/>
    <w:rsid w:val="00AA797A"/>
    <w:rsid w:val="00AB14A2"/>
    <w:rsid w:val="00AB37F6"/>
    <w:rsid w:val="00AC7EA9"/>
    <w:rsid w:val="00AD4BE9"/>
    <w:rsid w:val="00AD6A21"/>
    <w:rsid w:val="00AE3115"/>
    <w:rsid w:val="00AE6117"/>
    <w:rsid w:val="00AF32BC"/>
    <w:rsid w:val="00AF3856"/>
    <w:rsid w:val="00B00BE6"/>
    <w:rsid w:val="00B03C7B"/>
    <w:rsid w:val="00B141F0"/>
    <w:rsid w:val="00B26AFB"/>
    <w:rsid w:val="00B378CF"/>
    <w:rsid w:val="00B37E2A"/>
    <w:rsid w:val="00B514E1"/>
    <w:rsid w:val="00B6527C"/>
    <w:rsid w:val="00B847CA"/>
    <w:rsid w:val="00B94E16"/>
    <w:rsid w:val="00BE7E7D"/>
    <w:rsid w:val="00BF0A00"/>
    <w:rsid w:val="00BF6EF2"/>
    <w:rsid w:val="00BF7712"/>
    <w:rsid w:val="00C12076"/>
    <w:rsid w:val="00C53477"/>
    <w:rsid w:val="00C62EDB"/>
    <w:rsid w:val="00C65B46"/>
    <w:rsid w:val="00C73207"/>
    <w:rsid w:val="00C77FD0"/>
    <w:rsid w:val="00C848E3"/>
    <w:rsid w:val="00CB47BF"/>
    <w:rsid w:val="00CC6425"/>
    <w:rsid w:val="00CD434A"/>
    <w:rsid w:val="00CE2F42"/>
    <w:rsid w:val="00CF27CC"/>
    <w:rsid w:val="00D01B76"/>
    <w:rsid w:val="00D113D7"/>
    <w:rsid w:val="00D1587F"/>
    <w:rsid w:val="00D237BA"/>
    <w:rsid w:val="00D23BBC"/>
    <w:rsid w:val="00D26A95"/>
    <w:rsid w:val="00D30F6E"/>
    <w:rsid w:val="00D318D4"/>
    <w:rsid w:val="00D3294D"/>
    <w:rsid w:val="00D40245"/>
    <w:rsid w:val="00D44CAA"/>
    <w:rsid w:val="00D45697"/>
    <w:rsid w:val="00D47133"/>
    <w:rsid w:val="00D556D7"/>
    <w:rsid w:val="00D6247F"/>
    <w:rsid w:val="00D751FA"/>
    <w:rsid w:val="00DB42C2"/>
    <w:rsid w:val="00DD4BCC"/>
    <w:rsid w:val="00DE6457"/>
    <w:rsid w:val="00E02A9B"/>
    <w:rsid w:val="00E047EA"/>
    <w:rsid w:val="00E211E3"/>
    <w:rsid w:val="00E24B3F"/>
    <w:rsid w:val="00E50D3F"/>
    <w:rsid w:val="00E5130D"/>
    <w:rsid w:val="00E70651"/>
    <w:rsid w:val="00E736DD"/>
    <w:rsid w:val="00E73926"/>
    <w:rsid w:val="00E767C5"/>
    <w:rsid w:val="00E77F0D"/>
    <w:rsid w:val="00E85749"/>
    <w:rsid w:val="00E909BA"/>
    <w:rsid w:val="00E974FC"/>
    <w:rsid w:val="00EA5704"/>
    <w:rsid w:val="00EB36A5"/>
    <w:rsid w:val="00EB65DF"/>
    <w:rsid w:val="00EC1E5C"/>
    <w:rsid w:val="00EC347E"/>
    <w:rsid w:val="00EC3A25"/>
    <w:rsid w:val="00ED1C95"/>
    <w:rsid w:val="00EE3764"/>
    <w:rsid w:val="00EF0E98"/>
    <w:rsid w:val="00EF312A"/>
    <w:rsid w:val="00F1462E"/>
    <w:rsid w:val="00F16050"/>
    <w:rsid w:val="00F169F1"/>
    <w:rsid w:val="00F23FAE"/>
    <w:rsid w:val="00F32F9B"/>
    <w:rsid w:val="00F34755"/>
    <w:rsid w:val="00F4331E"/>
    <w:rsid w:val="00F46794"/>
    <w:rsid w:val="00F4752E"/>
    <w:rsid w:val="00F5486C"/>
    <w:rsid w:val="00F70181"/>
    <w:rsid w:val="00F806A8"/>
    <w:rsid w:val="00FB0FF4"/>
    <w:rsid w:val="00FB69B6"/>
    <w:rsid w:val="00FC26F2"/>
    <w:rsid w:val="00FC64AB"/>
    <w:rsid w:val="00FC697E"/>
    <w:rsid w:val="00FE345C"/>
    <w:rsid w:val="00FF34A0"/>
    <w:rsid w:val="00FF66E0"/>
    <w:rsid w:val="08B0D183"/>
    <w:rsid w:val="15F8E8D4"/>
    <w:rsid w:val="330017C3"/>
    <w:rsid w:val="38B98AA1"/>
    <w:rsid w:val="3F821AFC"/>
    <w:rsid w:val="50FE74B1"/>
    <w:rsid w:val="536A96FA"/>
    <w:rsid w:val="71EA95A8"/>
    <w:rsid w:val="7E0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957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E25E2"/>
  </w:style>
  <w:style w:type="character" w:customStyle="1" w:styleId="eop">
    <w:name w:val="eop"/>
    <w:basedOn w:val="DefaultParagraphFont"/>
    <w:rsid w:val="009E25E2"/>
  </w:style>
  <w:style w:type="character" w:customStyle="1" w:styleId="superscript">
    <w:name w:val="superscript"/>
    <w:basedOn w:val="DefaultParagraphFont"/>
    <w:rsid w:val="009E25E2"/>
  </w:style>
  <w:style w:type="paragraph" w:customStyle="1" w:styleId="Default">
    <w:name w:val="Default"/>
    <w:rsid w:val="00AF3856"/>
    <w:pPr>
      <w:autoSpaceDE w:val="0"/>
      <w:autoSpaceDN w:val="0"/>
      <w:adjustRightInd w:val="0"/>
    </w:pPr>
    <w:rPr>
      <w:rFonts w:ascii="Code" w:hAnsi="Code" w:cs="Code"/>
      <w:color w:val="00000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40C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0C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40C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6574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65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47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F66E0"/>
  </w:style>
  <w:style w:type="character" w:styleId="CommentReference">
    <w:name w:val="annotation reference"/>
    <w:basedOn w:val="DefaultParagraphFont"/>
    <w:uiPriority w:val="99"/>
    <w:semiHidden/>
    <w:unhideWhenUsed/>
    <w:rsid w:val="001F4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4E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4E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E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A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A0F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385AB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27A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C62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bili@illino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bousbin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93/acrefore/9780190277734.013.171" TargetMode="External"/><Relationship Id="rId1" Type="http://schemas.openxmlformats.org/officeDocument/2006/relationships/hyperlink" Target="https://oxfordre.com/religion/display/10.1093/acrefore/9780199340378.001.0001/acrefore-9780199340378-e-5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6AD6-1230-594F-9317-70DE55E0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2025-02-17T10:56:00Z</dcterms:created>
  <dcterms:modified xsi:type="dcterms:W3CDTF">2025-02-28T21:46:00Z</dcterms:modified>
</cp:coreProperties>
</file>