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B4C88" w14:textId="7B1D0C4A" w:rsidR="00C76D4D" w:rsidRDefault="00B8656D" w:rsidP="00B72787">
      <w:pPr>
        <w:jc w:val="center"/>
        <w:rPr>
          <w:b/>
          <w:bCs/>
        </w:rPr>
      </w:pPr>
      <w:r w:rsidRPr="00B8656D">
        <w:rPr>
          <w:b/>
          <w:bCs/>
        </w:rPr>
        <w:t>“I Owe No One Any Gender Performance”: Transgender and Nonbinary Individuals</w:t>
      </w:r>
      <w:r w:rsidR="00C364B6">
        <w:rPr>
          <w:b/>
          <w:bCs/>
        </w:rPr>
        <w:t>’</w:t>
      </w:r>
      <w:r w:rsidRPr="00B8656D">
        <w:rPr>
          <w:b/>
          <w:bCs/>
        </w:rPr>
        <w:t xml:space="preserve"> Experiences of Gender Dysphoria in Bodily, Social, and Systemic Contexts</w:t>
      </w:r>
      <w:r w:rsidR="008862AB">
        <w:rPr>
          <w:b/>
          <w:bCs/>
        </w:rPr>
        <w:t xml:space="preserve"> During the COVID-19 Pandemic</w:t>
      </w:r>
    </w:p>
    <w:p w14:paraId="3506BE79" w14:textId="77777777" w:rsidR="00B72787" w:rsidRDefault="00B72787" w:rsidP="00B72787">
      <w:pPr>
        <w:jc w:val="center"/>
        <w:rPr>
          <w:b/>
          <w:bCs/>
        </w:rPr>
      </w:pPr>
    </w:p>
    <w:p w14:paraId="07D5203B" w14:textId="77777777" w:rsidR="00B72787" w:rsidRDefault="00B72787" w:rsidP="00B72787">
      <w:r>
        <w:t xml:space="preserve">Chloe Goldbach </w:t>
      </w:r>
    </w:p>
    <w:p w14:paraId="78536612" w14:textId="77777777" w:rsidR="007E6E5A" w:rsidRDefault="00B72787" w:rsidP="00B72787">
      <w:r>
        <w:t xml:space="preserve">is a pre-doctoral intern at University of Maryland, College Park University Counseling Center. </w:t>
      </w:r>
      <w:r w:rsidR="006A76C2">
        <w:t xml:space="preserve">She is co-author of </w:t>
      </w:r>
      <w:r w:rsidR="006A76C2">
        <w:rPr>
          <w:i/>
        </w:rPr>
        <w:t xml:space="preserve">Counseling in a Gender Expansive World: Resources to Support Therapeutic Practice </w:t>
      </w:r>
      <w:r w:rsidR="006A76C2">
        <w:t>(Rowman and Littlefield, 2022).</w:t>
      </w:r>
      <w:r>
        <w:t xml:space="preserve"> </w:t>
      </w:r>
    </w:p>
    <w:p w14:paraId="659C8241" w14:textId="01808B2D" w:rsidR="007E6E5A" w:rsidRDefault="00C96663" w:rsidP="00B72787">
      <w:hyperlink r:id="rId8" w:history="1">
        <w:r w:rsidRPr="00877575">
          <w:rPr>
            <w:rStyle w:val="Hyperlink"/>
          </w:rPr>
          <w:t>chloe.goldbach@siu.edu</w:t>
        </w:r>
      </w:hyperlink>
    </w:p>
    <w:p w14:paraId="6A653DB2" w14:textId="64928F9E" w:rsidR="00B72787" w:rsidRDefault="00B72787" w:rsidP="00B72787">
      <w:r>
        <w:t>Douglas Knutson</w:t>
      </w:r>
    </w:p>
    <w:p w14:paraId="37AA0FFE" w14:textId="341BB8BA" w:rsidR="00B72787" w:rsidRDefault="00B72787" w:rsidP="00631D3E">
      <w:r>
        <w:t xml:space="preserve">is an </w:t>
      </w:r>
      <w:r w:rsidR="00430E49">
        <w:t>A</w:t>
      </w:r>
      <w:r>
        <w:t xml:space="preserve">ssistant </w:t>
      </w:r>
      <w:r w:rsidR="00430E49">
        <w:t>P</w:t>
      </w:r>
      <w:r>
        <w:t xml:space="preserve">rofessor in the counseling and counseling psychology program at Oklahoma State University. He is the </w:t>
      </w:r>
      <w:r w:rsidR="006A76C2">
        <w:t>co-</w:t>
      </w:r>
      <w:r>
        <w:t xml:space="preserve">author of </w:t>
      </w:r>
      <w:r>
        <w:rPr>
          <w:i/>
        </w:rPr>
        <w:t xml:space="preserve">Counseling in a Gender Expansive World: Resources to Support Therapeutic Practice </w:t>
      </w:r>
      <w:r>
        <w:t>(Rowman and Littlefield, 2022).</w:t>
      </w:r>
    </w:p>
    <w:p w14:paraId="7D9196F4" w14:textId="5EC5E8D8" w:rsidR="00B72787" w:rsidRDefault="00B72787" w:rsidP="00B72787">
      <w:proofErr w:type="spellStart"/>
      <w:r>
        <w:t>Satveer</w:t>
      </w:r>
      <w:proofErr w:type="spellEnd"/>
      <w:r>
        <w:t xml:space="preserve"> </w:t>
      </w:r>
      <w:proofErr w:type="spellStart"/>
      <w:r>
        <w:t>Kler</w:t>
      </w:r>
      <w:proofErr w:type="spellEnd"/>
    </w:p>
    <w:p w14:paraId="69828BD8" w14:textId="67C867E5" w:rsidR="00B72787" w:rsidRDefault="00B72787" w:rsidP="00B72787">
      <w:r>
        <w:t>is a doctoral student in the School of Psychological and Behavioral Sciences at Southern Illinois University. Their research focuses on LGBTQ+ health.</w:t>
      </w:r>
    </w:p>
    <w:p w14:paraId="358B29AD" w14:textId="0E46B50E" w:rsidR="00B72787" w:rsidRDefault="00B72787" w:rsidP="00B72787">
      <w:r>
        <w:t xml:space="preserve">Dannie </w:t>
      </w:r>
      <w:proofErr w:type="spellStart"/>
      <w:r>
        <w:t>Klooster</w:t>
      </w:r>
      <w:proofErr w:type="spellEnd"/>
    </w:p>
    <w:p w14:paraId="499C8D09" w14:textId="5E798A19" w:rsidR="00B72787" w:rsidRDefault="00AA5717" w:rsidP="00B72787">
      <w:r>
        <w:t>i</w:t>
      </w:r>
      <w:r w:rsidR="00B72787">
        <w:t xml:space="preserve">s a doctoral student in the counseling and counseling psychology program at Oklahoma State </w:t>
      </w:r>
      <w:r w:rsidR="00430E49">
        <w:t>University</w:t>
      </w:r>
      <w:r w:rsidR="00B72787">
        <w:t>. Their research focuses on relationships, sexuality, and consensual nonmonogamy.</w:t>
      </w:r>
    </w:p>
    <w:p w14:paraId="2775BDD9" w14:textId="424EA121" w:rsidR="00B72787" w:rsidRDefault="00B72787" w:rsidP="00B72787">
      <w:r>
        <w:t xml:space="preserve">Savannah </w:t>
      </w:r>
      <w:proofErr w:type="spellStart"/>
      <w:r>
        <w:t>LeForce</w:t>
      </w:r>
      <w:proofErr w:type="spellEnd"/>
    </w:p>
    <w:p w14:paraId="5D8844DB" w14:textId="36442A83" w:rsidR="00B72787" w:rsidRDefault="00AA5717" w:rsidP="00B72787">
      <w:r>
        <w:t>is a licensed professional counselor associate in Oklahoma City. Her clinical work focuses on affirming, growth-oriented care.</w:t>
      </w:r>
    </w:p>
    <w:p w14:paraId="260F8FF4" w14:textId="701FB4A9" w:rsidR="00B72787" w:rsidRDefault="00B72787" w:rsidP="00B72787">
      <w:r>
        <w:t>David Cole Milton</w:t>
      </w:r>
    </w:p>
    <w:p w14:paraId="0B62A5C4" w14:textId="4797E03B" w:rsidR="00AA5717" w:rsidRDefault="00AA5717" w:rsidP="00B72787">
      <w:r>
        <w:t>is a doctoral candidate in the counseling psychology program at Oklahoma State University. His research focuses on LGBTQ+ health, intersectionality, and family dynamics.</w:t>
      </w:r>
    </w:p>
    <w:p w14:paraId="6DE3D7C4" w14:textId="09C5C5CC" w:rsidR="00C76D4D" w:rsidRPr="00AA5717" w:rsidRDefault="00C76D4D" w:rsidP="00814FD1">
      <w:pPr>
        <w:pStyle w:val="Heading2"/>
      </w:pPr>
      <w:r w:rsidRPr="00AA5717">
        <w:t>Abstract</w:t>
      </w:r>
    </w:p>
    <w:p w14:paraId="6DD84474" w14:textId="1363E182" w:rsidR="00B8656D" w:rsidRDefault="00370A9F" w:rsidP="00174D7E">
      <w:r w:rsidRPr="0001027D">
        <w:t>Conceptualizations of gender dysphoria have primarily centered only on bodily contexts, but r</w:t>
      </w:r>
      <w:r w:rsidR="00B8656D" w:rsidRPr="0001027D">
        <w:t>esearchers have recently identified the importance of</w:t>
      </w:r>
      <w:r w:rsidRPr="0001027D">
        <w:t xml:space="preserve"> also</w:t>
      </w:r>
      <w:r w:rsidR="00B8656D" w:rsidRPr="0001027D">
        <w:t xml:space="preserve"> considering </w:t>
      </w:r>
      <w:r w:rsidRPr="0001027D">
        <w:t xml:space="preserve">the roles of </w:t>
      </w:r>
      <w:r w:rsidR="00B8656D" w:rsidRPr="0001027D">
        <w:t>social and systemic contexts</w:t>
      </w:r>
      <w:r w:rsidRPr="0001027D">
        <w:t xml:space="preserve"> </w:t>
      </w:r>
      <w:r w:rsidR="00B8656D" w:rsidRPr="0001027D">
        <w:t>when conceptualizing experiences of gender dysphoria. The present study aimed to</w:t>
      </w:r>
      <w:r w:rsidRPr="0001027D">
        <w:t xml:space="preserve"> expand the</w:t>
      </w:r>
      <w:r w:rsidR="00B8656D" w:rsidRPr="0001027D">
        <w:t xml:space="preserve"> understand</w:t>
      </w:r>
      <w:r w:rsidRPr="0001027D">
        <w:t>ing of</w:t>
      </w:r>
      <w:r w:rsidR="00B8656D">
        <w:t xml:space="preserve"> transgender and nonbinary</w:t>
      </w:r>
      <w:r w:rsidR="006160E7">
        <w:t xml:space="preserve"> (TNB)</w:t>
      </w:r>
      <w:r w:rsidR="00B8656D">
        <w:t xml:space="preserve"> individuals</w:t>
      </w:r>
      <w:r w:rsidR="00C364B6">
        <w:t>’</w:t>
      </w:r>
      <w:r w:rsidR="00B8656D">
        <w:t xml:space="preserve"> experiences of gender dysphoria within bodily, social, and systemic contexts, including experiences</w:t>
      </w:r>
      <w:r w:rsidR="006160E7">
        <w:t xml:space="preserve"> at two points</w:t>
      </w:r>
      <w:r w:rsidR="00B8656D">
        <w:t xml:space="preserve"> during</w:t>
      </w:r>
      <w:r w:rsidR="00722D91">
        <w:t xml:space="preserve"> and prior to</w:t>
      </w:r>
      <w:r w:rsidR="00B8656D">
        <w:t xml:space="preserve"> the COVID-19 pandemic. Data were collected from 364 </w:t>
      </w:r>
      <w:r w:rsidR="006160E7">
        <w:t>TNB</w:t>
      </w:r>
      <w:r w:rsidR="00B8656D">
        <w:t xml:space="preserve"> participants at two time points: before (May 2019 to January 2020) and during (May to December 2020) the COVID-19 pandemic. Consensual Qualitative Research-Modified (CQR-M) was used to analyze participant responses. Using CQR-M, 12 domains were identified that captured participant descriptions of factors that contribute to their experiences of gender dysphoria: (a) binary gender norms, (b) language, (c) systems and structural issues, (d) gender congruence, (e) safety, (f) community exclusion, (g) transition care, (h) close relationships, (</w:t>
      </w:r>
      <w:proofErr w:type="spellStart"/>
      <w:r w:rsidR="00B8656D">
        <w:t>i</w:t>
      </w:r>
      <w:proofErr w:type="spellEnd"/>
      <w:r w:rsidR="00B8656D">
        <w:t xml:space="preserve">) multiple marginalization, (j) pandemic detriments, (k) pandemic benefits, and (l) buffers against experiencing gender dysphoria. The results of the present study suggest that social and systemic factors, in addition to bodily factors, play a significant role in the experiences of gender dysphoria reported by </w:t>
      </w:r>
      <w:r w:rsidR="006160E7">
        <w:t>TNB</w:t>
      </w:r>
      <w:r w:rsidR="00B8656D">
        <w:t xml:space="preserve"> individuals. These findings demonstrate</w:t>
      </w:r>
      <w:r w:rsidR="000A4474">
        <w:t xml:space="preserve"> a complex, far reaching, and relatively stable impact of social and systemic factors on the development and maintenance of gender dysphoria that needs to be integrated into the process of conceptualization</w:t>
      </w:r>
      <w:r w:rsidR="00B8656D">
        <w:t>, assess</w:t>
      </w:r>
      <w:r w:rsidR="000A4474">
        <w:t>ment</w:t>
      </w:r>
      <w:r w:rsidR="00B8656D">
        <w:t>, and treat</w:t>
      </w:r>
      <w:r w:rsidR="000A4474">
        <w:t>ment</w:t>
      </w:r>
      <w:r w:rsidR="00B8656D">
        <w:t>.</w:t>
      </w:r>
    </w:p>
    <w:p w14:paraId="2A8FF5A6" w14:textId="7EAB1A59" w:rsidR="00C76D4D" w:rsidRDefault="00B8656D" w:rsidP="00174D7E">
      <w:r>
        <w:tab/>
      </w:r>
      <w:r w:rsidRPr="00B8656D">
        <w:rPr>
          <w:i/>
          <w:iCs/>
        </w:rPr>
        <w:t>Keywords</w:t>
      </w:r>
      <w:r>
        <w:t>: gender dysphoria; social dysphoria; body dysphoria; COVID-19; stress</w:t>
      </w:r>
    </w:p>
    <w:p w14:paraId="043482A6" w14:textId="77777777" w:rsidR="00814FD1" w:rsidRDefault="00814FD1" w:rsidP="00174D7E">
      <w:pPr>
        <w:rPr>
          <w:rFonts w:eastAsia="Times New Roman" w:cs="Times New Roman"/>
        </w:rPr>
      </w:pPr>
    </w:p>
    <w:p w14:paraId="6B10103D" w14:textId="3516401B" w:rsidR="00B8656D" w:rsidRPr="007242FD" w:rsidRDefault="00B8656D" w:rsidP="00174D7E">
      <w:pPr>
        <w:rPr>
          <w:rFonts w:eastAsia="Times New Roman" w:cs="Times New Roman"/>
        </w:rPr>
      </w:pPr>
      <w:r w:rsidRPr="007242FD">
        <w:rPr>
          <w:rFonts w:eastAsia="Times New Roman" w:cs="Times New Roman"/>
        </w:rPr>
        <w:tab/>
        <w:t>At present, there are significant gaps in health research literature and clinical practice scholarship that describe the complexity of trans</w:t>
      </w:r>
      <w:r>
        <w:rPr>
          <w:rFonts w:eastAsia="Times New Roman" w:cs="Times New Roman"/>
        </w:rPr>
        <w:t>gender</w:t>
      </w:r>
      <w:r w:rsidRPr="007242FD">
        <w:rPr>
          <w:rFonts w:eastAsia="Times New Roman" w:cs="Times New Roman"/>
        </w:rPr>
        <w:t xml:space="preserve"> and nonbinary (TNB) peoples</w:t>
      </w:r>
      <w:r w:rsidR="00C364B6">
        <w:rPr>
          <w:rFonts w:eastAsia="Times New Roman" w:cs="Times New Roman"/>
        </w:rPr>
        <w:t>’</w:t>
      </w:r>
      <w:r w:rsidRPr="007242FD">
        <w:rPr>
          <w:rFonts w:eastAsia="Times New Roman" w:cs="Times New Roman"/>
        </w:rPr>
        <w:t xml:space="preserve"> experiences of gender dysphoria from their own perspectives</w:t>
      </w:r>
      <w:r w:rsidR="00980EC1">
        <w:rPr>
          <w:rFonts w:eastAsia="Times New Roman" w:cs="Times New Roman"/>
        </w:rPr>
        <w:t xml:space="preserve"> </w:t>
      </w:r>
      <w:r w:rsidR="00980EC1">
        <w:t>(</w:t>
      </w:r>
      <w:r w:rsidR="005E1D29" w:rsidRPr="005E1D29">
        <w:t xml:space="preserve">Austin, </w:t>
      </w:r>
      <w:proofErr w:type="spellStart"/>
      <w:r w:rsidR="005E1D29" w:rsidRPr="005E1D29">
        <w:t>Holzworth</w:t>
      </w:r>
      <w:proofErr w:type="spellEnd"/>
      <w:r w:rsidR="005E1D29" w:rsidRPr="005E1D29">
        <w:t xml:space="preserve">, and </w:t>
      </w:r>
      <w:proofErr w:type="spellStart"/>
      <w:r w:rsidR="005E1D29" w:rsidRPr="005E1D29">
        <w:t>Papciak</w:t>
      </w:r>
      <w:proofErr w:type="spellEnd"/>
      <w:r w:rsidR="005E1D29" w:rsidRPr="005E1D29">
        <w:t xml:space="preserve"> 2022</w:t>
      </w:r>
      <w:r w:rsidR="005E1D29">
        <w:t xml:space="preserve">; </w:t>
      </w:r>
      <w:proofErr w:type="spellStart"/>
      <w:r w:rsidR="005E1D29">
        <w:t>Galupo</w:t>
      </w:r>
      <w:proofErr w:type="spellEnd"/>
      <w:r w:rsidR="005E1D29">
        <w:t xml:space="preserve"> and </w:t>
      </w:r>
      <w:proofErr w:type="spellStart"/>
      <w:r w:rsidR="005E1D29">
        <w:t>Pulice</w:t>
      </w:r>
      <w:proofErr w:type="spellEnd"/>
      <w:r w:rsidR="005E1D29">
        <w:t xml:space="preserve">-Farrow 2020; </w:t>
      </w:r>
      <w:proofErr w:type="spellStart"/>
      <w:r w:rsidR="00980EC1">
        <w:t>Galupo</w:t>
      </w:r>
      <w:proofErr w:type="spellEnd"/>
      <w:r w:rsidR="00980EC1">
        <w:t xml:space="preserve">, </w:t>
      </w:r>
      <w:proofErr w:type="spellStart"/>
      <w:r w:rsidR="00980EC1">
        <w:t>Pulice</w:t>
      </w:r>
      <w:proofErr w:type="spellEnd"/>
      <w:r w:rsidR="00980EC1">
        <w:t xml:space="preserve">-Farrow, and Lindley 2020; </w:t>
      </w:r>
      <w:proofErr w:type="spellStart"/>
      <w:r w:rsidR="00980EC1">
        <w:t>Pulice</w:t>
      </w:r>
      <w:proofErr w:type="spellEnd"/>
      <w:r w:rsidR="00980EC1">
        <w:t xml:space="preserve">-Farrow, Cusack, and </w:t>
      </w:r>
      <w:proofErr w:type="spellStart"/>
      <w:r w:rsidR="00980EC1">
        <w:t>Galupo</w:t>
      </w:r>
      <w:proofErr w:type="spellEnd"/>
      <w:r w:rsidR="00980EC1">
        <w:t xml:space="preserve"> 2020)</w:t>
      </w:r>
      <w:r w:rsidR="005E1D29">
        <w:rPr>
          <w:rFonts w:eastAsia="Times New Roman" w:cs="Times New Roman"/>
        </w:rPr>
        <w:t xml:space="preserve">. </w:t>
      </w:r>
      <w:r w:rsidRPr="007242FD">
        <w:rPr>
          <w:rFonts w:eastAsia="Times New Roman" w:cs="Times New Roman"/>
        </w:rPr>
        <w:t>So far, researchers and scholars have characterized TNB people as possessing an internal, personal incongruence between their sex assigned at birth and gender identity</w:t>
      </w:r>
      <w:r w:rsidR="005E1D29">
        <w:rPr>
          <w:rFonts w:eastAsia="Times New Roman" w:cs="Times New Roman"/>
        </w:rPr>
        <w:t xml:space="preserve"> (Tompkins 2021).</w:t>
      </w:r>
      <w:r w:rsidRPr="007242FD">
        <w:rPr>
          <w:rFonts w:eastAsia="Times New Roman" w:cs="Times New Roman"/>
        </w:rPr>
        <w:t xml:space="preserve"> Gender dysphoria has been conceptualized as being a byproduct of that internal incongruence</w:t>
      </w:r>
      <w:r w:rsidR="005E1D29">
        <w:rPr>
          <w:rFonts w:eastAsia="Times New Roman" w:cs="Times New Roman"/>
        </w:rPr>
        <w:t xml:space="preserve"> (Coleman et al. 2012).</w:t>
      </w:r>
      <w:r w:rsidRPr="007242FD">
        <w:rPr>
          <w:rFonts w:eastAsia="Times New Roman" w:cs="Times New Roman"/>
        </w:rPr>
        <w:t xml:space="preserve"> However, approaches to gender dysphoria</w:t>
      </w:r>
      <w:r w:rsidR="00B97EAB">
        <w:rPr>
          <w:rFonts w:eastAsia="Times New Roman" w:cs="Times New Roman"/>
        </w:rPr>
        <w:t xml:space="preserve"> that account for individual differences</w:t>
      </w:r>
      <w:r w:rsidRPr="007242FD">
        <w:rPr>
          <w:rFonts w:eastAsia="Times New Roman" w:cs="Times New Roman"/>
        </w:rPr>
        <w:t xml:space="preserve"> are limited</w:t>
      </w:r>
      <w:r w:rsidR="005E1D29">
        <w:rPr>
          <w:rFonts w:eastAsia="Times New Roman" w:cs="Times New Roman"/>
        </w:rPr>
        <w:t xml:space="preserve"> (Goldbach and Knutson 2021).</w:t>
      </w:r>
      <w:r w:rsidRPr="007242FD">
        <w:rPr>
          <w:rFonts w:eastAsia="Times New Roman" w:cs="Times New Roman"/>
        </w:rPr>
        <w:t xml:space="preserve"> Research is needed to further expand conceptualizations of gender dysphoria from the perspectives of TNB people that form the current basis of health interventions and research</w:t>
      </w:r>
      <w:r w:rsidR="00370A9F" w:rsidRPr="0001027D">
        <w:rPr>
          <w:rFonts w:eastAsia="Times New Roman" w:cs="Times New Roman"/>
        </w:rPr>
        <w:t>, conceptualizations that include the ways in which social and systemic factors, in addition to internalized/bodily factors, may contribute to experiences of gender dysphoria</w:t>
      </w:r>
      <w:r w:rsidRPr="0001027D">
        <w:rPr>
          <w:rFonts w:eastAsia="Times New Roman" w:cs="Times New Roman"/>
        </w:rPr>
        <w:t xml:space="preserve">. </w:t>
      </w:r>
      <w:r w:rsidR="00001E63" w:rsidRPr="0001027D">
        <w:rPr>
          <w:rFonts w:eastAsia="Times New Roman" w:cs="Times New Roman"/>
        </w:rPr>
        <w:t>Furthermore, the potential effects of the COVID-19 pandemic on TNB people</w:t>
      </w:r>
      <w:r w:rsidR="00C364B6">
        <w:rPr>
          <w:rFonts w:eastAsia="Times New Roman" w:cs="Times New Roman"/>
        </w:rPr>
        <w:t>’</w:t>
      </w:r>
      <w:r w:rsidR="00001E63" w:rsidRPr="0001027D">
        <w:rPr>
          <w:rFonts w:eastAsia="Times New Roman" w:cs="Times New Roman"/>
        </w:rPr>
        <w:t>s experiences of gender dysphoria</w:t>
      </w:r>
      <w:r w:rsidR="00722D91" w:rsidRPr="0001027D">
        <w:rPr>
          <w:rFonts w:eastAsia="Times New Roman" w:cs="Times New Roman"/>
        </w:rPr>
        <w:t xml:space="preserve"> are</w:t>
      </w:r>
      <w:r w:rsidR="00001E63" w:rsidRPr="0001027D">
        <w:rPr>
          <w:rFonts w:eastAsia="Times New Roman" w:cs="Times New Roman"/>
        </w:rPr>
        <w:t xml:space="preserve"> largely unknown in the current research literature.</w:t>
      </w:r>
      <w:r w:rsidR="00001E63">
        <w:rPr>
          <w:rFonts w:eastAsia="Times New Roman" w:cs="Times New Roman"/>
        </w:rPr>
        <w:t xml:space="preserve"> </w:t>
      </w:r>
    </w:p>
    <w:p w14:paraId="624BF5EF" w14:textId="4F131690" w:rsidR="00B8656D" w:rsidRPr="0001027D" w:rsidRDefault="00B8656D" w:rsidP="005E1D29">
      <w:pPr>
        <w:ind w:firstLine="720"/>
      </w:pPr>
      <w:r w:rsidRPr="007242FD">
        <w:t>From a systems perspective, TNB people experience a branchin</w:t>
      </w:r>
      <w:r w:rsidR="005E1D29">
        <w:t>g (Davy 2015; van Anders 2015)</w:t>
      </w:r>
      <w:r w:rsidRPr="007242FD">
        <w:t xml:space="preserve"> or difference between their gender identity and the sociocultural expectations held by others (e.g., </w:t>
      </w:r>
      <w:r w:rsidR="008A0ABE" w:rsidRPr="007242FD">
        <w:t>family</w:t>
      </w:r>
      <w:r w:rsidRPr="007242FD">
        <w:t>, friends, broader society, and so on) that are based on their sex assigned at birth</w:t>
      </w:r>
      <w:r w:rsidR="005E1D29">
        <w:t xml:space="preserve"> (Tompkins 2021).</w:t>
      </w:r>
      <w:r w:rsidRPr="007242FD">
        <w:t xml:space="preserve"> In other words, a TNB person may be </w:t>
      </w:r>
      <w:r w:rsidRPr="0001027D">
        <w:t xml:space="preserve">assigned male at birth and, therefore, may be expected to identify as a man, but may identify as a woman. </w:t>
      </w:r>
      <w:r w:rsidR="00370A9F" w:rsidRPr="0001027D">
        <w:t>The potential roles of social and systemic factors in contributing to many TNB people</w:t>
      </w:r>
      <w:r w:rsidR="00C364B6">
        <w:t>’</w:t>
      </w:r>
      <w:r w:rsidR="00370A9F" w:rsidRPr="0001027D">
        <w:t>s experiences of gender</w:t>
      </w:r>
      <w:r w:rsidR="00370A9F" w:rsidRPr="008655D2">
        <w:t xml:space="preserve"> dysphoria </w:t>
      </w:r>
      <w:r w:rsidR="008A0ABE" w:rsidRPr="008655D2">
        <w:t xml:space="preserve">have </w:t>
      </w:r>
      <w:r w:rsidR="00370A9F" w:rsidRPr="008655D2">
        <w:t xml:space="preserve">been largely absent </w:t>
      </w:r>
      <w:r w:rsidR="008655D2" w:rsidRPr="008655D2">
        <w:t>in research literature and clinical practice considerat</w:t>
      </w:r>
      <w:r w:rsidR="00370A9F" w:rsidRPr="0001027D">
        <w:t>ions, but recent research has demonstrated that t</w:t>
      </w:r>
      <w:r w:rsidRPr="0001027D">
        <w:t>he branching between social</w:t>
      </w:r>
      <w:r w:rsidR="00001E63" w:rsidRPr="0001027D">
        <w:t xml:space="preserve"> and systemic</w:t>
      </w:r>
      <w:r w:rsidR="00370A9F" w:rsidRPr="0001027D">
        <w:t xml:space="preserve"> </w:t>
      </w:r>
      <w:r w:rsidRPr="0001027D">
        <w:t xml:space="preserve">expectations and internal identity </w:t>
      </w:r>
      <w:r w:rsidR="00370A9F" w:rsidRPr="0001027D">
        <w:t>can</w:t>
      </w:r>
      <w:r w:rsidRPr="0001027D">
        <w:t xml:space="preserve"> produce </w:t>
      </w:r>
      <w:r w:rsidR="00370A9F" w:rsidRPr="0001027D">
        <w:t xml:space="preserve">significant </w:t>
      </w:r>
      <w:r w:rsidRPr="0001027D">
        <w:t>health concerns such as general distress and gender dysphoria</w:t>
      </w:r>
      <w:r w:rsidR="005E1D29">
        <w:t xml:space="preserve"> (</w:t>
      </w:r>
      <w:r w:rsidR="005E1D29" w:rsidRPr="005E1D29">
        <w:t xml:space="preserve">Austin, </w:t>
      </w:r>
      <w:proofErr w:type="spellStart"/>
      <w:r w:rsidR="005E1D29" w:rsidRPr="005E1D29">
        <w:t>Holzworth</w:t>
      </w:r>
      <w:proofErr w:type="spellEnd"/>
      <w:r w:rsidR="005E1D29" w:rsidRPr="005E1D29">
        <w:t xml:space="preserve">, and </w:t>
      </w:r>
      <w:proofErr w:type="spellStart"/>
      <w:r w:rsidR="005E1D29" w:rsidRPr="005E1D29">
        <w:t>Papciak</w:t>
      </w:r>
      <w:proofErr w:type="spellEnd"/>
      <w:r w:rsidR="005E1D29" w:rsidRPr="005E1D29">
        <w:t xml:space="preserve"> 2022</w:t>
      </w:r>
      <w:r w:rsidR="005E1D29">
        <w:t xml:space="preserve">; </w:t>
      </w:r>
      <w:proofErr w:type="spellStart"/>
      <w:r w:rsidR="005E1D29">
        <w:t>Galupo</w:t>
      </w:r>
      <w:proofErr w:type="spellEnd"/>
      <w:r w:rsidR="005E1D29">
        <w:t xml:space="preserve"> and </w:t>
      </w:r>
      <w:proofErr w:type="spellStart"/>
      <w:r w:rsidR="005E1D29">
        <w:t>Pulice</w:t>
      </w:r>
      <w:proofErr w:type="spellEnd"/>
      <w:r w:rsidR="005E1D29">
        <w:t xml:space="preserve">-Farrow 2020; </w:t>
      </w:r>
      <w:proofErr w:type="spellStart"/>
      <w:r w:rsidR="005E1D29">
        <w:t>Galupo</w:t>
      </w:r>
      <w:proofErr w:type="spellEnd"/>
      <w:r w:rsidR="005E1D29">
        <w:t xml:space="preserve">, </w:t>
      </w:r>
      <w:proofErr w:type="spellStart"/>
      <w:r w:rsidR="005E1D29">
        <w:t>Pulice</w:t>
      </w:r>
      <w:proofErr w:type="spellEnd"/>
      <w:r w:rsidR="005E1D29">
        <w:t>-Farrow, and Lindley 2020).</w:t>
      </w:r>
      <w:r w:rsidR="00001E63" w:rsidRPr="0001027D">
        <w:rPr>
          <w:vertAlign w:val="superscript"/>
        </w:rPr>
        <w:t xml:space="preserve"> </w:t>
      </w:r>
    </w:p>
    <w:p w14:paraId="1726C2BE" w14:textId="163681B8" w:rsidR="00B8656D" w:rsidRPr="008655D2" w:rsidRDefault="004263DF" w:rsidP="00814FD1">
      <w:pPr>
        <w:pStyle w:val="Heading3"/>
      </w:pPr>
      <w:r w:rsidRPr="008655D2">
        <w:t>The Medical Model</w:t>
      </w:r>
    </w:p>
    <w:p w14:paraId="4509C299" w14:textId="2F4E120E" w:rsidR="00B8656D" w:rsidRPr="007242FD" w:rsidRDefault="004263DF" w:rsidP="00174D7E">
      <w:pPr>
        <w:ind w:firstLine="720"/>
        <w:rPr>
          <w:rFonts w:eastAsia="Times New Roman" w:cs="Times New Roman"/>
        </w:rPr>
      </w:pPr>
      <w:r w:rsidRPr="0001027D">
        <w:rPr>
          <w:rFonts w:eastAsia="Times New Roman" w:cs="Times New Roman"/>
        </w:rPr>
        <w:t>Gender dysphoria has historically been conceptualized from a medical lens with a primary focus on dissatisfaction, distress, and incongruence associated with the physical body</w:t>
      </w:r>
      <w:r w:rsidR="0001027D" w:rsidRPr="0001027D">
        <w:rPr>
          <w:rFonts w:eastAsia="Times New Roman" w:cs="Times New Roman"/>
        </w:rPr>
        <w:t>,</w:t>
      </w:r>
      <w:r w:rsidRPr="0001027D">
        <w:rPr>
          <w:rFonts w:eastAsia="Times New Roman" w:cs="Times New Roman"/>
        </w:rPr>
        <w:t xml:space="preserve"> and without an acknowledgement of the impact of sociocultural expectations</w:t>
      </w:r>
      <w:r w:rsidR="005E1D29">
        <w:rPr>
          <w:rFonts w:eastAsia="Times New Roman" w:cs="Times New Roman"/>
        </w:rPr>
        <w:t xml:space="preserve"> (</w:t>
      </w:r>
      <w:proofErr w:type="spellStart"/>
      <w:r w:rsidR="005E1D29">
        <w:t>Pulice</w:t>
      </w:r>
      <w:proofErr w:type="spellEnd"/>
      <w:r w:rsidR="005E1D29">
        <w:t xml:space="preserve">-Farrow, Cusack, and </w:t>
      </w:r>
      <w:proofErr w:type="spellStart"/>
      <w:r w:rsidR="005E1D29">
        <w:t>Galupo</w:t>
      </w:r>
      <w:proofErr w:type="spellEnd"/>
      <w:r w:rsidR="005E1D29">
        <w:t xml:space="preserve"> 2020).</w:t>
      </w:r>
      <w:r w:rsidRPr="0001027D">
        <w:rPr>
          <w:rFonts w:eastAsia="Times New Roman" w:cs="Times New Roman"/>
        </w:rPr>
        <w:t xml:space="preserve"> </w:t>
      </w:r>
      <w:r w:rsidR="00B8656D" w:rsidRPr="0001027D">
        <w:rPr>
          <w:rFonts w:eastAsia="Times New Roman" w:cs="Times New Roman"/>
        </w:rPr>
        <w:t>Many TNB people experience gender dysphoria, formally defined as distress that an individual experiences when their gender identity does not conform to sociocultural gender expectations based on their sex assigned at birth</w:t>
      </w:r>
      <w:r w:rsidR="005E1D29">
        <w:rPr>
          <w:rFonts w:eastAsia="Times New Roman" w:cs="Times New Roman"/>
        </w:rPr>
        <w:t xml:space="preserve"> (</w:t>
      </w:r>
      <w:proofErr w:type="spellStart"/>
      <w:r w:rsidR="005E1D29">
        <w:rPr>
          <w:rFonts w:eastAsia="Times New Roman" w:cs="Times New Roman"/>
        </w:rPr>
        <w:t>Byne</w:t>
      </w:r>
      <w:proofErr w:type="spellEnd"/>
      <w:r w:rsidR="005E1D29">
        <w:rPr>
          <w:rFonts w:eastAsia="Times New Roman" w:cs="Times New Roman"/>
        </w:rPr>
        <w:t xml:space="preserve"> et al. 2018).</w:t>
      </w:r>
      <w:r w:rsidR="00B8656D" w:rsidRPr="0001027D">
        <w:rPr>
          <w:rFonts w:eastAsia="Times New Roman" w:cs="Times New Roman"/>
        </w:rPr>
        <w:t xml:space="preserve"> Many, but not all, TNB people experience gender dysphoria</w:t>
      </w:r>
      <w:r w:rsidR="00C364B6">
        <w:rPr>
          <w:rFonts w:eastAsia="Times New Roman" w:cs="Times New Roman"/>
        </w:rPr>
        <w:t>.</w:t>
      </w:r>
      <w:r w:rsidR="00814FD1">
        <w:rPr>
          <w:rStyle w:val="FootnoteReference"/>
          <w:rFonts w:eastAsia="Times New Roman" w:cs="Times New Roman"/>
        </w:rPr>
        <w:footnoteReference w:id="1"/>
      </w:r>
      <w:r w:rsidR="00B8656D" w:rsidRPr="0001027D">
        <w:rPr>
          <w:rFonts w:eastAsia="Times New Roman" w:cs="Times New Roman"/>
        </w:rPr>
        <w:t xml:space="preserve"> </w:t>
      </w:r>
      <w:r w:rsidR="00EE4FBE">
        <w:rPr>
          <w:rFonts w:eastAsia="Times New Roman" w:cs="Times New Roman"/>
        </w:rPr>
        <w:t>Of course,</w:t>
      </w:r>
      <w:r w:rsidR="00B75D74">
        <w:rPr>
          <w:rFonts w:eastAsia="Times New Roman" w:cs="Times New Roman"/>
        </w:rPr>
        <w:t xml:space="preserve"> t</w:t>
      </w:r>
      <w:r w:rsidR="00B8656D" w:rsidRPr="007242FD">
        <w:rPr>
          <w:rFonts w:eastAsia="Times New Roman" w:cs="Times New Roman"/>
        </w:rPr>
        <w:t>here is ample evidence that, for many TNB people, gender dysphoria is a significantly distressing, internal and body-centered experience</w:t>
      </w:r>
      <w:r w:rsidR="00B75D74">
        <w:rPr>
          <w:rFonts w:eastAsia="Times New Roman" w:cs="Times New Roman"/>
        </w:rPr>
        <w:t>, but other factors have been implicated as well</w:t>
      </w:r>
      <w:r w:rsidR="00044118">
        <w:rPr>
          <w:rFonts w:eastAsia="Times New Roman" w:cs="Times New Roman"/>
        </w:rPr>
        <w:t xml:space="preserve"> </w:t>
      </w:r>
      <w:r w:rsidR="00044118">
        <w:t xml:space="preserve">(Austin, </w:t>
      </w:r>
      <w:proofErr w:type="spellStart"/>
      <w:r w:rsidR="00044118">
        <w:t>Holzworth</w:t>
      </w:r>
      <w:proofErr w:type="spellEnd"/>
      <w:r w:rsidR="00044118">
        <w:t xml:space="preserve">, and </w:t>
      </w:r>
      <w:proofErr w:type="spellStart"/>
      <w:r w:rsidR="00044118">
        <w:t>Papciak</w:t>
      </w:r>
      <w:proofErr w:type="spellEnd"/>
      <w:r w:rsidR="00044118">
        <w:t xml:space="preserve"> 2022; </w:t>
      </w:r>
      <w:proofErr w:type="spellStart"/>
      <w:r w:rsidR="00044118">
        <w:t>Byne</w:t>
      </w:r>
      <w:proofErr w:type="spellEnd"/>
      <w:r w:rsidR="00044118">
        <w:t xml:space="preserve"> et al. 2018; Cooper et al. 2020).</w:t>
      </w:r>
      <w:r w:rsidR="00B8656D" w:rsidRPr="007242FD">
        <w:rPr>
          <w:rFonts w:eastAsia="Times New Roman" w:cs="Times New Roman"/>
        </w:rPr>
        <w:t xml:space="preserve"> </w:t>
      </w:r>
    </w:p>
    <w:p w14:paraId="227B3DAD" w14:textId="03DD603F" w:rsidR="00B8656D" w:rsidRPr="008655D2" w:rsidRDefault="00B8656D" w:rsidP="00814FD1">
      <w:pPr>
        <w:pStyle w:val="Heading3"/>
      </w:pPr>
      <w:r w:rsidRPr="008655D2">
        <w:lastRenderedPageBreak/>
        <w:t>Beyond Body Dysphoria</w:t>
      </w:r>
    </w:p>
    <w:p w14:paraId="75636D02" w14:textId="6437DBD7" w:rsidR="005E3419" w:rsidRDefault="004263DF" w:rsidP="00174D7E">
      <w:pPr>
        <w:ind w:firstLine="720"/>
        <w:rPr>
          <w:rFonts w:eastAsia="Times New Roman" w:cs="Times New Roman"/>
        </w:rPr>
      </w:pPr>
      <w:r w:rsidRPr="007242FD">
        <w:rPr>
          <w:rFonts w:eastAsia="Times New Roman" w:cs="Times New Roman"/>
        </w:rPr>
        <w:t>Transgender and nonbinary people report experiencing significantly high rates of prejudice, discrimination, and even violence</w:t>
      </w:r>
      <w:r w:rsidR="00044118">
        <w:rPr>
          <w:rFonts w:eastAsia="Times New Roman" w:cs="Times New Roman"/>
        </w:rPr>
        <w:t xml:space="preserve"> (James et al. 2016).</w:t>
      </w:r>
      <w:r w:rsidRPr="007242FD">
        <w:rPr>
          <w:rFonts w:eastAsia="Times New Roman" w:cs="Times New Roman"/>
        </w:rPr>
        <w:t xml:space="preserve"> Researchers continue to document the extensive physical and mental health disparities experienced by TNB people</w:t>
      </w:r>
      <w:r w:rsidR="00044118">
        <w:rPr>
          <w:rFonts w:eastAsia="Times New Roman" w:cs="Times New Roman"/>
        </w:rPr>
        <w:t xml:space="preserve"> (James et al. 2016; </w:t>
      </w:r>
      <w:proofErr w:type="spellStart"/>
      <w:r w:rsidR="00044118">
        <w:rPr>
          <w:rFonts w:eastAsia="Times New Roman" w:cs="Times New Roman"/>
        </w:rPr>
        <w:t>Su</w:t>
      </w:r>
      <w:proofErr w:type="spellEnd"/>
      <w:r w:rsidR="00044118">
        <w:rPr>
          <w:rFonts w:eastAsia="Times New Roman" w:cs="Times New Roman"/>
        </w:rPr>
        <w:t xml:space="preserve"> et al. 2016),</w:t>
      </w:r>
      <w:r w:rsidRPr="007242FD">
        <w:rPr>
          <w:rFonts w:eastAsia="Times New Roman" w:cs="Times New Roman"/>
        </w:rPr>
        <w:t xml:space="preserve"> and how these disparities can be connected to oppressive social environments using the minority stress model</w:t>
      </w:r>
      <w:r w:rsidR="00044118">
        <w:rPr>
          <w:rFonts w:eastAsia="Times New Roman" w:cs="Times New Roman"/>
        </w:rPr>
        <w:t xml:space="preserve"> (Hendricks and Testa 2012; Testa et al. 2015).</w:t>
      </w:r>
      <w:r>
        <w:rPr>
          <w:rFonts w:eastAsia="Times New Roman" w:cs="Times New Roman"/>
        </w:rPr>
        <w:t xml:space="preserve"> Furthermore, r</w:t>
      </w:r>
      <w:r w:rsidRPr="007242FD">
        <w:rPr>
          <w:rFonts w:eastAsia="Times New Roman" w:cs="Times New Roman"/>
        </w:rPr>
        <w:t>ecent research indicates that distress related to the COVID-19 pandemic has further increased minority stress</w:t>
      </w:r>
      <w:r w:rsidR="00044118">
        <w:rPr>
          <w:rFonts w:eastAsia="Times New Roman" w:cs="Times New Roman"/>
        </w:rPr>
        <w:t xml:space="preserve"> </w:t>
      </w:r>
      <w:r w:rsidR="00044118">
        <w:t xml:space="preserve">(Goldbach et al. In press; Kidd et al. 2021; van der </w:t>
      </w:r>
      <w:proofErr w:type="spellStart"/>
      <w:r w:rsidR="00044118">
        <w:t>Miesen</w:t>
      </w:r>
      <w:proofErr w:type="spellEnd"/>
      <w:r w:rsidR="00044118">
        <w:t xml:space="preserve">, </w:t>
      </w:r>
      <w:proofErr w:type="spellStart"/>
      <w:r w:rsidR="00044118">
        <w:t>Raaijmakers</w:t>
      </w:r>
      <w:proofErr w:type="spellEnd"/>
      <w:r w:rsidR="00044118">
        <w:t>, and van de Grift 2020).</w:t>
      </w:r>
      <w:r w:rsidRPr="007242FD">
        <w:rPr>
          <w:rFonts w:eastAsia="Times New Roman" w:cs="Times New Roman"/>
        </w:rPr>
        <w:t xml:space="preserve"> </w:t>
      </w:r>
      <w:r w:rsidR="003671BE">
        <w:rPr>
          <w:rFonts w:eastAsia="Times New Roman" w:cs="Times New Roman"/>
        </w:rPr>
        <w:t>Many TNB people have encountered additional difficulties accessing gender-affirming car</w:t>
      </w:r>
      <w:r w:rsidR="00044118">
        <w:rPr>
          <w:rFonts w:eastAsia="Times New Roman" w:cs="Times New Roman"/>
        </w:rPr>
        <w:t>e (</w:t>
      </w:r>
      <w:r w:rsidR="00044118">
        <w:t xml:space="preserve">van der </w:t>
      </w:r>
      <w:proofErr w:type="spellStart"/>
      <w:r w:rsidR="00044118">
        <w:t>Miesen</w:t>
      </w:r>
      <w:proofErr w:type="spellEnd"/>
      <w:r w:rsidR="00044118">
        <w:t xml:space="preserve">, </w:t>
      </w:r>
      <w:proofErr w:type="spellStart"/>
      <w:r w:rsidR="00044118">
        <w:t>Raaijmakers</w:t>
      </w:r>
      <w:proofErr w:type="spellEnd"/>
      <w:r w:rsidR="00044118">
        <w:t>, and van de Grift 2020)</w:t>
      </w:r>
      <w:r w:rsidR="003671BE">
        <w:rPr>
          <w:rFonts w:eastAsia="Times New Roman" w:cs="Times New Roman"/>
        </w:rPr>
        <w:t xml:space="preserve"> and increased psychological distres</w:t>
      </w:r>
      <w:r w:rsidR="00044118">
        <w:rPr>
          <w:rFonts w:eastAsia="Times New Roman" w:cs="Times New Roman"/>
        </w:rPr>
        <w:t>s (Kidd et al. 2021)</w:t>
      </w:r>
      <w:r w:rsidR="003671BE">
        <w:rPr>
          <w:rFonts w:eastAsia="Times New Roman" w:cs="Times New Roman"/>
        </w:rPr>
        <w:t xml:space="preserve"> due to the COVID-19 pandemic</w:t>
      </w:r>
      <w:r w:rsidR="005E3419">
        <w:rPr>
          <w:rFonts w:eastAsia="Times New Roman" w:cs="Times New Roman"/>
        </w:rPr>
        <w:t>. The ability to and methods of accessing support systems and chosen families has been significantly affected by the pandemic as result of social distancing, masking mandates, and stay-at-home orders</w:t>
      </w:r>
      <w:r w:rsidR="00044118">
        <w:rPr>
          <w:rFonts w:eastAsia="Times New Roman" w:cs="Times New Roman"/>
        </w:rPr>
        <w:t xml:space="preserve"> (</w:t>
      </w:r>
      <w:r w:rsidR="00044118">
        <w:t>Goldbach et al. In press</w:t>
      </w:r>
      <w:r w:rsidR="00044118">
        <w:rPr>
          <w:rFonts w:eastAsia="Times New Roman" w:cs="Times New Roman"/>
        </w:rPr>
        <w:t xml:space="preserve">). </w:t>
      </w:r>
      <w:r w:rsidR="005E3419">
        <w:rPr>
          <w:rFonts w:eastAsia="Times New Roman" w:cs="Times New Roman"/>
        </w:rPr>
        <w:t>Decreased access to social support and affirming care has led researchers to call on health providers, educational service providers, and LGBTQ+ organizations to find ways to directly provide support services to TNB people</w:t>
      </w:r>
      <w:r w:rsidR="00044118">
        <w:rPr>
          <w:rFonts w:eastAsia="Times New Roman" w:cs="Times New Roman"/>
        </w:rPr>
        <w:t xml:space="preserve"> (</w:t>
      </w:r>
      <w:proofErr w:type="spellStart"/>
      <w:r w:rsidR="00044118">
        <w:rPr>
          <w:rFonts w:eastAsia="Times New Roman" w:cs="Times New Roman"/>
        </w:rPr>
        <w:t>Gato</w:t>
      </w:r>
      <w:proofErr w:type="spellEnd"/>
      <w:r w:rsidR="00044118">
        <w:rPr>
          <w:rFonts w:eastAsia="Times New Roman" w:cs="Times New Roman"/>
        </w:rPr>
        <w:t xml:space="preserve"> et al. 2021).</w:t>
      </w:r>
      <w:r w:rsidR="005E3419">
        <w:rPr>
          <w:rFonts w:eastAsia="Times New Roman" w:cs="Times New Roman"/>
        </w:rPr>
        <w:t xml:space="preserve"> Transgender and nonbinary people have also developed resilience strategies, such as maintaining forms of community connectedness, to cope with stressors induced by the pandemic</w:t>
      </w:r>
      <w:r w:rsidR="00044118">
        <w:rPr>
          <w:rFonts w:eastAsia="Times New Roman" w:cs="Times New Roman"/>
        </w:rPr>
        <w:t xml:space="preserve"> (Abreu et al. 2021).</w:t>
      </w:r>
    </w:p>
    <w:p w14:paraId="6CF9E45F" w14:textId="2845BB4F" w:rsidR="00B8656D" w:rsidRDefault="005E3419" w:rsidP="00174D7E">
      <w:pPr>
        <w:rPr>
          <w:rFonts w:eastAsia="Times New Roman" w:cs="Times New Roman"/>
        </w:rPr>
      </w:pPr>
      <w:r>
        <w:rPr>
          <w:rFonts w:eastAsia="Times New Roman" w:cs="Times New Roman"/>
        </w:rPr>
        <w:tab/>
      </w:r>
      <w:r w:rsidR="004263DF" w:rsidRPr="0001027D">
        <w:rPr>
          <w:rFonts w:eastAsia="Times New Roman" w:cs="Times New Roman"/>
        </w:rPr>
        <w:t>Social and systemic contexts, such as oppressive social environments and living during a global pandemic,</w:t>
      </w:r>
      <w:r w:rsidR="00B8656D" w:rsidRPr="0001027D">
        <w:rPr>
          <w:rFonts w:eastAsia="Times New Roman" w:cs="Times New Roman"/>
        </w:rPr>
        <w:t xml:space="preserve"> can play a significant role in experiences of gender dysphoria</w:t>
      </w:r>
      <w:r w:rsidR="00044118">
        <w:rPr>
          <w:rFonts w:eastAsia="Times New Roman" w:cs="Times New Roman"/>
        </w:rPr>
        <w:t xml:space="preserve"> (</w:t>
      </w:r>
      <w:proofErr w:type="spellStart"/>
      <w:r w:rsidR="00044118">
        <w:t>Galupo</w:t>
      </w:r>
      <w:proofErr w:type="spellEnd"/>
      <w:r w:rsidR="00044118">
        <w:t xml:space="preserve">, </w:t>
      </w:r>
      <w:proofErr w:type="spellStart"/>
      <w:r w:rsidR="00044118">
        <w:t>Pulice</w:t>
      </w:r>
      <w:proofErr w:type="spellEnd"/>
      <w:r w:rsidR="00044118">
        <w:t>-Farrow, and Lindley 2020),</w:t>
      </w:r>
      <w:r w:rsidR="00B8656D" w:rsidRPr="0001027D">
        <w:rPr>
          <w:rFonts w:eastAsia="Times New Roman" w:cs="Times New Roman"/>
        </w:rPr>
        <w:t xml:space="preserve"> and gender dysphoria can be conceptualized as a proximal </w:t>
      </w:r>
      <w:r w:rsidR="00B75D74" w:rsidRPr="0001027D">
        <w:rPr>
          <w:rFonts w:eastAsia="Times New Roman" w:cs="Times New Roman"/>
        </w:rPr>
        <w:t xml:space="preserve">or internalized </w:t>
      </w:r>
      <w:r w:rsidR="00B8656D" w:rsidRPr="0001027D">
        <w:rPr>
          <w:rFonts w:eastAsia="Times New Roman" w:cs="Times New Roman"/>
        </w:rPr>
        <w:t>minority stressor</w:t>
      </w:r>
      <w:r w:rsidR="00044118">
        <w:rPr>
          <w:rFonts w:eastAsia="Times New Roman" w:cs="Times New Roman"/>
        </w:rPr>
        <w:t xml:space="preserve"> (Lindley and </w:t>
      </w:r>
      <w:proofErr w:type="spellStart"/>
      <w:r w:rsidR="00044118">
        <w:rPr>
          <w:rFonts w:eastAsia="Times New Roman" w:cs="Times New Roman"/>
        </w:rPr>
        <w:t>Galupo</w:t>
      </w:r>
      <w:proofErr w:type="spellEnd"/>
      <w:r w:rsidR="00044118">
        <w:rPr>
          <w:rFonts w:eastAsia="Times New Roman" w:cs="Times New Roman"/>
        </w:rPr>
        <w:t xml:space="preserve"> 2020), </w:t>
      </w:r>
      <w:r w:rsidR="00B8656D" w:rsidRPr="0001027D">
        <w:rPr>
          <w:rFonts w:eastAsia="Times New Roman" w:cs="Times New Roman"/>
        </w:rPr>
        <w:t>highlighting a disconnect between clinical characterizations and actual e</w:t>
      </w:r>
      <w:r w:rsidR="00B8656D" w:rsidRPr="007242FD">
        <w:rPr>
          <w:rFonts w:eastAsia="Times New Roman" w:cs="Times New Roman"/>
        </w:rPr>
        <w:t>xperiences of TNB people. Unfortunately, focusing solely</w:t>
      </w:r>
      <w:r w:rsidR="002526CA">
        <w:rPr>
          <w:rFonts w:eastAsia="Times New Roman" w:cs="Times New Roman"/>
        </w:rPr>
        <w:t xml:space="preserve"> on</w:t>
      </w:r>
      <w:r w:rsidR="00B8656D" w:rsidRPr="007242FD">
        <w:rPr>
          <w:rFonts w:eastAsia="Times New Roman" w:cs="Times New Roman"/>
        </w:rPr>
        <w:t xml:space="preserve"> current clinical characterizations of gender dysphoria produces assessment tools and treatment frameworks</w:t>
      </w:r>
      <w:r w:rsidR="00044118">
        <w:rPr>
          <w:rFonts w:eastAsia="Times New Roman" w:cs="Times New Roman"/>
        </w:rPr>
        <w:t xml:space="preserve"> (</w:t>
      </w:r>
      <w:r w:rsidR="00044118">
        <w:t>Cohen-</w:t>
      </w:r>
      <w:proofErr w:type="spellStart"/>
      <w:r w:rsidR="00044118">
        <w:t>Ketteinis</w:t>
      </w:r>
      <w:proofErr w:type="spellEnd"/>
      <w:r w:rsidR="00044118">
        <w:t xml:space="preserve"> and van </w:t>
      </w:r>
      <w:proofErr w:type="spellStart"/>
      <w:r w:rsidR="00044118">
        <w:t>Goozen</w:t>
      </w:r>
      <w:proofErr w:type="spellEnd"/>
      <w:r w:rsidR="00044118">
        <w:t xml:space="preserve"> 1997; </w:t>
      </w:r>
      <w:proofErr w:type="spellStart"/>
      <w:r w:rsidR="00044118">
        <w:t>Deogracias</w:t>
      </w:r>
      <w:proofErr w:type="spellEnd"/>
      <w:r w:rsidR="00044118">
        <w:t xml:space="preserve"> 2007) </w:t>
      </w:r>
      <w:r w:rsidR="00B8656D" w:rsidRPr="007242FD">
        <w:rPr>
          <w:rFonts w:eastAsia="Times New Roman" w:cs="Times New Roman"/>
        </w:rPr>
        <w:t>that omit consideration of how factors external to the individual (i.e., living in a cisnormative world that is often oppressive and violent to TNB people) may also contribute to some TNB people</w:t>
      </w:r>
      <w:r w:rsidR="00C364B6">
        <w:rPr>
          <w:rFonts w:eastAsia="Times New Roman" w:cs="Times New Roman"/>
        </w:rPr>
        <w:t>’</w:t>
      </w:r>
      <w:r w:rsidR="00B8656D" w:rsidRPr="007242FD">
        <w:rPr>
          <w:rFonts w:eastAsia="Times New Roman" w:cs="Times New Roman"/>
        </w:rPr>
        <w:t xml:space="preserve">s experiences of gender dysphoria. </w:t>
      </w:r>
    </w:p>
    <w:p w14:paraId="165FFB4B" w14:textId="144D9671" w:rsidR="00B8656D" w:rsidRPr="008655D2" w:rsidRDefault="00B8656D" w:rsidP="00814FD1">
      <w:pPr>
        <w:pStyle w:val="Heading3"/>
      </w:pPr>
      <w:r w:rsidRPr="008655D2">
        <w:t>Present Study</w:t>
      </w:r>
    </w:p>
    <w:p w14:paraId="7B382E8E" w14:textId="5DC71A44" w:rsidR="00B8656D" w:rsidRPr="007242FD" w:rsidRDefault="00B8656D" w:rsidP="00174D7E">
      <w:pPr>
        <w:ind w:firstLine="720"/>
        <w:rPr>
          <w:rFonts w:eastAsia="Times New Roman" w:cs="Times New Roman"/>
        </w:rPr>
      </w:pPr>
      <w:r w:rsidRPr="007242FD">
        <w:rPr>
          <w:rFonts w:eastAsia="Times New Roman" w:cs="Times New Roman"/>
        </w:rPr>
        <w:t xml:space="preserve">Despite the many connections between social and systemic environments, minority stressors, and the physical and mental well-being of TNB people, there is a paucity of research exploring ways oppressive social and systemic contexts may relate to gender dysphoria. The present study therefore investigates the multiple contexts (bodily, social, systemic) in which TNB individuals described their </w:t>
      </w:r>
      <w:r w:rsidRPr="0001027D">
        <w:rPr>
          <w:rFonts w:eastAsia="Times New Roman" w:cs="Times New Roman"/>
        </w:rPr>
        <w:t>experiences of gender dysphoria using Consensual Qualitative Research-Modified (CQR-M) method</w:t>
      </w:r>
      <w:r w:rsidR="00044118">
        <w:rPr>
          <w:rFonts w:eastAsia="Times New Roman" w:cs="Times New Roman"/>
        </w:rPr>
        <w:t xml:space="preserve"> (Hill and Knox 2021; Spangler, Liu, and Hill 2012) </w:t>
      </w:r>
      <w:r w:rsidR="00001E63" w:rsidRPr="0001027D">
        <w:rPr>
          <w:rFonts w:eastAsia="Times New Roman" w:cs="Times New Roman"/>
        </w:rPr>
        <w:t>with an emphasis on associations between gender dysphoria and social and systemic contexts</w:t>
      </w:r>
      <w:r w:rsidRPr="0001027D">
        <w:rPr>
          <w:rFonts w:eastAsia="Times New Roman" w:cs="Times New Roman"/>
        </w:rPr>
        <w:t>. Data were collected at two time points that happened to fall before onset (May 2019 to January 2020) and after onset</w:t>
      </w:r>
      <w:r w:rsidRPr="007242FD">
        <w:rPr>
          <w:rFonts w:eastAsia="Times New Roman" w:cs="Times New Roman"/>
        </w:rPr>
        <w:t xml:space="preserve"> (May 2020 to December 2020) of the COVID-19 pandemic. Building on past research about the stability of qualitative findings</w:t>
      </w:r>
      <w:r w:rsidR="00044118">
        <w:rPr>
          <w:rFonts w:eastAsia="Times New Roman" w:cs="Times New Roman"/>
        </w:rPr>
        <w:t xml:space="preserve"> (Spangler, Liu, and Hill 2012), </w:t>
      </w:r>
      <w:r w:rsidRPr="007242FD">
        <w:rPr>
          <w:rFonts w:eastAsia="Times New Roman" w:cs="Times New Roman"/>
        </w:rPr>
        <w:t xml:space="preserve">the researchers sought to investigate whether </w:t>
      </w:r>
      <w:r w:rsidR="003D6A9E">
        <w:rPr>
          <w:rFonts w:eastAsia="Times New Roman" w:cs="Times New Roman"/>
        </w:rPr>
        <w:t xml:space="preserve">patterns in </w:t>
      </w:r>
      <w:r w:rsidRPr="007242FD">
        <w:rPr>
          <w:rFonts w:eastAsia="Times New Roman" w:cs="Times New Roman"/>
        </w:rPr>
        <w:t xml:space="preserve">experiences of personal and environmental </w:t>
      </w:r>
      <w:r w:rsidR="003D6A9E">
        <w:rPr>
          <w:rFonts w:eastAsia="Times New Roman" w:cs="Times New Roman"/>
        </w:rPr>
        <w:t xml:space="preserve">gender </w:t>
      </w:r>
      <w:r w:rsidRPr="007242FD">
        <w:rPr>
          <w:rFonts w:eastAsia="Times New Roman" w:cs="Times New Roman"/>
        </w:rPr>
        <w:t xml:space="preserve">dysphoria </w:t>
      </w:r>
      <w:r w:rsidR="006160E7">
        <w:rPr>
          <w:rFonts w:eastAsia="Times New Roman" w:cs="Times New Roman"/>
        </w:rPr>
        <w:t>persisted</w:t>
      </w:r>
      <w:r w:rsidRPr="007242FD">
        <w:rPr>
          <w:rFonts w:eastAsia="Times New Roman" w:cs="Times New Roman"/>
        </w:rPr>
        <w:t xml:space="preserve"> after the onset of the COVID-19 pandemic. The study included three main research questions: 1) </w:t>
      </w:r>
      <w:r w:rsidRPr="00C364B6">
        <w:rPr>
          <w:rFonts w:eastAsia="Times New Roman" w:cs="Times New Roman"/>
          <w:iCs/>
        </w:rPr>
        <w:t xml:space="preserve">How do TNB people qualitatively report their experiences of gender dysphoria? 2) How do social and systemic interactions, in addition to experiences of the physical body, affect experiences of gender dysphoria? and 3) How has the COVID-19 pandemic </w:t>
      </w:r>
      <w:r w:rsidR="00BC03BD" w:rsidRPr="00C364B6">
        <w:rPr>
          <w:rFonts w:eastAsia="Times New Roman" w:cs="Times New Roman"/>
          <w:iCs/>
        </w:rPr>
        <w:t>shown up</w:t>
      </w:r>
      <w:r w:rsidRPr="00C364B6">
        <w:rPr>
          <w:rFonts w:eastAsia="Times New Roman" w:cs="Times New Roman"/>
          <w:iCs/>
        </w:rPr>
        <w:t xml:space="preserve">, if at all, </w:t>
      </w:r>
      <w:r w:rsidR="000B0C3E" w:rsidRPr="00C364B6">
        <w:rPr>
          <w:rFonts w:eastAsia="Times New Roman" w:cs="Times New Roman"/>
          <w:iCs/>
        </w:rPr>
        <w:t xml:space="preserve">in reported </w:t>
      </w:r>
      <w:r w:rsidRPr="00C364B6">
        <w:rPr>
          <w:rFonts w:eastAsia="Times New Roman" w:cs="Times New Roman"/>
          <w:iCs/>
        </w:rPr>
        <w:t>experiences of gender dysphoria?</w:t>
      </w:r>
      <w:r w:rsidRPr="007242FD">
        <w:rPr>
          <w:rFonts w:eastAsia="Times New Roman" w:cs="Times New Roman"/>
        </w:rPr>
        <w:t xml:space="preserve"> </w:t>
      </w:r>
    </w:p>
    <w:p w14:paraId="355EF446" w14:textId="50791E66" w:rsidR="00B8656D" w:rsidRPr="008655D2" w:rsidRDefault="00B8656D" w:rsidP="00814FD1">
      <w:pPr>
        <w:pStyle w:val="Heading2"/>
      </w:pPr>
      <w:r w:rsidRPr="008655D2">
        <w:lastRenderedPageBreak/>
        <w:t>Method</w:t>
      </w:r>
      <w:r w:rsidRPr="008655D2">
        <w:tab/>
      </w:r>
    </w:p>
    <w:p w14:paraId="16CDF07B" w14:textId="1C811DBB" w:rsidR="00B8656D" w:rsidRPr="007242FD" w:rsidRDefault="00B8656D" w:rsidP="00174D7E">
      <w:pPr>
        <w:ind w:firstLine="720"/>
        <w:rPr>
          <w:rFonts w:eastAsia="Times New Roman" w:cs="Times New Roman"/>
        </w:rPr>
      </w:pPr>
      <w:r w:rsidRPr="007242FD">
        <w:rPr>
          <w:rFonts w:eastAsia="Times New Roman" w:cs="Times New Roman"/>
        </w:rPr>
        <w:t>The data for this study were collected using a free response question about self-reported contributors to gender dysphoria that was included in a larger research project on experiences of gender dysphoria. CQR-M was used for this study because the method is sensitive to emotionally loaded data and because it provides a clear, reliable, consensus-based approach to coding brief qualitative data</w:t>
      </w:r>
      <w:r w:rsidR="00BB7D33">
        <w:rPr>
          <w:rFonts w:eastAsia="Times New Roman" w:cs="Times New Roman"/>
        </w:rPr>
        <w:t xml:space="preserve"> (Spangler, Liu, and Hill 2012). </w:t>
      </w:r>
      <w:r w:rsidRPr="007242FD">
        <w:rPr>
          <w:rFonts w:eastAsia="Times New Roman" w:cs="Times New Roman"/>
        </w:rPr>
        <w:t xml:space="preserve">The study was approved by the human subjects committee at </w:t>
      </w:r>
      <w:r w:rsidR="00BB7D33">
        <w:rPr>
          <w:rFonts w:eastAsia="Times New Roman" w:cs="Times New Roman"/>
        </w:rPr>
        <w:t>Southern Illinois University Carbondale</w:t>
      </w:r>
      <w:r>
        <w:rPr>
          <w:rFonts w:eastAsia="Times New Roman" w:cs="Times New Roman"/>
        </w:rPr>
        <w:t xml:space="preserve"> and informed consent was obtained from all participants</w:t>
      </w:r>
      <w:r w:rsidRPr="007242FD">
        <w:rPr>
          <w:rFonts w:eastAsia="Times New Roman" w:cs="Times New Roman"/>
        </w:rPr>
        <w:t>.</w:t>
      </w:r>
    </w:p>
    <w:p w14:paraId="27EA6025" w14:textId="6EE5EE3D" w:rsidR="006A76C2" w:rsidRPr="008655D2" w:rsidRDefault="002E33E0" w:rsidP="00814FD1">
      <w:pPr>
        <w:pStyle w:val="Heading3"/>
      </w:pPr>
      <w:r w:rsidRPr="008655D2">
        <w:t>Participants</w:t>
      </w:r>
    </w:p>
    <w:p w14:paraId="08B17E9C" w14:textId="4E6B0E22" w:rsidR="002E33E0" w:rsidRDefault="00BC03BD" w:rsidP="00174D7E">
      <w:pPr>
        <w:ind w:firstLine="720"/>
        <w:rPr>
          <w:rFonts w:eastAsia="Times New Roman" w:cs="Times New Roman"/>
        </w:rPr>
      </w:pPr>
      <w:r>
        <w:rPr>
          <w:rFonts w:eastAsia="Times New Roman" w:cs="Times New Roman"/>
          <w:bCs/>
        </w:rPr>
        <w:t xml:space="preserve">Data were collected at two different time points from two separate samples. </w:t>
      </w:r>
      <w:r w:rsidR="002E33E0">
        <w:rPr>
          <w:rFonts w:eastAsia="Times New Roman" w:cs="Times New Roman"/>
        </w:rPr>
        <w:t>Participants recruited prior to the onset of the pandemic</w:t>
      </w:r>
      <w:r w:rsidR="002E33E0" w:rsidRPr="007242FD">
        <w:rPr>
          <w:rFonts w:eastAsia="Times New Roman" w:cs="Times New Roman"/>
        </w:rPr>
        <w:t xml:space="preserve"> (</w:t>
      </w:r>
      <w:r w:rsidR="002E33E0" w:rsidRPr="00C364B6">
        <w:rPr>
          <w:rFonts w:eastAsia="Times New Roman" w:cs="Times New Roman"/>
          <w:i/>
          <w:iCs/>
        </w:rPr>
        <w:t>N</w:t>
      </w:r>
      <w:r w:rsidR="002E33E0" w:rsidRPr="007242FD">
        <w:rPr>
          <w:rFonts w:eastAsia="Times New Roman" w:cs="Times New Roman"/>
        </w:rPr>
        <w:t xml:space="preserve"> = 138) were 18 years old or older (</w:t>
      </w:r>
      <w:r w:rsidR="002E33E0" w:rsidRPr="00C364B6">
        <w:rPr>
          <w:rFonts w:eastAsia="Times New Roman" w:cs="Times New Roman"/>
          <w:i/>
          <w:iCs/>
        </w:rPr>
        <w:t>M</w:t>
      </w:r>
      <w:r w:rsidR="002E33E0" w:rsidRPr="007242FD">
        <w:rPr>
          <w:rFonts w:eastAsia="Times New Roman" w:cs="Times New Roman"/>
        </w:rPr>
        <w:t xml:space="preserve"> = 28.12) and identified as transgender and/or nonbinary. Most pre-onset participants reported being </w:t>
      </w:r>
      <w:r w:rsidR="002E33E0">
        <w:rPr>
          <w:rFonts w:eastAsia="Times New Roman" w:cs="Times New Roman"/>
        </w:rPr>
        <w:t>white</w:t>
      </w:r>
      <w:r w:rsidR="002E33E0" w:rsidRPr="007242FD">
        <w:rPr>
          <w:rFonts w:eastAsia="Times New Roman" w:cs="Times New Roman"/>
        </w:rPr>
        <w:t xml:space="preserve"> (81.2%, </w:t>
      </w:r>
      <w:r w:rsidR="00C364B6">
        <w:rPr>
          <w:rFonts w:eastAsia="Times New Roman" w:cs="Times New Roman"/>
          <w:i/>
          <w:iCs/>
        </w:rPr>
        <w:t>n</w:t>
      </w:r>
      <w:r w:rsidR="002E33E0" w:rsidRPr="007242FD">
        <w:rPr>
          <w:rFonts w:eastAsia="Times New Roman" w:cs="Times New Roman"/>
        </w:rPr>
        <w:t xml:space="preserve"> = 116), nonbinary (51.4%, </w:t>
      </w:r>
      <w:r w:rsidR="00C364B6">
        <w:rPr>
          <w:rFonts w:eastAsia="Times New Roman" w:cs="Times New Roman"/>
          <w:i/>
          <w:iCs/>
        </w:rPr>
        <w:t>n</w:t>
      </w:r>
      <w:r w:rsidR="002E33E0" w:rsidRPr="007242FD">
        <w:rPr>
          <w:rFonts w:eastAsia="Times New Roman" w:cs="Times New Roman"/>
        </w:rPr>
        <w:t xml:space="preserve"> = 71), assigned female at birth (73.9%, </w:t>
      </w:r>
      <w:r w:rsidR="00C364B6">
        <w:rPr>
          <w:rFonts w:eastAsia="Times New Roman" w:cs="Times New Roman"/>
          <w:i/>
          <w:iCs/>
        </w:rPr>
        <w:t>n</w:t>
      </w:r>
      <w:r w:rsidR="002E33E0" w:rsidRPr="007242FD">
        <w:rPr>
          <w:rFonts w:eastAsia="Times New Roman" w:cs="Times New Roman"/>
        </w:rPr>
        <w:t xml:space="preserve"> =102), and college-educated (91.4%, </w:t>
      </w:r>
      <w:r w:rsidR="00C364B6">
        <w:rPr>
          <w:rFonts w:eastAsia="Times New Roman" w:cs="Times New Roman"/>
          <w:i/>
          <w:iCs/>
        </w:rPr>
        <w:t>n</w:t>
      </w:r>
      <w:r w:rsidR="00C364B6" w:rsidRPr="007242FD">
        <w:rPr>
          <w:rFonts w:eastAsia="Times New Roman" w:cs="Times New Roman"/>
        </w:rPr>
        <w:t xml:space="preserve"> </w:t>
      </w:r>
      <w:r w:rsidR="002E33E0" w:rsidRPr="007242FD">
        <w:rPr>
          <w:rFonts w:eastAsia="Times New Roman" w:cs="Times New Roman"/>
        </w:rPr>
        <w:t>=</w:t>
      </w:r>
      <w:r w:rsidR="00C364B6">
        <w:rPr>
          <w:rFonts w:eastAsia="Times New Roman" w:cs="Times New Roman"/>
        </w:rPr>
        <w:t xml:space="preserve"> </w:t>
      </w:r>
      <w:r w:rsidR="002E33E0" w:rsidRPr="007242FD">
        <w:rPr>
          <w:rFonts w:eastAsia="Times New Roman" w:cs="Times New Roman"/>
        </w:rPr>
        <w:t>126). Post-onset participants (</w:t>
      </w:r>
      <w:r w:rsidR="002E33E0" w:rsidRPr="00C364B6">
        <w:rPr>
          <w:rFonts w:eastAsia="Times New Roman" w:cs="Times New Roman"/>
          <w:i/>
          <w:iCs/>
        </w:rPr>
        <w:t>N</w:t>
      </w:r>
      <w:r w:rsidR="002E33E0" w:rsidRPr="007242FD">
        <w:rPr>
          <w:rFonts w:eastAsia="Times New Roman" w:cs="Times New Roman"/>
        </w:rPr>
        <w:t xml:space="preserve"> = 226) were also 18 years old or older (</w:t>
      </w:r>
      <w:r w:rsidR="002E33E0" w:rsidRPr="00C364B6">
        <w:rPr>
          <w:rFonts w:eastAsia="Times New Roman" w:cs="Times New Roman"/>
          <w:i/>
          <w:iCs/>
        </w:rPr>
        <w:t>M</w:t>
      </w:r>
      <w:r w:rsidR="002E33E0" w:rsidRPr="007242FD">
        <w:rPr>
          <w:rFonts w:eastAsia="Times New Roman" w:cs="Times New Roman"/>
        </w:rPr>
        <w:t xml:space="preserve"> = 27.76) and identified as transgender and/or nonbinary. Most post-onset participants reported being </w:t>
      </w:r>
      <w:r w:rsidR="002E33E0">
        <w:rPr>
          <w:rFonts w:eastAsia="Times New Roman" w:cs="Times New Roman"/>
        </w:rPr>
        <w:t>white</w:t>
      </w:r>
      <w:r w:rsidR="002E33E0" w:rsidRPr="007242FD">
        <w:rPr>
          <w:rFonts w:eastAsia="Times New Roman" w:cs="Times New Roman"/>
        </w:rPr>
        <w:t xml:space="preserve"> (84.5%, </w:t>
      </w:r>
      <w:r w:rsidR="00C364B6">
        <w:rPr>
          <w:rFonts w:eastAsia="Times New Roman" w:cs="Times New Roman"/>
          <w:i/>
          <w:iCs/>
        </w:rPr>
        <w:t>n</w:t>
      </w:r>
      <w:r w:rsidR="002E33E0" w:rsidRPr="007242FD">
        <w:rPr>
          <w:rFonts w:eastAsia="Times New Roman" w:cs="Times New Roman"/>
        </w:rPr>
        <w:t xml:space="preserve"> = 191), nonbinary (61.9%, N =140), assigned female at birth (61.5%, </w:t>
      </w:r>
      <w:r w:rsidR="00C364B6">
        <w:rPr>
          <w:rFonts w:eastAsia="Times New Roman" w:cs="Times New Roman"/>
          <w:i/>
          <w:iCs/>
        </w:rPr>
        <w:t>n</w:t>
      </w:r>
      <w:r w:rsidR="002E33E0" w:rsidRPr="007242FD">
        <w:rPr>
          <w:rFonts w:eastAsia="Times New Roman" w:cs="Times New Roman"/>
        </w:rPr>
        <w:t xml:space="preserve"> = 139), and college-educated (85.4%, </w:t>
      </w:r>
      <w:r w:rsidR="00C364B6">
        <w:rPr>
          <w:rFonts w:eastAsia="Times New Roman" w:cs="Times New Roman"/>
          <w:i/>
          <w:iCs/>
        </w:rPr>
        <w:t>n</w:t>
      </w:r>
      <w:r w:rsidR="002E33E0" w:rsidRPr="007242FD">
        <w:rPr>
          <w:rFonts w:eastAsia="Times New Roman" w:cs="Times New Roman"/>
        </w:rPr>
        <w:t xml:space="preserve"> = 193). For more detailed demographic information, see Table </w:t>
      </w:r>
      <w:r w:rsidR="002E33E0">
        <w:rPr>
          <w:rFonts w:eastAsia="Times New Roman" w:cs="Times New Roman"/>
        </w:rPr>
        <w:t>1</w:t>
      </w:r>
      <w:r w:rsidR="002E33E0" w:rsidRPr="007242FD">
        <w:rPr>
          <w:rFonts w:eastAsia="Times New Roman" w:cs="Times New Roman"/>
        </w:rPr>
        <w:t>.</w:t>
      </w:r>
    </w:p>
    <w:p w14:paraId="1C52EC36" w14:textId="7BF6F9D6" w:rsidR="002E33E0" w:rsidRDefault="00AA5717" w:rsidP="00174D7E">
      <w:pPr>
        <w:jc w:val="center"/>
        <w:rPr>
          <w:rFonts w:eastAsia="Times New Roman" w:cs="Times New Roman"/>
        </w:rPr>
      </w:pPr>
      <w:r>
        <w:rPr>
          <w:rFonts w:eastAsia="Times New Roman" w:cs="Times New Roman"/>
        </w:rPr>
        <w:t>[</w:t>
      </w:r>
      <w:r w:rsidR="002E33E0">
        <w:rPr>
          <w:rFonts w:eastAsia="Times New Roman" w:cs="Times New Roman"/>
        </w:rPr>
        <w:t>INSERT TABLE 1 ABOUT HERE</w:t>
      </w:r>
      <w:r>
        <w:rPr>
          <w:rFonts w:eastAsia="Times New Roman" w:cs="Times New Roman"/>
        </w:rPr>
        <w:t>]</w:t>
      </w:r>
    </w:p>
    <w:p w14:paraId="758F6A5C" w14:textId="5F1E43BF" w:rsidR="00B8656D" w:rsidRPr="008655D2" w:rsidRDefault="00B8656D" w:rsidP="00814FD1">
      <w:pPr>
        <w:pStyle w:val="Heading3"/>
      </w:pPr>
      <w:r w:rsidRPr="008655D2">
        <w:t>Researchers</w:t>
      </w:r>
    </w:p>
    <w:p w14:paraId="19F036CC" w14:textId="2419893E" w:rsidR="00B8656D" w:rsidRDefault="00443A17" w:rsidP="00174D7E">
      <w:pPr>
        <w:ind w:firstLine="720"/>
        <w:rPr>
          <w:rFonts w:eastAsia="Times New Roman" w:cs="Times New Roman"/>
        </w:rPr>
      </w:pPr>
      <w:r>
        <w:rPr>
          <w:rFonts w:eastAsia="Times New Roman" w:cs="Times New Roman"/>
        </w:rPr>
        <w:t>Consistent with</w:t>
      </w:r>
      <w:r w:rsidR="00B8656D" w:rsidRPr="007242FD">
        <w:rPr>
          <w:rFonts w:eastAsia="Times New Roman" w:cs="Times New Roman"/>
        </w:rPr>
        <w:t xml:space="preserve"> CQR-M</w:t>
      </w:r>
      <w:r>
        <w:rPr>
          <w:rFonts w:eastAsia="Times New Roman" w:cs="Times New Roman"/>
        </w:rPr>
        <w:t>, our</w:t>
      </w:r>
      <w:r w:rsidR="00B8656D" w:rsidRPr="007242FD">
        <w:rPr>
          <w:rFonts w:eastAsia="Times New Roman" w:cs="Times New Roman"/>
        </w:rPr>
        <w:t xml:space="preserve"> judges met to generate and apply codes through a collaborative, consensus-based process</w:t>
      </w:r>
      <w:r w:rsidR="00BB7D33">
        <w:rPr>
          <w:rFonts w:eastAsia="Times New Roman" w:cs="Times New Roman"/>
        </w:rPr>
        <w:t xml:space="preserve"> (Hill and Knox 2021). </w:t>
      </w:r>
      <w:r>
        <w:rPr>
          <w:rFonts w:eastAsia="Times New Roman" w:cs="Times New Roman"/>
        </w:rPr>
        <w:t>The coding</w:t>
      </w:r>
      <w:r w:rsidR="00B8656D" w:rsidRPr="007242FD">
        <w:rPr>
          <w:rFonts w:eastAsia="Times New Roman" w:cs="Times New Roman"/>
        </w:rPr>
        <w:t xml:space="preserve"> team size</w:t>
      </w:r>
      <w:r>
        <w:rPr>
          <w:rFonts w:eastAsia="Times New Roman" w:cs="Times New Roman"/>
        </w:rPr>
        <w:t>s</w:t>
      </w:r>
      <w:r w:rsidR="00B8656D" w:rsidRPr="007242FD">
        <w:rPr>
          <w:rFonts w:eastAsia="Times New Roman" w:cs="Times New Roman"/>
        </w:rPr>
        <w:t xml:space="preserve"> </w:t>
      </w:r>
      <w:r>
        <w:rPr>
          <w:rFonts w:eastAsia="Times New Roman" w:cs="Times New Roman"/>
        </w:rPr>
        <w:t>were</w:t>
      </w:r>
      <w:r w:rsidR="00B8656D" w:rsidRPr="007242FD">
        <w:rPr>
          <w:rFonts w:eastAsia="Times New Roman" w:cs="Times New Roman"/>
        </w:rPr>
        <w:t xml:space="preserve"> variable </w:t>
      </w:r>
      <w:r>
        <w:rPr>
          <w:rFonts w:eastAsia="Times New Roman" w:cs="Times New Roman"/>
        </w:rPr>
        <w:t>at time one and two</w:t>
      </w:r>
      <w:r w:rsidR="00B8656D" w:rsidRPr="007242FD">
        <w:rPr>
          <w:rFonts w:eastAsia="Times New Roman" w:cs="Times New Roman"/>
        </w:rPr>
        <w:t xml:space="preserve">, but </w:t>
      </w:r>
      <w:r>
        <w:rPr>
          <w:rFonts w:eastAsia="Times New Roman" w:cs="Times New Roman"/>
        </w:rPr>
        <w:t xml:space="preserve">both teams worked to </w:t>
      </w:r>
      <w:r w:rsidR="003266EE">
        <w:rPr>
          <w:rFonts w:eastAsia="Times New Roman" w:cs="Times New Roman"/>
        </w:rPr>
        <w:t xml:space="preserve">establish </w:t>
      </w:r>
      <w:r>
        <w:rPr>
          <w:rFonts w:eastAsia="Times New Roman" w:cs="Times New Roman"/>
        </w:rPr>
        <w:t>consensus regarding final domain labels and frequencies</w:t>
      </w:r>
      <w:r w:rsidR="00BB7D33">
        <w:rPr>
          <w:rFonts w:eastAsia="Times New Roman" w:cs="Times New Roman"/>
        </w:rPr>
        <w:t xml:space="preserve"> (Spangler, Liu, and Hill 2012).</w:t>
      </w:r>
      <w:r w:rsidR="00B8656D" w:rsidRPr="007242FD">
        <w:rPr>
          <w:rFonts w:eastAsia="Times New Roman" w:cs="Times New Roman"/>
        </w:rPr>
        <w:t xml:space="preserve"> The primary investigator and an assistant professor in counseling psychology served on both coding teams. </w:t>
      </w:r>
      <w:r>
        <w:rPr>
          <w:rFonts w:eastAsia="Times New Roman" w:cs="Times New Roman"/>
        </w:rPr>
        <w:t xml:space="preserve">Other team members changed from time one to time two based on their availability and interest in participating in the rigorous, </w:t>
      </w:r>
      <w:r w:rsidR="005A056A">
        <w:rPr>
          <w:rFonts w:eastAsia="Times New Roman" w:cs="Times New Roman"/>
        </w:rPr>
        <w:t>time-consuming</w:t>
      </w:r>
      <w:r>
        <w:rPr>
          <w:rFonts w:eastAsia="Times New Roman" w:cs="Times New Roman"/>
        </w:rPr>
        <w:t xml:space="preserve"> coding process. </w:t>
      </w:r>
      <w:r w:rsidR="00B8656D" w:rsidRPr="007242FD">
        <w:rPr>
          <w:rFonts w:eastAsia="Times New Roman" w:cs="Times New Roman"/>
        </w:rPr>
        <w:t xml:space="preserve">The </w:t>
      </w:r>
      <w:r>
        <w:rPr>
          <w:rFonts w:eastAsia="Times New Roman" w:cs="Times New Roman"/>
        </w:rPr>
        <w:t xml:space="preserve">fact that the </w:t>
      </w:r>
      <w:r w:rsidR="00B8656D" w:rsidRPr="007242FD">
        <w:rPr>
          <w:rFonts w:eastAsia="Times New Roman" w:cs="Times New Roman"/>
        </w:rPr>
        <w:t>r</w:t>
      </w:r>
      <w:r w:rsidR="002526CA">
        <w:rPr>
          <w:rFonts w:eastAsia="Times New Roman" w:cs="Times New Roman"/>
        </w:rPr>
        <w:t>esearch</w:t>
      </w:r>
      <w:r w:rsidR="00B8656D" w:rsidRPr="007242FD">
        <w:rPr>
          <w:rFonts w:eastAsia="Times New Roman" w:cs="Times New Roman"/>
        </w:rPr>
        <w:t xml:space="preserve"> teams for the pre-onset and post-onset coding projects were different</w:t>
      </w:r>
      <w:r>
        <w:rPr>
          <w:rFonts w:eastAsia="Times New Roman" w:cs="Times New Roman"/>
        </w:rPr>
        <w:t xml:space="preserve"> indicated</w:t>
      </w:r>
      <w:r w:rsidR="00B8656D" w:rsidRPr="007242FD">
        <w:rPr>
          <w:rFonts w:eastAsia="Times New Roman" w:cs="Times New Roman"/>
        </w:rPr>
        <w:t xml:space="preserve"> that </w:t>
      </w:r>
      <w:r>
        <w:rPr>
          <w:rFonts w:eastAsia="Times New Roman" w:cs="Times New Roman"/>
        </w:rPr>
        <w:t xml:space="preserve">the </w:t>
      </w:r>
      <w:r w:rsidR="00B8656D" w:rsidRPr="007242FD">
        <w:rPr>
          <w:rFonts w:eastAsia="Times New Roman" w:cs="Times New Roman"/>
        </w:rPr>
        <w:t>codes were well defined and stable across samples.</w:t>
      </w:r>
      <w:r>
        <w:rPr>
          <w:rFonts w:eastAsia="Times New Roman" w:cs="Times New Roman"/>
        </w:rPr>
        <w:t xml:space="preserve"> The diversity of identities and experiences of team members further contributed to the accuracy of the domains that were formulated and applied.</w:t>
      </w:r>
      <w:r w:rsidR="00B8656D" w:rsidRPr="007242FD">
        <w:rPr>
          <w:rFonts w:eastAsia="Times New Roman" w:cs="Times New Roman"/>
        </w:rPr>
        <w:t xml:space="preserve"> For details about the teams, see Table </w:t>
      </w:r>
      <w:r w:rsidR="002E33E0">
        <w:rPr>
          <w:rFonts w:eastAsia="Times New Roman" w:cs="Times New Roman"/>
        </w:rPr>
        <w:t>2</w:t>
      </w:r>
      <w:r w:rsidR="00B8656D" w:rsidRPr="007242FD">
        <w:rPr>
          <w:rFonts w:eastAsia="Times New Roman" w:cs="Times New Roman"/>
        </w:rPr>
        <w:t>.</w:t>
      </w:r>
    </w:p>
    <w:p w14:paraId="5C7A8E0D" w14:textId="1B4255C5" w:rsidR="00872A80" w:rsidRPr="007242FD" w:rsidRDefault="00AA5717" w:rsidP="00174D7E">
      <w:pPr>
        <w:jc w:val="center"/>
        <w:rPr>
          <w:rFonts w:eastAsia="Times New Roman" w:cs="Times New Roman"/>
        </w:rPr>
      </w:pPr>
      <w:r>
        <w:rPr>
          <w:rFonts w:eastAsia="Times New Roman" w:cs="Times New Roman"/>
        </w:rPr>
        <w:t>[</w:t>
      </w:r>
      <w:r w:rsidR="00872A80">
        <w:rPr>
          <w:rFonts w:eastAsia="Times New Roman" w:cs="Times New Roman"/>
        </w:rPr>
        <w:t xml:space="preserve">INSERT TABLE </w:t>
      </w:r>
      <w:r w:rsidR="002E33E0">
        <w:rPr>
          <w:rFonts w:eastAsia="Times New Roman" w:cs="Times New Roman"/>
        </w:rPr>
        <w:t>2</w:t>
      </w:r>
      <w:r w:rsidR="00872A80">
        <w:rPr>
          <w:rFonts w:eastAsia="Times New Roman" w:cs="Times New Roman"/>
        </w:rPr>
        <w:t xml:space="preserve"> ABOUT HERE</w:t>
      </w:r>
      <w:r>
        <w:rPr>
          <w:rFonts w:eastAsia="Times New Roman" w:cs="Times New Roman"/>
        </w:rPr>
        <w:t>]</w:t>
      </w:r>
    </w:p>
    <w:p w14:paraId="2F72EED3" w14:textId="24C06DF6" w:rsidR="00B8656D" w:rsidRPr="008655D2" w:rsidRDefault="00B8656D" w:rsidP="00814FD1">
      <w:pPr>
        <w:pStyle w:val="Heading3"/>
      </w:pPr>
      <w:r w:rsidRPr="008655D2">
        <w:t>Procedure</w:t>
      </w:r>
    </w:p>
    <w:p w14:paraId="6740EFC3" w14:textId="77777777" w:rsidR="00B8656D" w:rsidRPr="007242FD" w:rsidRDefault="00B8656D" w:rsidP="00174D7E">
      <w:pPr>
        <w:ind w:firstLine="720"/>
        <w:rPr>
          <w:rFonts w:eastAsia="Times New Roman" w:cs="Times New Roman"/>
        </w:rPr>
      </w:pPr>
      <w:r>
        <w:rPr>
          <w:rFonts w:eastAsia="Times New Roman" w:cs="Times New Roman"/>
        </w:rPr>
        <w:t>Participants were recruited for two time points: before (May 2019 to January 2020) and during (May to December 2020) the COVID-19 pandemic.</w:t>
      </w:r>
      <w:r w:rsidRPr="007242FD">
        <w:rPr>
          <w:rFonts w:eastAsia="Times New Roman" w:cs="Times New Roman"/>
        </w:rPr>
        <w:t xml:space="preserve"> Data were collected the same way at both time points. Participants were recruited via social media and email lists obtained at LGBTQ+ events (e.g., Pride festivals). When participants clicked on the link, they were directed to a survey in Qualtrics. They were first presented with an informed consent form, followed by a series of quantitative measures, after which they were prompted to respond to an open-ended question. Upon survey completion, participants were redirected to separate survey that allowed them to select one of 12 transgender-focused non-profit organizations to which $1 would be donated. </w:t>
      </w:r>
    </w:p>
    <w:p w14:paraId="413B073F" w14:textId="5CD3D366" w:rsidR="00B8656D" w:rsidRPr="008655D2" w:rsidRDefault="00B8656D" w:rsidP="00814FD1">
      <w:pPr>
        <w:pStyle w:val="Heading3"/>
      </w:pPr>
      <w:r w:rsidRPr="008655D2">
        <w:lastRenderedPageBreak/>
        <w:t>Materials</w:t>
      </w:r>
    </w:p>
    <w:p w14:paraId="1091DBF3" w14:textId="1DA9EC94" w:rsidR="00B8656D" w:rsidRPr="008655D2" w:rsidRDefault="00B8656D" w:rsidP="00814FD1">
      <w:pPr>
        <w:pStyle w:val="Heading4"/>
      </w:pPr>
      <w:r w:rsidRPr="008655D2">
        <w:t>Demographic Questionnaire</w:t>
      </w:r>
    </w:p>
    <w:p w14:paraId="46AFA782" w14:textId="77777777" w:rsidR="00B8656D" w:rsidRPr="007242FD" w:rsidRDefault="00B8656D" w:rsidP="00174D7E">
      <w:pPr>
        <w:ind w:firstLine="720"/>
        <w:rPr>
          <w:rFonts w:eastAsia="Times New Roman" w:cs="Times New Roman"/>
        </w:rPr>
      </w:pPr>
      <w:r w:rsidRPr="007242FD">
        <w:rPr>
          <w:rFonts w:eastAsia="Times New Roman" w:cs="Times New Roman"/>
        </w:rPr>
        <w:t xml:space="preserve">The demographic questionnaire collected basic information that included age, race, sexual orientation, gender identity, and social and medical transition steps taken. </w:t>
      </w:r>
    </w:p>
    <w:p w14:paraId="5BBA02D6" w14:textId="77EA8CE1" w:rsidR="00B8656D" w:rsidRPr="008655D2" w:rsidRDefault="00B8656D" w:rsidP="00814FD1">
      <w:pPr>
        <w:pStyle w:val="Heading4"/>
      </w:pPr>
      <w:r w:rsidRPr="008655D2">
        <w:t>Free Response Question</w:t>
      </w:r>
    </w:p>
    <w:p w14:paraId="0A0BB911" w14:textId="7D9D3E79" w:rsidR="00B8656D" w:rsidRPr="007242FD" w:rsidRDefault="00B8656D" w:rsidP="00174D7E">
      <w:pPr>
        <w:ind w:firstLine="720"/>
        <w:rPr>
          <w:rFonts w:eastAsia="Times New Roman" w:cs="Times New Roman"/>
        </w:rPr>
      </w:pPr>
      <w:r w:rsidRPr="007242FD">
        <w:rPr>
          <w:rFonts w:eastAsia="Times New Roman" w:cs="Times New Roman"/>
        </w:rPr>
        <w:t>Participants were asked to respond to the prompt, “Please specify any other important factors that contribute to your level of gender dysphoria.” The prompt was presented immediately after a new measure of gender dysphoria that asked participants to think about contributors to gender dysphoria related to social and systemic variables</w:t>
      </w:r>
      <w:r w:rsidR="00BB7D33">
        <w:rPr>
          <w:rFonts w:eastAsia="Times New Roman" w:cs="Times New Roman"/>
        </w:rPr>
        <w:t xml:space="preserve"> (Goldbach and Knutson 2021).</w:t>
      </w:r>
      <w:r w:rsidRPr="007242FD">
        <w:rPr>
          <w:rFonts w:eastAsia="Times New Roman" w:cs="Times New Roman"/>
        </w:rPr>
        <w:t xml:space="preserve"> </w:t>
      </w:r>
    </w:p>
    <w:p w14:paraId="7EC7752C" w14:textId="2F660209" w:rsidR="00B8656D" w:rsidRPr="008655D2" w:rsidRDefault="005A056A" w:rsidP="00814FD1">
      <w:pPr>
        <w:pStyle w:val="Heading3"/>
      </w:pPr>
      <w:r w:rsidRPr="008655D2">
        <w:t>Trustworthiness</w:t>
      </w:r>
    </w:p>
    <w:p w14:paraId="44E71B6F" w14:textId="0DA83E3E" w:rsidR="00B8656D" w:rsidRDefault="00B8656D" w:rsidP="00174D7E">
      <w:pPr>
        <w:ind w:firstLine="720"/>
        <w:rPr>
          <w:rFonts w:eastAsia="Times New Roman" w:cs="Times New Roman"/>
        </w:rPr>
      </w:pPr>
      <w:r w:rsidRPr="007242FD">
        <w:rPr>
          <w:rFonts w:eastAsia="Times New Roman" w:cs="Times New Roman"/>
        </w:rPr>
        <w:t>One criticism of qualitative methods is that researchers may project their own biases and expectations on the data they analyze</w:t>
      </w:r>
      <w:r w:rsidR="00BB7D33">
        <w:rPr>
          <w:rFonts w:eastAsia="Times New Roman" w:cs="Times New Roman"/>
        </w:rPr>
        <w:t xml:space="preserve"> (Hill and Knox 2012).</w:t>
      </w:r>
      <w:r w:rsidRPr="007242FD">
        <w:rPr>
          <w:rFonts w:eastAsia="Times New Roman" w:cs="Times New Roman"/>
        </w:rPr>
        <w:t xml:space="preserve"> CQR-M addresses the potential for bias by asking researchers to identify their biases and expectations, to bracket those expectations, and to hold fellow researchers accountable for bracketing their expectations as well</w:t>
      </w:r>
      <w:r w:rsidR="00BB7D33">
        <w:rPr>
          <w:rFonts w:eastAsia="Times New Roman" w:cs="Times New Roman"/>
        </w:rPr>
        <w:t xml:space="preserve"> (Spangler, Liu, and Hill 2012).</w:t>
      </w:r>
      <w:r w:rsidRPr="007242FD">
        <w:rPr>
          <w:rFonts w:eastAsia="Times New Roman" w:cs="Times New Roman"/>
        </w:rPr>
        <w:t xml:space="preserve"> The method also makes use of a consensus-building process that allows for in vivo inter-rater reliability </w:t>
      </w:r>
      <w:r w:rsidR="00EE4FBE" w:rsidRPr="007242FD">
        <w:rPr>
          <w:rFonts w:eastAsia="Times New Roman" w:cs="Times New Roman"/>
        </w:rPr>
        <w:t>checks,</w:t>
      </w:r>
      <w:r w:rsidRPr="007242FD">
        <w:rPr>
          <w:rFonts w:eastAsia="Times New Roman" w:cs="Times New Roman"/>
        </w:rPr>
        <w:t xml:space="preserve"> and it includes an auditor who checks the accuracy and consistency of the coding process</w:t>
      </w:r>
      <w:r w:rsidR="00BB7D33">
        <w:rPr>
          <w:rFonts w:eastAsia="Times New Roman" w:cs="Times New Roman"/>
        </w:rPr>
        <w:t xml:space="preserve"> (Hill and Knox 2021).</w:t>
      </w:r>
      <w:r w:rsidRPr="007242FD">
        <w:rPr>
          <w:rFonts w:eastAsia="Times New Roman" w:cs="Times New Roman"/>
        </w:rPr>
        <w:t xml:space="preserve"> Both pre- and post-onset teams identified possible biases that could impact their work as a </w:t>
      </w:r>
      <w:r w:rsidR="00EE4FBE" w:rsidRPr="007242FD">
        <w:rPr>
          <w:rFonts w:eastAsia="Times New Roman" w:cs="Times New Roman"/>
        </w:rPr>
        <w:t>team,</w:t>
      </w:r>
      <w:r>
        <w:rPr>
          <w:rFonts w:eastAsia="Times New Roman" w:cs="Times New Roman"/>
        </w:rPr>
        <w:t xml:space="preserve"> </w:t>
      </w:r>
      <w:r w:rsidRPr="007242FD">
        <w:rPr>
          <w:rFonts w:eastAsia="Times New Roman" w:cs="Times New Roman"/>
        </w:rPr>
        <w:t>and they agreed to work together to reduce the impact of those factors</w:t>
      </w:r>
      <w:r w:rsidR="00454BDB">
        <w:rPr>
          <w:rFonts w:eastAsia="Times New Roman" w:cs="Times New Roman"/>
        </w:rPr>
        <w:t xml:space="preserve"> (Table 3).</w:t>
      </w:r>
    </w:p>
    <w:p w14:paraId="0133DF8E" w14:textId="09E47BD5" w:rsidR="00454BDB" w:rsidRDefault="00AA5717" w:rsidP="00174D7E">
      <w:pPr>
        <w:jc w:val="center"/>
        <w:rPr>
          <w:rFonts w:eastAsia="Times New Roman" w:cs="Times New Roman"/>
        </w:rPr>
      </w:pPr>
      <w:r>
        <w:rPr>
          <w:rFonts w:eastAsia="Times New Roman" w:cs="Times New Roman"/>
        </w:rPr>
        <w:t>[</w:t>
      </w:r>
      <w:r w:rsidR="00454BDB">
        <w:rPr>
          <w:rFonts w:eastAsia="Times New Roman" w:cs="Times New Roman"/>
        </w:rPr>
        <w:t>INSERT TABLE 3 ABOUT HERE</w:t>
      </w:r>
      <w:r>
        <w:rPr>
          <w:rFonts w:eastAsia="Times New Roman" w:cs="Times New Roman"/>
        </w:rPr>
        <w:t>]</w:t>
      </w:r>
    </w:p>
    <w:p w14:paraId="7114544D" w14:textId="117FCD73" w:rsidR="00B8656D" w:rsidRPr="008655D2" w:rsidRDefault="00B8656D" w:rsidP="00814FD1">
      <w:pPr>
        <w:pStyle w:val="Heading3"/>
      </w:pPr>
      <w:r w:rsidRPr="008655D2">
        <w:t>Analysis Plan</w:t>
      </w:r>
    </w:p>
    <w:p w14:paraId="33F30C27" w14:textId="7CC13F7A" w:rsidR="00B8656D" w:rsidRDefault="00334C10" w:rsidP="00174D7E">
      <w:pPr>
        <w:ind w:firstLine="720"/>
        <w:rPr>
          <w:rFonts w:eastAsia="Times New Roman" w:cs="Times New Roman"/>
        </w:rPr>
      </w:pPr>
      <w:bookmarkStart w:id="4" w:name="_Hlk106268638"/>
      <w:r w:rsidRPr="007242FD">
        <w:rPr>
          <w:rFonts w:eastAsia="Times New Roman" w:cs="Times New Roman"/>
        </w:rPr>
        <w:t xml:space="preserve">CQR-M </w:t>
      </w:r>
      <w:r>
        <w:rPr>
          <w:rFonts w:eastAsia="Times New Roman" w:cs="Times New Roman"/>
        </w:rPr>
        <w:t>allowed each coding team to utilize a qualitative coding and analysis process that was clear, structured, and consensus-based</w:t>
      </w:r>
      <w:r w:rsidR="00BB7D33">
        <w:rPr>
          <w:rFonts w:eastAsia="Times New Roman" w:cs="Times New Roman"/>
        </w:rPr>
        <w:t xml:space="preserve"> (Hill and Knox 2021; Spangler, Liu, and Hill 2012). </w:t>
      </w:r>
      <w:r w:rsidRPr="007242FD">
        <w:rPr>
          <w:rFonts w:eastAsia="Times New Roman" w:cs="Times New Roman"/>
        </w:rPr>
        <w:t>Each participant response was treated as a unit of data.</w:t>
      </w:r>
      <w:r>
        <w:rPr>
          <w:rFonts w:eastAsia="Times New Roman" w:cs="Times New Roman"/>
        </w:rPr>
        <w:t xml:space="preserve"> </w:t>
      </w:r>
      <w:r w:rsidR="00B8656D" w:rsidRPr="007242FD">
        <w:rPr>
          <w:rFonts w:eastAsia="Times New Roman" w:cs="Times New Roman"/>
        </w:rPr>
        <w:t xml:space="preserve">Similar procedures were followed by both coding teams with the following exceptions: (a) the pre-onset team worked to consensus in person whereas the post-onset team met online and (b) the pre-onset team used Google Documents with comment bubbles to track codes whereas the post-onset team used Google Sheets. </w:t>
      </w:r>
    </w:p>
    <w:bookmarkEnd w:id="4"/>
    <w:p w14:paraId="0E260984" w14:textId="10D9501A" w:rsidR="00B8656D" w:rsidRPr="008655D2" w:rsidRDefault="00B8656D" w:rsidP="00814FD1">
      <w:pPr>
        <w:pStyle w:val="Heading2"/>
      </w:pPr>
      <w:r w:rsidRPr="008655D2">
        <w:t>Results</w:t>
      </w:r>
    </w:p>
    <w:p w14:paraId="6B6DA3F2" w14:textId="33AB0469" w:rsidR="003E0CC8" w:rsidRDefault="00B8656D" w:rsidP="00174D7E">
      <w:pPr>
        <w:ind w:firstLine="720"/>
        <w:rPr>
          <w:rFonts w:eastAsia="Times New Roman" w:cs="Times New Roman"/>
        </w:rPr>
      </w:pPr>
      <w:r w:rsidRPr="007242FD">
        <w:rPr>
          <w:rFonts w:eastAsia="Times New Roman" w:cs="Times New Roman"/>
        </w:rPr>
        <w:t>Using CQR-M, 12 domains were identified in the final code list that captured participant descriptions of factors that contribute to their experiences of gender dysphoria</w:t>
      </w:r>
      <w:r w:rsidR="00E36346">
        <w:rPr>
          <w:rFonts w:eastAsia="Times New Roman" w:cs="Times New Roman"/>
        </w:rPr>
        <w:t>. Each of the domains that follow are accompanied by brief examples</w:t>
      </w:r>
      <w:r w:rsidR="003E0CC8">
        <w:rPr>
          <w:rFonts w:eastAsia="Times New Roman" w:cs="Times New Roman"/>
        </w:rPr>
        <w:t xml:space="preserve">. Please refer to Table 4 for a summary of domain definitions and frequencies. </w:t>
      </w:r>
    </w:p>
    <w:p w14:paraId="42D4EC50" w14:textId="411056A4" w:rsidR="003E0CC8" w:rsidRDefault="003E0CC8" w:rsidP="00174D7E">
      <w:pPr>
        <w:ind w:firstLine="720"/>
        <w:rPr>
          <w:rFonts w:eastAsia="Times New Roman" w:cs="Times New Roman"/>
        </w:rPr>
      </w:pPr>
      <w:r w:rsidRPr="000F2DB6">
        <w:rPr>
          <w:rFonts w:eastAsia="Times New Roman" w:cs="Times New Roman"/>
          <w:i/>
          <w:iCs/>
        </w:rPr>
        <w:t>Multiple marginalization</w:t>
      </w:r>
      <w:r>
        <w:rPr>
          <w:rFonts w:eastAsia="Times New Roman" w:cs="Times New Roman"/>
        </w:rPr>
        <w:t xml:space="preserve"> is a domain that captures experiences of oppression related to marginalized identities other than gender. Participants</w:t>
      </w:r>
      <w:r w:rsidR="00C364B6">
        <w:rPr>
          <w:rFonts w:eastAsia="Times New Roman" w:cs="Times New Roman"/>
        </w:rPr>
        <w:t>’</w:t>
      </w:r>
      <w:r>
        <w:rPr>
          <w:rFonts w:eastAsia="Times New Roman" w:cs="Times New Roman"/>
        </w:rPr>
        <w:t xml:space="preserve"> experiences included, but were not limited to, fatphobia, racism, and ageism that intersect with gender identity. One participant, a multiracial transgender man, shared unique stressors they experience as someone who is transgender, a man, and a person of color: “</w:t>
      </w:r>
      <w:r w:rsidRPr="003E0CC8">
        <w:rPr>
          <w:rFonts w:eastAsia="Times New Roman" w:cs="Times New Roman"/>
        </w:rPr>
        <w:t xml:space="preserve">Being a person of </w:t>
      </w:r>
      <w:proofErr w:type="spellStart"/>
      <w:r w:rsidRPr="003E0CC8">
        <w:rPr>
          <w:rFonts w:eastAsia="Times New Roman" w:cs="Times New Roman"/>
        </w:rPr>
        <w:t>colour</w:t>
      </w:r>
      <w:proofErr w:type="spellEnd"/>
      <w:r w:rsidRPr="003E0CC8">
        <w:rPr>
          <w:rFonts w:eastAsia="Times New Roman" w:cs="Times New Roman"/>
        </w:rPr>
        <w:t>, people expect me to be a lot</w:t>
      </w:r>
      <w:r w:rsidR="00C364B6">
        <w:rPr>
          <w:rFonts w:eastAsia="Times New Roman" w:cs="Times New Roman"/>
        </w:rPr>
        <w:t>…</w:t>
      </w:r>
      <w:r w:rsidRPr="003E0CC8">
        <w:rPr>
          <w:rFonts w:eastAsia="Times New Roman" w:cs="Times New Roman"/>
        </w:rPr>
        <w:t xml:space="preserve"> larger. Taller. Stronger. Deeper voice. I pass as a guy, but I fear they don</w:t>
      </w:r>
      <w:r w:rsidR="00C364B6">
        <w:rPr>
          <w:rFonts w:eastAsia="Times New Roman" w:cs="Times New Roman"/>
        </w:rPr>
        <w:t>’</w:t>
      </w:r>
      <w:r w:rsidRPr="003E0CC8">
        <w:rPr>
          <w:rFonts w:eastAsia="Times New Roman" w:cs="Times New Roman"/>
        </w:rPr>
        <w:t>t see me as a real man.</w:t>
      </w:r>
      <w:r>
        <w:rPr>
          <w:rFonts w:eastAsia="Times New Roman" w:cs="Times New Roman"/>
        </w:rPr>
        <w:t xml:space="preserve">” </w:t>
      </w:r>
    </w:p>
    <w:p w14:paraId="443129E0" w14:textId="01E2B13D" w:rsidR="003E0CC8" w:rsidRDefault="003E0CC8" w:rsidP="00174D7E">
      <w:pPr>
        <w:ind w:firstLine="720"/>
        <w:rPr>
          <w:rFonts w:eastAsia="Times New Roman" w:cs="Times New Roman"/>
        </w:rPr>
      </w:pPr>
      <w:r>
        <w:rPr>
          <w:rFonts w:eastAsia="Times New Roman" w:cs="Times New Roman"/>
        </w:rPr>
        <w:t xml:space="preserve">The domain of </w:t>
      </w:r>
      <w:r w:rsidRPr="000F2DB6">
        <w:rPr>
          <w:rFonts w:eastAsia="Times New Roman" w:cs="Times New Roman"/>
          <w:i/>
          <w:iCs/>
        </w:rPr>
        <w:t>safety</w:t>
      </w:r>
      <w:r>
        <w:rPr>
          <w:rFonts w:eastAsia="Times New Roman" w:cs="Times New Roman"/>
        </w:rPr>
        <w:t xml:space="preserve"> captures participant experiences of feeling unsafe or threatened in various contexts. Participants spoke to threats/feelings of unsafety that have occurred and fears of a lack of safety in future situations. A white nonbinary trans masculine participant emphasized negotiating whether correcting someone who has invalidated them feels safe or worth it: “</w:t>
      </w:r>
      <w:r w:rsidRPr="003E0CC8">
        <w:rPr>
          <w:rFonts w:eastAsia="Times New Roman" w:cs="Times New Roman"/>
        </w:rPr>
        <w:t xml:space="preserve">It is </w:t>
      </w:r>
      <w:r w:rsidRPr="003E0CC8">
        <w:rPr>
          <w:rFonts w:eastAsia="Times New Roman" w:cs="Times New Roman"/>
        </w:rPr>
        <w:lastRenderedPageBreak/>
        <w:t xml:space="preserve">very stressful for me because it never seems worth correcting the person but then I have to subject myself to misgendering during the interaction and the guilt over not seizing the </w:t>
      </w:r>
      <w:r w:rsidR="00C364B6">
        <w:rPr>
          <w:rFonts w:eastAsia="Times New Roman" w:cs="Times New Roman"/>
        </w:rPr>
        <w:t>‘</w:t>
      </w:r>
      <w:r w:rsidRPr="003E0CC8">
        <w:rPr>
          <w:rFonts w:eastAsia="Times New Roman" w:cs="Times New Roman"/>
        </w:rPr>
        <w:t>teaching moment</w:t>
      </w:r>
      <w:r w:rsidR="00C364B6">
        <w:rPr>
          <w:rFonts w:eastAsia="Times New Roman" w:cs="Times New Roman"/>
        </w:rPr>
        <w:t>’</w:t>
      </w:r>
      <w:r w:rsidRPr="003E0CC8">
        <w:rPr>
          <w:rFonts w:eastAsia="Times New Roman" w:cs="Times New Roman"/>
        </w:rPr>
        <w:t xml:space="preserve"> to educate someone.</w:t>
      </w:r>
      <w:r w:rsidR="00C364B6">
        <w:rPr>
          <w:rFonts w:eastAsia="Times New Roman" w:cs="Times New Roman"/>
        </w:rPr>
        <w:t>”</w:t>
      </w:r>
    </w:p>
    <w:p w14:paraId="7F7B5EFE" w14:textId="22C29B97" w:rsidR="003E0CC8" w:rsidRDefault="003E0CC8" w:rsidP="00174D7E">
      <w:pPr>
        <w:ind w:firstLine="720"/>
        <w:rPr>
          <w:rFonts w:eastAsia="Times New Roman" w:cs="Times New Roman"/>
        </w:rPr>
      </w:pPr>
      <w:r>
        <w:rPr>
          <w:rFonts w:eastAsia="Times New Roman" w:cs="Times New Roman"/>
        </w:rPr>
        <w:t xml:space="preserve">Feeling excluded from gendered spaces was captured in the </w:t>
      </w:r>
      <w:r>
        <w:rPr>
          <w:rFonts w:eastAsia="Times New Roman" w:cs="Times New Roman"/>
          <w:i/>
          <w:iCs/>
        </w:rPr>
        <w:t>c</w:t>
      </w:r>
      <w:r w:rsidRPr="000F2DB6">
        <w:rPr>
          <w:rFonts w:eastAsia="Times New Roman" w:cs="Times New Roman"/>
          <w:i/>
          <w:iCs/>
        </w:rPr>
        <w:t xml:space="preserve">ommunity </w:t>
      </w:r>
      <w:r>
        <w:rPr>
          <w:rFonts w:eastAsia="Times New Roman" w:cs="Times New Roman"/>
          <w:i/>
          <w:iCs/>
        </w:rPr>
        <w:t>e</w:t>
      </w:r>
      <w:r w:rsidRPr="000F2DB6">
        <w:rPr>
          <w:rFonts w:eastAsia="Times New Roman" w:cs="Times New Roman"/>
          <w:i/>
          <w:iCs/>
        </w:rPr>
        <w:t>xclusion</w:t>
      </w:r>
      <w:r>
        <w:rPr>
          <w:rFonts w:eastAsia="Times New Roman" w:cs="Times New Roman"/>
        </w:rPr>
        <w:t xml:space="preserve"> domain. Participant experiences within this domain </w:t>
      </w:r>
      <w:r w:rsidR="003266EE">
        <w:rPr>
          <w:rFonts w:eastAsia="Times New Roman" w:cs="Times New Roman"/>
        </w:rPr>
        <w:t>included</w:t>
      </w:r>
      <w:r>
        <w:rPr>
          <w:rFonts w:eastAsia="Times New Roman" w:cs="Times New Roman"/>
        </w:rPr>
        <w:t xml:space="preserve"> being excluded from community spaces aligned with identities they hold (e.g., identity erasure in a trans community space, being excluded from gendered facilities). Experiences of feeling othered or feeling “out of place” were captured by one participant who identifies as a white transgender woman: “</w:t>
      </w:r>
      <w:r w:rsidRPr="003E0CC8">
        <w:rPr>
          <w:rFonts w:eastAsia="Times New Roman" w:cs="Times New Roman"/>
        </w:rPr>
        <w:t>As an AMAB individual who is transitioning and presenting female, I find that the gender stereotypes expected of me due to bone structure and facial features cause me to feel out of place in spaces that are traditionally women-only spaces</w:t>
      </w:r>
      <w:r>
        <w:rPr>
          <w:rFonts w:eastAsia="Times New Roman" w:cs="Times New Roman"/>
        </w:rPr>
        <w:t>.”</w:t>
      </w:r>
    </w:p>
    <w:p w14:paraId="0AF651C1" w14:textId="6AE42ED2" w:rsidR="003E0CC8" w:rsidRDefault="003E0CC8" w:rsidP="00174D7E">
      <w:pPr>
        <w:ind w:firstLine="720"/>
        <w:rPr>
          <w:rFonts w:eastAsia="Times New Roman" w:cs="Times New Roman"/>
        </w:rPr>
      </w:pPr>
      <w:r w:rsidRPr="000F2DB6">
        <w:rPr>
          <w:rFonts w:eastAsia="Times New Roman" w:cs="Times New Roman"/>
          <w:i/>
          <w:iCs/>
        </w:rPr>
        <w:t xml:space="preserve">Buffers against </w:t>
      </w:r>
      <w:r>
        <w:rPr>
          <w:rFonts w:eastAsia="Times New Roman" w:cs="Times New Roman"/>
          <w:i/>
          <w:iCs/>
        </w:rPr>
        <w:t>e</w:t>
      </w:r>
      <w:r w:rsidRPr="000F2DB6">
        <w:rPr>
          <w:rFonts w:eastAsia="Times New Roman" w:cs="Times New Roman"/>
          <w:i/>
          <w:iCs/>
        </w:rPr>
        <w:t>xperiencing gender dysphoria</w:t>
      </w:r>
      <w:r>
        <w:rPr>
          <w:rFonts w:eastAsia="Times New Roman" w:cs="Times New Roman"/>
        </w:rPr>
        <w:t xml:space="preserve"> captured instances where participants shared protective factors that reduce or eliminate experiences of gender dysphoria for them. Limiting contacted with unsupportive people, feeling congruence between gender identity and appearance, and having their gender affirmed by others were some of the protective factors shared by participants. One participant, a multiracial South Asian and white nonbinary person, highlights how medical transition has significantly reduced their gender dysphoria and increased their happiness and comfort in their own body: “</w:t>
      </w:r>
      <w:r w:rsidRPr="003E0CC8">
        <w:rPr>
          <w:rFonts w:eastAsia="Times New Roman" w:cs="Times New Roman"/>
        </w:rPr>
        <w:t>Being post-transition (hormones and surgery) I rarely feel physical dysphoria with myself</w:t>
      </w:r>
      <w:r w:rsidR="00C364B6">
        <w:rPr>
          <w:rFonts w:eastAsia="Times New Roman" w:cs="Times New Roman"/>
        </w:rPr>
        <w:t>—</w:t>
      </w:r>
      <w:r w:rsidRPr="003E0CC8">
        <w:rPr>
          <w:rFonts w:eastAsia="Times New Roman" w:cs="Times New Roman"/>
        </w:rPr>
        <w:t>I</w:t>
      </w:r>
      <w:r w:rsidR="00C364B6">
        <w:rPr>
          <w:rFonts w:eastAsia="Times New Roman" w:cs="Times New Roman"/>
        </w:rPr>
        <w:t>’</w:t>
      </w:r>
      <w:r w:rsidRPr="003E0CC8">
        <w:rPr>
          <w:rFonts w:eastAsia="Times New Roman" w:cs="Times New Roman"/>
        </w:rPr>
        <w:t>m happy with and feel comfortable in my body, and I</w:t>
      </w:r>
      <w:r w:rsidR="00C364B6">
        <w:rPr>
          <w:rFonts w:eastAsia="Times New Roman" w:cs="Times New Roman"/>
        </w:rPr>
        <w:t>’</w:t>
      </w:r>
      <w:r w:rsidRPr="003E0CC8">
        <w:rPr>
          <w:rFonts w:eastAsia="Times New Roman" w:cs="Times New Roman"/>
        </w:rPr>
        <w:t>m gender correctly by my family, friends and co-workers</w:t>
      </w:r>
      <w:r>
        <w:rPr>
          <w:rFonts w:eastAsia="Times New Roman" w:cs="Times New Roman"/>
        </w:rPr>
        <w:t>.”</w:t>
      </w:r>
    </w:p>
    <w:p w14:paraId="3AE57329" w14:textId="1A91132B" w:rsidR="003E0CC8" w:rsidRPr="003E0CC8" w:rsidRDefault="003E0CC8" w:rsidP="00174D7E">
      <w:pPr>
        <w:ind w:firstLine="720"/>
        <w:rPr>
          <w:rFonts w:eastAsia="Times New Roman" w:cs="Times New Roman"/>
        </w:rPr>
      </w:pPr>
      <w:r>
        <w:rPr>
          <w:rFonts w:eastAsia="Times New Roman" w:cs="Times New Roman"/>
        </w:rPr>
        <w:t xml:space="preserve">The domain of </w:t>
      </w:r>
      <w:r w:rsidR="00777FE3">
        <w:rPr>
          <w:rFonts w:eastAsia="Times New Roman" w:cs="Times New Roman"/>
          <w:i/>
          <w:iCs/>
        </w:rPr>
        <w:t>l</w:t>
      </w:r>
      <w:r w:rsidRPr="000F2DB6">
        <w:rPr>
          <w:rFonts w:eastAsia="Times New Roman" w:cs="Times New Roman"/>
          <w:i/>
          <w:iCs/>
        </w:rPr>
        <w:t>anguage</w:t>
      </w:r>
      <w:r>
        <w:rPr>
          <w:rFonts w:eastAsia="Times New Roman" w:cs="Times New Roman"/>
        </w:rPr>
        <w:t xml:space="preserve"> refers to written and/or verbal language or communication that contributes to invalidation, exclusion, or oppression of TNB people. Participants discussed gender dysphoria and distress associated with misgendering, deadnaming, and more. A white nonbinary participant shared </w:t>
      </w:r>
      <w:r w:rsidR="00777FE3">
        <w:rPr>
          <w:rFonts w:eastAsia="Times New Roman" w:cs="Times New Roman"/>
        </w:rPr>
        <w:t xml:space="preserve">multiple experiences of social invalidation that significantly contribute to their gender dysphoria: </w:t>
      </w:r>
      <w:r w:rsidR="003266EE">
        <w:rPr>
          <w:rFonts w:eastAsia="Times New Roman" w:cs="Times New Roman"/>
        </w:rPr>
        <w:t>“</w:t>
      </w:r>
      <w:r w:rsidR="00777FE3" w:rsidRPr="00777FE3">
        <w:rPr>
          <w:rFonts w:eastAsia="Times New Roman" w:cs="Times New Roman"/>
        </w:rPr>
        <w:t xml:space="preserve">Being perceived as a woman, being identified by strangers with </w:t>
      </w:r>
      <w:r w:rsidR="00C364B6">
        <w:rPr>
          <w:rFonts w:eastAsia="Times New Roman" w:cs="Times New Roman"/>
        </w:rPr>
        <w:t>‘</w:t>
      </w:r>
      <w:r w:rsidR="00777FE3" w:rsidRPr="00777FE3">
        <w:rPr>
          <w:rFonts w:eastAsia="Times New Roman" w:cs="Times New Roman"/>
        </w:rPr>
        <w:t>that lady</w:t>
      </w:r>
      <w:r w:rsidR="00C364B6">
        <w:rPr>
          <w:rFonts w:eastAsia="Times New Roman" w:cs="Times New Roman"/>
        </w:rPr>
        <w:t>’</w:t>
      </w:r>
      <w:r w:rsidR="00777FE3" w:rsidRPr="00777FE3">
        <w:rPr>
          <w:rFonts w:eastAsia="Times New Roman" w:cs="Times New Roman"/>
        </w:rPr>
        <w:t>, parents referring to me with she/her/daughter/etc., accessing healthcare that has very gendered ideas. I</w:t>
      </w:r>
      <w:r w:rsidR="00C364B6">
        <w:rPr>
          <w:rFonts w:eastAsia="Times New Roman" w:cs="Times New Roman"/>
        </w:rPr>
        <w:t>’</w:t>
      </w:r>
      <w:r w:rsidR="00777FE3" w:rsidRPr="00777FE3">
        <w:rPr>
          <w:rFonts w:eastAsia="Times New Roman" w:cs="Times New Roman"/>
        </w:rPr>
        <w:t>m closeted except to friends so it</w:t>
      </w:r>
      <w:r w:rsidR="00C364B6">
        <w:rPr>
          <w:rFonts w:eastAsia="Times New Roman" w:cs="Times New Roman"/>
        </w:rPr>
        <w:t>’</w:t>
      </w:r>
      <w:r w:rsidR="00777FE3" w:rsidRPr="00777FE3">
        <w:rPr>
          <w:rFonts w:eastAsia="Times New Roman" w:cs="Times New Roman"/>
        </w:rPr>
        <w:t>s not out of malice that I</w:t>
      </w:r>
      <w:r w:rsidR="00C364B6">
        <w:rPr>
          <w:rFonts w:eastAsia="Times New Roman" w:cs="Times New Roman"/>
        </w:rPr>
        <w:t>’</w:t>
      </w:r>
      <w:r w:rsidR="00777FE3" w:rsidRPr="00777FE3">
        <w:rPr>
          <w:rFonts w:eastAsia="Times New Roman" w:cs="Times New Roman"/>
        </w:rPr>
        <w:t>m misgendered, but it gives me great social dysphoria</w:t>
      </w:r>
      <w:r w:rsidR="00777FE3">
        <w:rPr>
          <w:rFonts w:eastAsia="Times New Roman" w:cs="Times New Roman"/>
        </w:rPr>
        <w:t>.”</w:t>
      </w:r>
    </w:p>
    <w:p w14:paraId="246DEC55" w14:textId="6ECD9198" w:rsidR="003E0CC8" w:rsidRDefault="003266EE" w:rsidP="00174D7E">
      <w:pPr>
        <w:ind w:firstLine="720"/>
        <w:rPr>
          <w:rFonts w:eastAsia="Times New Roman" w:cs="Times New Roman"/>
        </w:rPr>
      </w:pPr>
      <w:r>
        <w:rPr>
          <w:rFonts w:eastAsia="Times New Roman" w:cs="Times New Roman"/>
          <w:iCs/>
        </w:rPr>
        <w:t xml:space="preserve">The </w:t>
      </w:r>
      <w:r>
        <w:rPr>
          <w:rFonts w:eastAsia="Times New Roman" w:cs="Times New Roman"/>
          <w:i/>
          <w:iCs/>
        </w:rPr>
        <w:t>b</w:t>
      </w:r>
      <w:r w:rsidR="003E0CC8" w:rsidRPr="000F2DB6">
        <w:rPr>
          <w:rFonts w:eastAsia="Times New Roman" w:cs="Times New Roman"/>
          <w:i/>
          <w:iCs/>
        </w:rPr>
        <w:t xml:space="preserve">inary </w:t>
      </w:r>
      <w:r w:rsidR="00777FE3" w:rsidRPr="000F2DB6">
        <w:rPr>
          <w:rFonts w:eastAsia="Times New Roman" w:cs="Times New Roman"/>
          <w:i/>
          <w:iCs/>
        </w:rPr>
        <w:t>g</w:t>
      </w:r>
      <w:r w:rsidR="003E0CC8" w:rsidRPr="000F2DB6">
        <w:rPr>
          <w:rFonts w:eastAsia="Times New Roman" w:cs="Times New Roman"/>
          <w:i/>
          <w:iCs/>
        </w:rPr>
        <w:t xml:space="preserve">ender </w:t>
      </w:r>
      <w:r w:rsidR="00777FE3" w:rsidRPr="000F2DB6">
        <w:rPr>
          <w:rFonts w:eastAsia="Times New Roman" w:cs="Times New Roman"/>
          <w:i/>
          <w:iCs/>
        </w:rPr>
        <w:t>n</w:t>
      </w:r>
      <w:r w:rsidR="003E0CC8" w:rsidRPr="000F2DB6">
        <w:rPr>
          <w:rFonts w:eastAsia="Times New Roman" w:cs="Times New Roman"/>
          <w:i/>
          <w:iCs/>
        </w:rPr>
        <w:t>orms</w:t>
      </w:r>
      <w:r w:rsidR="003E0CC8">
        <w:rPr>
          <w:rFonts w:eastAsia="Times New Roman" w:cs="Times New Roman"/>
        </w:rPr>
        <w:t xml:space="preserve"> </w:t>
      </w:r>
      <w:r>
        <w:rPr>
          <w:rFonts w:eastAsia="Times New Roman" w:cs="Times New Roman"/>
        </w:rPr>
        <w:t xml:space="preserve">domain </w:t>
      </w:r>
      <w:r w:rsidR="003E0CC8">
        <w:rPr>
          <w:rFonts w:eastAsia="Times New Roman" w:cs="Times New Roman"/>
        </w:rPr>
        <w:t>refers to cultural norms that contribute to erasure of TNB people</w:t>
      </w:r>
      <w:r w:rsidR="00C364B6">
        <w:rPr>
          <w:rFonts w:eastAsia="Times New Roman" w:cs="Times New Roman"/>
        </w:rPr>
        <w:t>’</w:t>
      </w:r>
      <w:r w:rsidR="003E0CC8">
        <w:rPr>
          <w:rFonts w:eastAsia="Times New Roman" w:cs="Times New Roman"/>
        </w:rPr>
        <w:t xml:space="preserve">s identities and experiences. One participant, who identifies as a Latinx, genderfluid nonbinary person, spoke to erasure they encounter in interpersonal interactions: </w:t>
      </w:r>
      <w:r>
        <w:rPr>
          <w:rFonts w:eastAsia="Times New Roman" w:cs="Times New Roman"/>
        </w:rPr>
        <w:t>“</w:t>
      </w:r>
      <w:r w:rsidR="003E0CC8" w:rsidRPr="003E0CC8">
        <w:rPr>
          <w:rFonts w:eastAsia="Times New Roman" w:cs="Times New Roman"/>
        </w:rPr>
        <w:t xml:space="preserve">The fact that most people, both total strangers and my mother, cannot even conceptualize a nonbinary person, and therefore perceive me (and treat me) as my </w:t>
      </w:r>
      <w:proofErr w:type="spellStart"/>
      <w:r w:rsidR="003E0CC8" w:rsidRPr="003E0CC8">
        <w:rPr>
          <w:rFonts w:eastAsia="Times New Roman" w:cs="Times New Roman"/>
        </w:rPr>
        <w:t>agab</w:t>
      </w:r>
      <w:proofErr w:type="spellEnd"/>
      <w:r>
        <w:rPr>
          <w:rFonts w:eastAsia="Times New Roman" w:cs="Times New Roman"/>
        </w:rPr>
        <w:t xml:space="preserve"> [assigned gender at birth]</w:t>
      </w:r>
      <w:r w:rsidR="003E0CC8" w:rsidRPr="003E0CC8">
        <w:rPr>
          <w:rFonts w:eastAsia="Times New Roman" w:cs="Times New Roman"/>
        </w:rPr>
        <w:t xml:space="preserve"> regardless of what I do to present differently</w:t>
      </w:r>
      <w:r w:rsidR="003E0CC8">
        <w:rPr>
          <w:rFonts w:eastAsia="Times New Roman" w:cs="Times New Roman"/>
        </w:rPr>
        <w:t xml:space="preserve">.” </w:t>
      </w:r>
      <w:r w:rsidR="00B8656D" w:rsidRPr="007242FD">
        <w:rPr>
          <w:rFonts w:eastAsia="Times New Roman" w:cs="Times New Roman"/>
        </w:rPr>
        <w:t xml:space="preserve"> </w:t>
      </w:r>
    </w:p>
    <w:p w14:paraId="33F88A11" w14:textId="3615D065" w:rsidR="003E0CC8" w:rsidRDefault="00FC06CC" w:rsidP="00174D7E">
      <w:pPr>
        <w:ind w:firstLine="720"/>
        <w:rPr>
          <w:rFonts w:eastAsia="Times New Roman" w:cs="Times New Roman"/>
        </w:rPr>
      </w:pPr>
      <w:r>
        <w:rPr>
          <w:rFonts w:eastAsia="Times New Roman" w:cs="Times New Roman"/>
          <w:i/>
        </w:rPr>
        <w:t xml:space="preserve">Systems and structural issues </w:t>
      </w:r>
      <w:r>
        <w:rPr>
          <w:rFonts w:eastAsia="Times New Roman" w:cs="Times New Roman"/>
        </w:rPr>
        <w:t>also contributed to participants self-reported experiences of gender dysphoria. This code refers to institutions (e.g., religion, politics, media, educational systems) that negatively impact the lives of TNB people. One participant, a white genderqueer person, shared how political debates over transgender rights contribute to their levels of distress and gender dysphoria: “</w:t>
      </w:r>
      <w:r w:rsidRPr="00FC06CC">
        <w:rPr>
          <w:rFonts w:eastAsia="Times New Roman" w:cs="Times New Roman"/>
        </w:rPr>
        <w:t xml:space="preserve">The </w:t>
      </w:r>
      <w:r w:rsidR="00C364B6">
        <w:rPr>
          <w:rFonts w:eastAsia="Times New Roman" w:cs="Times New Roman"/>
        </w:rPr>
        <w:t>‘</w:t>
      </w:r>
      <w:r w:rsidRPr="00FC06CC">
        <w:rPr>
          <w:rFonts w:eastAsia="Times New Roman" w:cs="Times New Roman"/>
        </w:rPr>
        <w:t>trans rights debate</w:t>
      </w:r>
      <w:r w:rsidR="00C364B6">
        <w:rPr>
          <w:rFonts w:eastAsia="Times New Roman" w:cs="Times New Roman"/>
        </w:rPr>
        <w:t>’</w:t>
      </w:r>
      <w:r w:rsidRPr="00FC06CC">
        <w:rPr>
          <w:rFonts w:eastAsia="Times New Roman" w:cs="Times New Roman"/>
        </w:rPr>
        <w:t xml:space="preserve"> is extremely visible in my city and is often expressed through both pro- and anti-trans stickers and posters, which I see almost every day. It has more of an effect on my mental health than I like to admit</w:t>
      </w:r>
      <w:r>
        <w:rPr>
          <w:rFonts w:eastAsia="Times New Roman" w:cs="Times New Roman"/>
        </w:rPr>
        <w:t>.”</w:t>
      </w:r>
    </w:p>
    <w:p w14:paraId="734ED806" w14:textId="65ECDA35" w:rsidR="00FC06CC" w:rsidRDefault="00FC06CC" w:rsidP="00174D7E">
      <w:pPr>
        <w:ind w:firstLine="720"/>
        <w:rPr>
          <w:rFonts w:eastAsia="Times New Roman" w:cs="Times New Roman"/>
        </w:rPr>
      </w:pPr>
      <w:r>
        <w:rPr>
          <w:rFonts w:eastAsia="Times New Roman" w:cs="Times New Roman"/>
        </w:rPr>
        <w:t xml:space="preserve">Participant descriptions of medical and social transition needs and interactions with systems (e.g., healthcare settings) that impact access to transition needs were captured in the </w:t>
      </w:r>
      <w:r>
        <w:rPr>
          <w:rFonts w:eastAsia="Times New Roman" w:cs="Times New Roman"/>
          <w:i/>
        </w:rPr>
        <w:t>transition care</w:t>
      </w:r>
      <w:r>
        <w:rPr>
          <w:rFonts w:eastAsia="Times New Roman" w:cs="Times New Roman"/>
        </w:rPr>
        <w:t xml:space="preserve"> domain. Interactions with staff, providers, </w:t>
      </w:r>
      <w:r w:rsidR="00147D9A">
        <w:rPr>
          <w:rFonts w:eastAsia="Times New Roman" w:cs="Times New Roman"/>
        </w:rPr>
        <w:t xml:space="preserve">healthcare </w:t>
      </w:r>
      <w:r>
        <w:rPr>
          <w:rFonts w:eastAsia="Times New Roman" w:cs="Times New Roman"/>
        </w:rPr>
        <w:t xml:space="preserve">facilities, and health insurance companies were included in this domain. Participant experiences included lack of access to affirming care, financial barriers, and </w:t>
      </w:r>
      <w:r w:rsidR="00147D9A">
        <w:rPr>
          <w:rFonts w:eastAsia="Times New Roman" w:cs="Times New Roman"/>
        </w:rPr>
        <w:t>interacting with healthcare staff who had minimal</w:t>
      </w:r>
      <w:r>
        <w:rPr>
          <w:rFonts w:eastAsia="Times New Roman" w:cs="Times New Roman"/>
        </w:rPr>
        <w:t xml:space="preserve"> </w:t>
      </w:r>
      <w:r>
        <w:rPr>
          <w:rFonts w:eastAsia="Times New Roman" w:cs="Times New Roman"/>
        </w:rPr>
        <w:lastRenderedPageBreak/>
        <w:t>knowledge on transgender issues. A Black nonbinary participant shared how negative interactions with healthcare staff contribute to their experiences of gender dysphoria: “</w:t>
      </w:r>
      <w:r w:rsidRPr="00FC06CC">
        <w:rPr>
          <w:rFonts w:eastAsia="Times New Roman" w:cs="Times New Roman"/>
        </w:rPr>
        <w:t xml:space="preserve">I want to get top </w:t>
      </w:r>
      <w:proofErr w:type="gramStart"/>
      <w:r w:rsidRPr="00FC06CC">
        <w:rPr>
          <w:rFonts w:eastAsia="Times New Roman" w:cs="Times New Roman"/>
        </w:rPr>
        <w:t>surgery, but</w:t>
      </w:r>
      <w:proofErr w:type="gramEnd"/>
      <w:r w:rsidRPr="00FC06CC">
        <w:rPr>
          <w:rFonts w:eastAsia="Times New Roman" w:cs="Times New Roman"/>
        </w:rPr>
        <w:t xml:space="preserve"> have felt extreme levels of gender dysphoria from any medical professional I have seen because they 1) assume my sex assigned as birth equates my gender, 2) don</w:t>
      </w:r>
      <w:r w:rsidR="00C364B6">
        <w:rPr>
          <w:rFonts w:eastAsia="Times New Roman" w:cs="Times New Roman"/>
        </w:rPr>
        <w:t>’</w:t>
      </w:r>
      <w:r w:rsidRPr="00FC06CC">
        <w:rPr>
          <w:rFonts w:eastAsia="Times New Roman" w:cs="Times New Roman"/>
        </w:rPr>
        <w:t>t ask for my pronouns, and 3) use conversational and medical language that does not correlate with my gender.</w:t>
      </w:r>
      <w:r>
        <w:rPr>
          <w:rFonts w:eastAsia="Times New Roman" w:cs="Times New Roman"/>
        </w:rPr>
        <w:t>”</w:t>
      </w:r>
    </w:p>
    <w:p w14:paraId="5304DDE8" w14:textId="5A39738C" w:rsidR="00FC06CC" w:rsidRDefault="00FC06CC" w:rsidP="00174D7E">
      <w:pPr>
        <w:ind w:firstLine="720"/>
        <w:rPr>
          <w:rFonts w:eastAsia="Times New Roman" w:cs="Times New Roman"/>
        </w:rPr>
      </w:pPr>
      <w:r>
        <w:rPr>
          <w:rFonts w:eastAsia="Times New Roman" w:cs="Times New Roman"/>
        </w:rPr>
        <w:t>Many participants shared experiences</w:t>
      </w:r>
      <w:r w:rsidR="00147D9A">
        <w:rPr>
          <w:rFonts w:eastAsia="Times New Roman" w:cs="Times New Roman"/>
        </w:rPr>
        <w:t xml:space="preserve"> of</w:t>
      </w:r>
      <w:r>
        <w:rPr>
          <w:rFonts w:eastAsia="Times New Roman" w:cs="Times New Roman"/>
        </w:rPr>
        <w:t xml:space="preserve"> body and social gender dysphoria, captured under the </w:t>
      </w:r>
      <w:r>
        <w:rPr>
          <w:rFonts w:eastAsia="Times New Roman" w:cs="Times New Roman"/>
          <w:i/>
        </w:rPr>
        <w:t>gender congruence</w:t>
      </w:r>
      <w:r>
        <w:rPr>
          <w:rFonts w:eastAsia="Times New Roman" w:cs="Times New Roman"/>
        </w:rPr>
        <w:t xml:space="preserve"> domain.</w:t>
      </w:r>
      <w:r w:rsidR="00147D9A">
        <w:rPr>
          <w:rFonts w:eastAsia="Times New Roman" w:cs="Times New Roman"/>
        </w:rPr>
        <w:t xml:space="preserve"> These experiences included gender dysphoria associated with the physical body (i.e., body dysphoria), invalidating social interactions, and gender dysphoria associated with voice/speaking (e.g., talking on the phone).</w:t>
      </w:r>
      <w:r>
        <w:rPr>
          <w:rFonts w:eastAsia="Times New Roman" w:cs="Times New Roman"/>
        </w:rPr>
        <w:t xml:space="preserve"> </w:t>
      </w:r>
      <w:r w:rsidR="000F4AB2">
        <w:rPr>
          <w:rFonts w:eastAsia="Times New Roman" w:cs="Times New Roman"/>
        </w:rPr>
        <w:t xml:space="preserve">One participant, a white transgender woman, expressed how feeling an incompatibility between their gender identity and physical body </w:t>
      </w:r>
      <w:r w:rsidR="00147D9A">
        <w:rPr>
          <w:rFonts w:eastAsia="Times New Roman" w:cs="Times New Roman"/>
        </w:rPr>
        <w:t>triggers</w:t>
      </w:r>
      <w:r w:rsidR="000F4AB2">
        <w:rPr>
          <w:rFonts w:eastAsia="Times New Roman" w:cs="Times New Roman"/>
        </w:rPr>
        <w:t xml:space="preserve"> gender dysphoria: “</w:t>
      </w:r>
      <w:r w:rsidR="000F4AB2" w:rsidRPr="000F4AB2">
        <w:rPr>
          <w:rFonts w:eastAsia="Times New Roman" w:cs="Times New Roman"/>
        </w:rPr>
        <w:t>This body having developed reproductive morphology that is not compatible with what my brain expects to be plugged in to</w:t>
      </w:r>
      <w:r w:rsidR="00C364B6">
        <w:rPr>
          <w:rFonts w:eastAsia="Times New Roman" w:cs="Times New Roman"/>
        </w:rPr>
        <w:t>.</w:t>
      </w:r>
      <w:r w:rsidR="000F4AB2">
        <w:rPr>
          <w:rFonts w:eastAsia="Times New Roman" w:cs="Times New Roman"/>
        </w:rPr>
        <w:t>”</w:t>
      </w:r>
    </w:p>
    <w:p w14:paraId="6102C081" w14:textId="7A1B4A92" w:rsidR="000F4AB2" w:rsidRDefault="000F4AB2" w:rsidP="00174D7E">
      <w:pPr>
        <w:ind w:firstLine="720"/>
        <w:rPr>
          <w:rFonts w:eastAsia="Times New Roman" w:cs="Times New Roman"/>
        </w:rPr>
      </w:pPr>
      <w:r>
        <w:rPr>
          <w:rFonts w:eastAsia="Times New Roman" w:cs="Times New Roman"/>
        </w:rPr>
        <w:t xml:space="preserve">Some participants shared how emotional distress in close relationships contributes to their gender dysphoria, which was captured under </w:t>
      </w:r>
      <w:r>
        <w:rPr>
          <w:rFonts w:eastAsia="Times New Roman" w:cs="Times New Roman"/>
          <w:i/>
        </w:rPr>
        <w:t>close relationships</w:t>
      </w:r>
      <w:r w:rsidR="00C3597E">
        <w:rPr>
          <w:rFonts w:eastAsia="Times New Roman" w:cs="Times New Roman"/>
        </w:rPr>
        <w:t>. Participants described experiences of invalidation and rejection from close friends, family, and/or significant others. A multiracial transgender man emphasized how living with an unsupportive family triggers experiences of gender dysphoria: “</w:t>
      </w:r>
      <w:r w:rsidR="00C3597E" w:rsidRPr="00C3597E">
        <w:rPr>
          <w:rFonts w:eastAsia="Times New Roman" w:cs="Times New Roman"/>
        </w:rPr>
        <w:t xml:space="preserve">I am out to friends but am not out at home due to extreme transphobic parents. </w:t>
      </w:r>
      <w:proofErr w:type="gramStart"/>
      <w:r w:rsidR="00C3597E" w:rsidRPr="00C3597E">
        <w:rPr>
          <w:rFonts w:eastAsia="Times New Roman" w:cs="Times New Roman"/>
        </w:rPr>
        <w:t>So</w:t>
      </w:r>
      <w:proofErr w:type="gramEnd"/>
      <w:r w:rsidR="00C3597E" w:rsidRPr="00C3597E">
        <w:rPr>
          <w:rFonts w:eastAsia="Times New Roman" w:cs="Times New Roman"/>
        </w:rPr>
        <w:t xml:space="preserve"> while I do try to live as myself, I am unable to do much in my transition because of family situation</w:t>
      </w:r>
      <w:r w:rsidR="00C3597E">
        <w:rPr>
          <w:rFonts w:eastAsia="Times New Roman" w:cs="Times New Roman"/>
        </w:rPr>
        <w:t>.”</w:t>
      </w:r>
    </w:p>
    <w:p w14:paraId="322353A0" w14:textId="7F1DCCC0" w:rsidR="00C3597E" w:rsidRDefault="00C3597E" w:rsidP="00174D7E">
      <w:pPr>
        <w:ind w:firstLine="720"/>
        <w:rPr>
          <w:rFonts w:eastAsia="Times New Roman" w:cs="Times New Roman"/>
        </w:rPr>
      </w:pPr>
      <w:r>
        <w:rPr>
          <w:rFonts w:eastAsia="Times New Roman" w:cs="Times New Roman"/>
        </w:rPr>
        <w:t xml:space="preserve">The final two domains, </w:t>
      </w:r>
      <w:r>
        <w:rPr>
          <w:rFonts w:eastAsia="Times New Roman" w:cs="Times New Roman"/>
          <w:i/>
        </w:rPr>
        <w:t xml:space="preserve">pandemic benefits </w:t>
      </w:r>
      <w:r>
        <w:rPr>
          <w:rFonts w:eastAsia="Times New Roman" w:cs="Times New Roman"/>
        </w:rPr>
        <w:t xml:space="preserve">and </w:t>
      </w:r>
      <w:r>
        <w:rPr>
          <w:rFonts w:eastAsia="Times New Roman" w:cs="Times New Roman"/>
          <w:i/>
        </w:rPr>
        <w:t>pandemic detriments</w:t>
      </w:r>
      <w:r>
        <w:rPr>
          <w:rFonts w:eastAsia="Times New Roman" w:cs="Times New Roman"/>
        </w:rPr>
        <w:t>, captured ways in which the pandemic reduced or increased the severity or frequency of experiences of gender dysphoria. One participant, an Asian nonbinary agender person, shared how lockdowns associated with the pandemic significant</w:t>
      </w:r>
      <w:r w:rsidR="00147D9A">
        <w:rPr>
          <w:rFonts w:eastAsia="Times New Roman" w:cs="Times New Roman"/>
        </w:rPr>
        <w:t>ly</w:t>
      </w:r>
      <w:r>
        <w:rPr>
          <w:rFonts w:eastAsia="Times New Roman" w:cs="Times New Roman"/>
        </w:rPr>
        <w:t xml:space="preserve"> reduced experiences of misgendering: </w:t>
      </w:r>
    </w:p>
    <w:p w14:paraId="0408B156" w14:textId="16AB59B7" w:rsidR="00C3597E" w:rsidRDefault="00C3597E" w:rsidP="00174D7E">
      <w:pPr>
        <w:ind w:left="720"/>
        <w:rPr>
          <w:rFonts w:eastAsia="Times New Roman" w:cs="Times New Roman"/>
        </w:rPr>
      </w:pPr>
      <w:r w:rsidRPr="00C3597E">
        <w:rPr>
          <w:rFonts w:eastAsia="Times New Roman" w:cs="Times New Roman"/>
        </w:rPr>
        <w:t>I was misgendered almost every day before lockdown and the ensuing dysphoria wore down my resilience and capacity. Being repeatedly misgendered in a short period of time was also exhausting and I over presented as masculine to try and compensate. Being in lockdown for COVID-19 has given me a lot of time and I</w:t>
      </w:r>
      <w:r w:rsidR="00C364B6">
        <w:rPr>
          <w:rFonts w:eastAsia="Times New Roman" w:cs="Times New Roman"/>
        </w:rPr>
        <w:t>’</w:t>
      </w:r>
      <w:r w:rsidRPr="00C3597E">
        <w:rPr>
          <w:rFonts w:eastAsia="Times New Roman" w:cs="Times New Roman"/>
        </w:rPr>
        <w:t>m more resilient to the occasional misgendering and I feel more comfortable dressing less masculine</w:t>
      </w:r>
      <w:r>
        <w:rPr>
          <w:rFonts w:eastAsia="Times New Roman" w:cs="Times New Roman"/>
        </w:rPr>
        <w:t>.</w:t>
      </w:r>
    </w:p>
    <w:p w14:paraId="5B0981DE" w14:textId="220FA781" w:rsidR="00C3597E" w:rsidRPr="00C3597E" w:rsidRDefault="00C3597E" w:rsidP="00174D7E">
      <w:pPr>
        <w:rPr>
          <w:rFonts w:eastAsia="Times New Roman" w:cs="Times New Roman"/>
        </w:rPr>
      </w:pPr>
      <w:r>
        <w:rPr>
          <w:rFonts w:eastAsia="Times New Roman" w:cs="Times New Roman"/>
        </w:rPr>
        <w:t>Several participants also shared how the pandemic created additional distress (e.g., healthcare access barriers, financial stress) that negatively impacted their gender transition and gender dysphoria. One participant, a white nonbinary person, expressed how moving home during pandemic lockdown prompted them to make difficult choices regarding their gender transition: “</w:t>
      </w:r>
      <w:r w:rsidRPr="00C3597E">
        <w:rPr>
          <w:rFonts w:eastAsia="Times New Roman" w:cs="Times New Roman"/>
        </w:rPr>
        <w:t>I am a college student living at home due to covid. This has forced me to put my transition on hold until it</w:t>
      </w:r>
      <w:r w:rsidR="00C364B6">
        <w:rPr>
          <w:rFonts w:eastAsia="Times New Roman" w:cs="Times New Roman"/>
        </w:rPr>
        <w:t>’</w:t>
      </w:r>
      <w:r w:rsidRPr="00C3597E">
        <w:rPr>
          <w:rFonts w:eastAsia="Times New Roman" w:cs="Times New Roman"/>
        </w:rPr>
        <w:t>s over. I cannot risk my living situation by coming out as trans to family</w:t>
      </w:r>
      <w:r>
        <w:rPr>
          <w:rFonts w:eastAsia="Times New Roman" w:cs="Times New Roman"/>
        </w:rPr>
        <w:t>.”</w:t>
      </w:r>
    </w:p>
    <w:p w14:paraId="2F0A3501" w14:textId="2AC97465" w:rsidR="00B8656D" w:rsidRDefault="00C3597E" w:rsidP="00174D7E">
      <w:pPr>
        <w:ind w:firstLine="720"/>
        <w:rPr>
          <w:rFonts w:eastAsia="Times New Roman" w:cs="Times New Roman"/>
        </w:rPr>
      </w:pPr>
      <w:r>
        <w:rPr>
          <w:rFonts w:eastAsia="Times New Roman" w:cs="Times New Roman"/>
        </w:rPr>
        <w:t>Throughout the qualitative responses, p</w:t>
      </w:r>
      <w:r w:rsidR="00EB25E0">
        <w:rPr>
          <w:rFonts w:eastAsia="Times New Roman" w:cs="Times New Roman"/>
        </w:rPr>
        <w:t>articipants</w:t>
      </w:r>
      <w:r w:rsidR="00B8656D" w:rsidRPr="007242FD">
        <w:rPr>
          <w:rFonts w:eastAsia="Times New Roman" w:cs="Times New Roman"/>
        </w:rPr>
        <w:t xml:space="preserve"> shared powerful examples of times that they feared for their </w:t>
      </w:r>
      <w:proofErr w:type="gramStart"/>
      <w:r w:rsidR="00B8656D" w:rsidRPr="007242FD">
        <w:rPr>
          <w:rFonts w:eastAsia="Times New Roman" w:cs="Times New Roman"/>
        </w:rPr>
        <w:t>safety</w:t>
      </w:r>
      <w:proofErr w:type="gramEnd"/>
      <w:r w:rsidR="00B8656D" w:rsidRPr="007242FD">
        <w:rPr>
          <w:rFonts w:eastAsia="Times New Roman" w:cs="Times New Roman"/>
        </w:rPr>
        <w:t xml:space="preserve"> and they highlighted difficulties accessing transition care. For the second sample, pandemic distress and benefits interacted with feelings of gender dysphoria in complex ways.</w:t>
      </w:r>
      <w:r w:rsidR="0075259B">
        <w:rPr>
          <w:rFonts w:eastAsia="Times New Roman" w:cs="Times New Roman"/>
        </w:rPr>
        <w:t xml:space="preserve"> The frequency with which participants referenced various domains fluctuated from the first to the second sample and were variable across the different domains. Some domains like binary gender norms and gender congruence were coded more frequently, indicating a greater focus among participants on those issues. Less frequently referenced domains</w:t>
      </w:r>
      <w:r w:rsidR="00444804">
        <w:rPr>
          <w:rFonts w:eastAsia="Times New Roman" w:cs="Times New Roman"/>
        </w:rPr>
        <w:t xml:space="preserve"> like multiple marginalization</w:t>
      </w:r>
      <w:r w:rsidR="0075259B">
        <w:rPr>
          <w:rFonts w:eastAsia="Times New Roman" w:cs="Times New Roman"/>
        </w:rPr>
        <w:t xml:space="preserve"> were still included in the results</w:t>
      </w:r>
      <w:r w:rsidR="00444804">
        <w:rPr>
          <w:rFonts w:eastAsia="Times New Roman" w:cs="Times New Roman"/>
        </w:rPr>
        <w:t xml:space="preserve"> because they were mentioned by multiple participants and they contribute to a more wholistic picture of participant experiences</w:t>
      </w:r>
      <w:r w:rsidR="0075259B">
        <w:rPr>
          <w:rFonts w:eastAsia="Times New Roman" w:cs="Times New Roman"/>
        </w:rPr>
        <w:t xml:space="preserve">, but they </w:t>
      </w:r>
      <w:r w:rsidR="00444804">
        <w:rPr>
          <w:rFonts w:eastAsia="Times New Roman" w:cs="Times New Roman"/>
        </w:rPr>
        <w:t>should be approached with care and further examined in future studies.</w:t>
      </w:r>
      <w:r w:rsidR="0075259B">
        <w:rPr>
          <w:rFonts w:eastAsia="Times New Roman" w:cs="Times New Roman"/>
        </w:rPr>
        <w:t xml:space="preserve"> </w:t>
      </w:r>
      <w:r w:rsidR="00B8656D" w:rsidRPr="007242FD">
        <w:rPr>
          <w:rFonts w:eastAsia="Times New Roman" w:cs="Times New Roman"/>
        </w:rPr>
        <w:t xml:space="preserve"> Throughout their stories and reflections, participants demonstrated determination and resilience </w:t>
      </w:r>
      <w:r w:rsidR="00B8656D" w:rsidRPr="007242FD">
        <w:rPr>
          <w:rFonts w:eastAsia="Times New Roman" w:cs="Times New Roman"/>
        </w:rPr>
        <w:lastRenderedPageBreak/>
        <w:t>as they discussed buffers against experiencing dysphoria. We provide</w:t>
      </w:r>
      <w:r w:rsidR="00B8656D">
        <w:rPr>
          <w:rFonts w:eastAsia="Times New Roman" w:cs="Times New Roman"/>
        </w:rPr>
        <w:t xml:space="preserve"> further details for each code in Table </w:t>
      </w:r>
      <w:r w:rsidR="00454BDB">
        <w:rPr>
          <w:rFonts w:eastAsia="Times New Roman" w:cs="Times New Roman"/>
        </w:rPr>
        <w:t>4</w:t>
      </w:r>
      <w:r w:rsidR="00B8656D">
        <w:rPr>
          <w:rFonts w:eastAsia="Times New Roman" w:cs="Times New Roman"/>
        </w:rPr>
        <w:t>, including</w:t>
      </w:r>
      <w:r w:rsidR="00B8656D" w:rsidRPr="007242FD">
        <w:rPr>
          <w:rFonts w:eastAsia="Times New Roman" w:cs="Times New Roman"/>
        </w:rPr>
        <w:t xml:space="preserve"> definitions</w:t>
      </w:r>
      <w:r>
        <w:rPr>
          <w:rFonts w:eastAsia="Times New Roman" w:cs="Times New Roman"/>
        </w:rPr>
        <w:t xml:space="preserve"> </w:t>
      </w:r>
      <w:r w:rsidR="00B8656D" w:rsidRPr="007242FD">
        <w:rPr>
          <w:rFonts w:eastAsia="Times New Roman" w:cs="Times New Roman"/>
        </w:rPr>
        <w:t xml:space="preserve">and frequencies. </w:t>
      </w:r>
    </w:p>
    <w:p w14:paraId="5BA617F9" w14:textId="54E1DB83" w:rsidR="00872A80" w:rsidRPr="007242FD" w:rsidRDefault="00AA5717" w:rsidP="00174D7E">
      <w:pPr>
        <w:jc w:val="center"/>
        <w:rPr>
          <w:rFonts w:eastAsia="Times New Roman" w:cs="Times New Roman"/>
        </w:rPr>
      </w:pPr>
      <w:r>
        <w:rPr>
          <w:rFonts w:eastAsia="Times New Roman" w:cs="Times New Roman"/>
        </w:rPr>
        <w:t>[</w:t>
      </w:r>
      <w:r w:rsidR="00872A80">
        <w:rPr>
          <w:rFonts w:eastAsia="Times New Roman" w:cs="Times New Roman"/>
        </w:rPr>
        <w:t xml:space="preserve">INSERT TABLE </w:t>
      </w:r>
      <w:r w:rsidR="00454BDB">
        <w:rPr>
          <w:rFonts w:eastAsia="Times New Roman" w:cs="Times New Roman"/>
        </w:rPr>
        <w:t xml:space="preserve">4 </w:t>
      </w:r>
      <w:r w:rsidR="00872A80">
        <w:rPr>
          <w:rFonts w:eastAsia="Times New Roman" w:cs="Times New Roman"/>
        </w:rPr>
        <w:t>ABOUT HERE</w:t>
      </w:r>
      <w:r>
        <w:rPr>
          <w:rFonts w:eastAsia="Times New Roman" w:cs="Times New Roman"/>
        </w:rPr>
        <w:t>]</w:t>
      </w:r>
    </w:p>
    <w:p w14:paraId="35A04579" w14:textId="7374D7EC" w:rsidR="00B8656D" w:rsidRPr="008655D2" w:rsidRDefault="00B8656D" w:rsidP="00814FD1">
      <w:pPr>
        <w:pStyle w:val="Heading2"/>
      </w:pPr>
      <w:r w:rsidRPr="008655D2">
        <w:t xml:space="preserve">Discussion </w:t>
      </w:r>
    </w:p>
    <w:p w14:paraId="60961230" w14:textId="540D0644" w:rsidR="00B8656D" w:rsidRPr="007242FD" w:rsidRDefault="00B8656D" w:rsidP="00174D7E">
      <w:pPr>
        <w:ind w:firstLine="720"/>
        <w:rPr>
          <w:rFonts w:eastAsia="Times New Roman" w:cs="Times New Roman"/>
        </w:rPr>
      </w:pPr>
      <w:r w:rsidRPr="007242FD">
        <w:rPr>
          <w:rFonts w:eastAsia="Times New Roman" w:cs="Times New Roman"/>
        </w:rPr>
        <w:t xml:space="preserve">The present study sought to examine external and internal contributors to gender dysphoria among two non-clinical samples of transgender and nonbinary individuals recruited before and during the COVID-19 pandemic. The CQRM analysis </w:t>
      </w:r>
      <w:r>
        <w:rPr>
          <w:rFonts w:eastAsia="Times New Roman" w:cs="Times New Roman"/>
        </w:rPr>
        <w:t>generated</w:t>
      </w:r>
      <w:r w:rsidRPr="007242FD">
        <w:rPr>
          <w:rFonts w:eastAsia="Times New Roman" w:cs="Times New Roman"/>
        </w:rPr>
        <w:t xml:space="preserve"> 12 domains </w:t>
      </w:r>
      <w:r>
        <w:rPr>
          <w:rFonts w:eastAsia="Times New Roman" w:cs="Times New Roman"/>
        </w:rPr>
        <w:t>that add depth and context to research suggesting that gender dysphoria is impacted by</w:t>
      </w:r>
      <w:r w:rsidRPr="007242FD">
        <w:rPr>
          <w:rFonts w:eastAsia="Times New Roman" w:cs="Times New Roman"/>
        </w:rPr>
        <w:t xml:space="preserve"> social, systemic, and bodily </w:t>
      </w:r>
      <w:r>
        <w:rPr>
          <w:rFonts w:eastAsia="Times New Roman" w:cs="Times New Roman"/>
        </w:rPr>
        <w:t>factors</w:t>
      </w:r>
      <w:r w:rsidRPr="007242FD">
        <w:rPr>
          <w:rFonts w:eastAsia="Times New Roman" w:cs="Times New Roman"/>
        </w:rPr>
        <w:t xml:space="preserve">. </w:t>
      </w:r>
      <w:r>
        <w:rPr>
          <w:rFonts w:eastAsia="Times New Roman" w:cs="Times New Roman"/>
        </w:rPr>
        <w:t>Findings also add to growing evidence that social and systemic aspects of gender dysphoria are important foci for future research.</w:t>
      </w:r>
      <w:r w:rsidRPr="007242FD">
        <w:rPr>
          <w:rFonts w:eastAsia="Times New Roman" w:cs="Times New Roman"/>
        </w:rPr>
        <w:t xml:space="preserve"> </w:t>
      </w:r>
      <w:r w:rsidR="00F82A06">
        <w:rPr>
          <w:rFonts w:eastAsia="Times New Roman" w:cs="Times New Roman"/>
        </w:rPr>
        <w:t>Although the domains do not fit perfectly into specific categories (binary gender norms can have social, systemic, and bodily implications), the discussion addresses each of these broader themes and extends the research discussed in the introduction.</w:t>
      </w:r>
    </w:p>
    <w:p w14:paraId="00A5F2F4" w14:textId="7A9CCE98" w:rsidR="006A76C2" w:rsidRPr="008655D2" w:rsidRDefault="00B8656D" w:rsidP="00814FD1">
      <w:pPr>
        <w:pStyle w:val="Heading3"/>
      </w:pPr>
      <w:r w:rsidRPr="008655D2">
        <w:t>Body Dysphoria</w:t>
      </w:r>
    </w:p>
    <w:p w14:paraId="7F18FD2C" w14:textId="66AFB4E6" w:rsidR="00B8656D" w:rsidRPr="007242FD" w:rsidRDefault="00B8656D" w:rsidP="00174D7E">
      <w:pPr>
        <w:ind w:firstLine="720"/>
        <w:rPr>
          <w:rFonts w:eastAsia="Times New Roman" w:cs="Times New Roman"/>
        </w:rPr>
      </w:pPr>
      <w:r>
        <w:rPr>
          <w:rFonts w:eastAsia="Times New Roman" w:cs="Times New Roman"/>
        </w:rPr>
        <w:t xml:space="preserve">Interactions </w:t>
      </w:r>
      <w:r w:rsidRPr="007242FD">
        <w:rPr>
          <w:rFonts w:eastAsia="Times New Roman" w:cs="Times New Roman"/>
        </w:rPr>
        <w:t>with healthcare system</w:t>
      </w:r>
      <w:r>
        <w:rPr>
          <w:rFonts w:eastAsia="Times New Roman" w:cs="Times New Roman"/>
        </w:rPr>
        <w:t>s</w:t>
      </w:r>
      <w:r w:rsidRPr="007242FD">
        <w:rPr>
          <w:rFonts w:eastAsia="Times New Roman" w:cs="Times New Roman"/>
        </w:rPr>
        <w:t xml:space="preserve"> and transition-related care were contributors to gender dysphoria among both the pre-onset (5.80%, </w:t>
      </w:r>
      <w:r w:rsidRPr="007242FD">
        <w:rPr>
          <w:rFonts w:eastAsia="Times New Roman" w:cs="Times New Roman"/>
          <w:i/>
        </w:rPr>
        <w:t>n = 8</w:t>
      </w:r>
      <w:r w:rsidRPr="007242FD">
        <w:rPr>
          <w:rFonts w:eastAsia="Times New Roman" w:cs="Times New Roman"/>
        </w:rPr>
        <w:t xml:space="preserve">) and post-onset samples (15.53%, </w:t>
      </w:r>
      <w:r w:rsidRPr="007242FD">
        <w:rPr>
          <w:rFonts w:eastAsia="Times New Roman" w:cs="Times New Roman"/>
          <w:i/>
        </w:rPr>
        <w:t>n = 34</w:t>
      </w:r>
      <w:r w:rsidRPr="007242FD">
        <w:rPr>
          <w:rFonts w:eastAsia="Times New Roman" w:cs="Times New Roman"/>
        </w:rPr>
        <w:t xml:space="preserve">). These findings are consistent with past qualitative research concerning sources of gender dysphoria. </w:t>
      </w:r>
      <w:proofErr w:type="spellStart"/>
      <w:r w:rsidRPr="007242FD">
        <w:rPr>
          <w:rFonts w:eastAsia="Times New Roman" w:cs="Times New Roman"/>
        </w:rPr>
        <w:t>Pulice</w:t>
      </w:r>
      <w:proofErr w:type="spellEnd"/>
      <w:r w:rsidRPr="007242FD">
        <w:rPr>
          <w:rFonts w:eastAsia="Times New Roman" w:cs="Times New Roman"/>
        </w:rPr>
        <w:t>-Farrow and colleagu</w:t>
      </w:r>
      <w:r>
        <w:rPr>
          <w:rFonts w:eastAsia="Times New Roman" w:cs="Times New Roman"/>
        </w:rPr>
        <w:t>e</w:t>
      </w:r>
      <w:r w:rsidR="00BB7D33">
        <w:rPr>
          <w:rFonts w:eastAsia="Times New Roman" w:cs="Times New Roman"/>
        </w:rPr>
        <w:t>s (2020)</w:t>
      </w:r>
      <w:r w:rsidRPr="007242FD">
        <w:rPr>
          <w:rFonts w:eastAsia="Times New Roman" w:cs="Times New Roman"/>
        </w:rPr>
        <w:t xml:space="preserve"> have documented that gender incongruence related to specific body parts plays a significant role in terms of how individuals conceptualize their gender dysphoria. Furthermore, a recent systematic review and ethnographic meta-analysis concerning 20 existing qualitative studies on gender dysphoria detailed that bodily sources of gender dysphoria and gender incongruence were amongst some of the most salient sources of gender dysphoria participants mentioned</w:t>
      </w:r>
      <w:r w:rsidR="00BB7D33">
        <w:rPr>
          <w:rFonts w:eastAsia="Times New Roman" w:cs="Times New Roman"/>
        </w:rPr>
        <w:t xml:space="preserve"> (Cooper et al. 2020).</w:t>
      </w:r>
      <w:r w:rsidRPr="007242FD">
        <w:rPr>
          <w:rFonts w:eastAsia="Times New Roman" w:cs="Times New Roman"/>
        </w:rPr>
        <w:t xml:space="preserve">    </w:t>
      </w:r>
      <w:r w:rsidRPr="007242FD">
        <w:rPr>
          <w:rFonts w:eastAsia="Times New Roman" w:cs="Times New Roman"/>
        </w:rPr>
        <w:tab/>
        <w:t xml:space="preserve">                                            </w:t>
      </w:r>
    </w:p>
    <w:p w14:paraId="7CB56A41" w14:textId="79662C3D" w:rsidR="00B8656D" w:rsidRDefault="00B8656D" w:rsidP="00814FD1">
      <w:pPr>
        <w:pStyle w:val="Heading3"/>
        <w:rPr>
          <w:rFonts w:eastAsia="Times New Roman"/>
        </w:rPr>
      </w:pPr>
      <w:r w:rsidRPr="00A03E01">
        <w:rPr>
          <w:rFonts w:eastAsia="Times New Roman"/>
        </w:rPr>
        <w:t>Other Sources of Dysphoria</w:t>
      </w:r>
    </w:p>
    <w:p w14:paraId="56BA47C2" w14:textId="2A3EC761" w:rsidR="00B8656D" w:rsidRPr="007242FD" w:rsidRDefault="00B8656D" w:rsidP="00174D7E">
      <w:pPr>
        <w:ind w:firstLine="720"/>
        <w:rPr>
          <w:rFonts w:eastAsia="Times New Roman" w:cs="Times New Roman"/>
        </w:rPr>
      </w:pPr>
      <w:r w:rsidRPr="007242FD">
        <w:rPr>
          <w:rFonts w:eastAsia="Times New Roman" w:cs="Times New Roman"/>
        </w:rPr>
        <w:t>However, the answer to our first research question was nuanced. Beyond bodily factors, participants also named binary gender norms and exclusionary language as social contributors to gender dysphoria. Binary gender norms included responses related to</w:t>
      </w:r>
      <w:r w:rsidR="002E28D2">
        <w:rPr>
          <w:rFonts w:eastAsia="Times New Roman" w:cs="Times New Roman"/>
        </w:rPr>
        <w:t xml:space="preserve"> a</w:t>
      </w:r>
      <w:r w:rsidRPr="007242FD">
        <w:rPr>
          <w:rFonts w:eastAsia="Times New Roman" w:cs="Times New Roman"/>
        </w:rPr>
        <w:t xml:space="preserve"> pressure to pass as cisgender, pressure to conform to a cisgender identity, and nonbinary invisibility. This domain included 38 (27.54%) responses in the pre-onset sample and 45 responses (20.55%) in the post-onset sample. The use of exclusionary language included misgendering, deadnaming, and using incorrect pronouns. Such exclusionary language was another large social contributor for both the pre-onset (17.39%, </w:t>
      </w:r>
      <w:r w:rsidRPr="007242FD">
        <w:rPr>
          <w:rFonts w:eastAsia="Times New Roman" w:cs="Times New Roman"/>
          <w:i/>
        </w:rPr>
        <w:t>n = 24</w:t>
      </w:r>
      <w:r w:rsidRPr="007242FD">
        <w:rPr>
          <w:rFonts w:eastAsia="Times New Roman" w:cs="Times New Roman"/>
        </w:rPr>
        <w:t xml:space="preserve">) and post-onset (21.92%, </w:t>
      </w:r>
      <w:r w:rsidRPr="007242FD">
        <w:rPr>
          <w:rFonts w:eastAsia="Times New Roman" w:cs="Times New Roman"/>
          <w:i/>
        </w:rPr>
        <w:t>n = 48</w:t>
      </w:r>
      <w:r w:rsidRPr="007242FD">
        <w:rPr>
          <w:rFonts w:eastAsia="Times New Roman" w:cs="Times New Roman"/>
        </w:rPr>
        <w:t xml:space="preserve">) samples. Interestingly, participants mentioned that in addition to the social pressures of binary gender norms and exclusionary language, other aspects of social worldviews and institutions were sources of gender dysphoria as well. Both pre-onset (20.29%, </w:t>
      </w:r>
      <w:r w:rsidRPr="007242FD">
        <w:rPr>
          <w:rFonts w:eastAsia="Times New Roman" w:cs="Times New Roman"/>
          <w:i/>
        </w:rPr>
        <w:t>n = 28</w:t>
      </w:r>
      <w:r w:rsidRPr="007242FD">
        <w:rPr>
          <w:rFonts w:eastAsia="Times New Roman" w:cs="Times New Roman"/>
        </w:rPr>
        <w:t xml:space="preserve">) and post-onset (19.18%, </w:t>
      </w:r>
      <w:r w:rsidRPr="007242FD">
        <w:rPr>
          <w:rFonts w:eastAsia="Times New Roman" w:cs="Times New Roman"/>
          <w:i/>
        </w:rPr>
        <w:t>n = 42</w:t>
      </w:r>
      <w:r w:rsidRPr="007242FD">
        <w:rPr>
          <w:rFonts w:eastAsia="Times New Roman" w:cs="Times New Roman"/>
        </w:rPr>
        <w:t>) participants reported that institutions such as the media, education, politics, and religion advanced hostile, anti-transgender ideologies and worldviews that contributed to experiences of gender dysphoria.</w:t>
      </w:r>
      <w:r>
        <w:rPr>
          <w:rFonts w:eastAsia="Times New Roman" w:cs="Times New Roman"/>
        </w:rPr>
        <w:t xml:space="preserve"> S</w:t>
      </w:r>
      <w:r w:rsidRPr="007242FD">
        <w:rPr>
          <w:rFonts w:eastAsia="Times New Roman" w:cs="Times New Roman"/>
        </w:rPr>
        <w:t>imilar societal and systemic contributors of gender dysphoria</w:t>
      </w:r>
      <w:r>
        <w:rPr>
          <w:rFonts w:eastAsia="Times New Roman" w:cs="Times New Roman"/>
        </w:rPr>
        <w:t xml:space="preserve"> were found</w:t>
      </w:r>
      <w:r w:rsidRPr="007242FD">
        <w:rPr>
          <w:rFonts w:eastAsia="Times New Roman" w:cs="Times New Roman"/>
        </w:rPr>
        <w:t xml:space="preserve"> to be present among transgender individuals</w:t>
      </w:r>
      <w:r>
        <w:rPr>
          <w:rFonts w:eastAsia="Times New Roman" w:cs="Times New Roman"/>
        </w:rPr>
        <w:t xml:space="preserve"> in several other </w:t>
      </w:r>
      <w:r w:rsidR="00BB7D33">
        <w:rPr>
          <w:rFonts w:eastAsia="Times New Roman" w:cs="Times New Roman"/>
        </w:rPr>
        <w:t>studies (</w:t>
      </w:r>
      <w:proofErr w:type="spellStart"/>
      <w:r w:rsidR="00BB7D33">
        <w:rPr>
          <w:rFonts w:eastAsia="Times New Roman" w:cs="Times New Roman"/>
        </w:rPr>
        <w:t>Galupo</w:t>
      </w:r>
      <w:proofErr w:type="spellEnd"/>
      <w:r w:rsidR="00BB7D33">
        <w:rPr>
          <w:rFonts w:eastAsia="Times New Roman" w:cs="Times New Roman"/>
        </w:rPr>
        <w:t xml:space="preserve">, </w:t>
      </w:r>
      <w:proofErr w:type="spellStart"/>
      <w:r w:rsidR="00BB7D33">
        <w:rPr>
          <w:rFonts w:eastAsia="Times New Roman" w:cs="Times New Roman"/>
        </w:rPr>
        <w:t>Pulice</w:t>
      </w:r>
      <w:proofErr w:type="spellEnd"/>
      <w:r w:rsidR="00BB7D33">
        <w:rPr>
          <w:rFonts w:eastAsia="Times New Roman" w:cs="Times New Roman"/>
        </w:rPr>
        <w:t>-Farrow, and Lindley 2020; Goldbach and Knutson 2021)</w:t>
      </w:r>
      <w:r w:rsidRPr="007242FD">
        <w:rPr>
          <w:rFonts w:eastAsia="Times New Roman" w:cs="Times New Roman"/>
        </w:rPr>
        <w:t xml:space="preserve">. </w:t>
      </w:r>
    </w:p>
    <w:p w14:paraId="435FB8F7" w14:textId="509C9CC6" w:rsidR="00B8656D" w:rsidRPr="008655D2" w:rsidRDefault="00B8656D" w:rsidP="00814FD1">
      <w:pPr>
        <w:pStyle w:val="Heading3"/>
      </w:pPr>
      <w:r w:rsidRPr="008655D2">
        <w:t>Social and Systemic Interactions</w:t>
      </w:r>
    </w:p>
    <w:p w14:paraId="4A47AD41" w14:textId="7FC21FC4" w:rsidR="00B8656D" w:rsidRPr="007242FD" w:rsidRDefault="00B8656D" w:rsidP="00174D7E">
      <w:pPr>
        <w:ind w:firstLine="720"/>
        <w:rPr>
          <w:rFonts w:eastAsia="Times New Roman" w:cs="Times New Roman"/>
        </w:rPr>
      </w:pPr>
      <w:r w:rsidRPr="007242FD">
        <w:rPr>
          <w:rFonts w:eastAsia="Times New Roman" w:cs="Times New Roman"/>
        </w:rPr>
        <w:t>The current study</w:t>
      </w:r>
      <w:r w:rsidR="00C364B6">
        <w:rPr>
          <w:rFonts w:eastAsia="Times New Roman" w:cs="Times New Roman"/>
        </w:rPr>
        <w:t>’</w:t>
      </w:r>
      <w:r w:rsidRPr="007242FD">
        <w:rPr>
          <w:rFonts w:eastAsia="Times New Roman" w:cs="Times New Roman"/>
        </w:rPr>
        <w:t>s findings related to the societal and systemic contributors to gender dysphoria, our second research question, are important because they suggest that the medical model of gender dysphoria (e.g.</w:t>
      </w:r>
      <w:r w:rsidR="00C364B6">
        <w:rPr>
          <w:rFonts w:eastAsia="Times New Roman" w:cs="Times New Roman"/>
        </w:rPr>
        <w:t>,</w:t>
      </w:r>
      <w:r w:rsidRPr="007242FD">
        <w:rPr>
          <w:rFonts w:eastAsia="Times New Roman" w:cs="Times New Roman"/>
        </w:rPr>
        <w:t xml:space="preserve"> the </w:t>
      </w:r>
      <w:r w:rsidRPr="00BB7D33">
        <w:rPr>
          <w:rFonts w:eastAsia="Times New Roman" w:cs="Times New Roman"/>
          <w:i/>
          <w:iCs/>
        </w:rPr>
        <w:t>DSM-5</w:t>
      </w:r>
      <w:r w:rsidR="00B97EAB" w:rsidRPr="00BB7D33">
        <w:rPr>
          <w:rFonts w:eastAsia="Times New Roman" w:cs="Times New Roman"/>
          <w:i/>
          <w:iCs/>
        </w:rPr>
        <w:t>-TR</w:t>
      </w:r>
      <w:r w:rsidRPr="007242FD">
        <w:rPr>
          <w:rFonts w:eastAsia="Times New Roman" w:cs="Times New Roman"/>
        </w:rPr>
        <w:t xml:space="preserve"> diagnostic model) may be a flawed </w:t>
      </w:r>
      <w:r>
        <w:rPr>
          <w:rFonts w:eastAsia="Times New Roman" w:cs="Times New Roman"/>
        </w:rPr>
        <w:t xml:space="preserve">or incomplete </w:t>
      </w:r>
      <w:r w:rsidRPr="007242FD">
        <w:rPr>
          <w:rFonts w:eastAsia="Times New Roman" w:cs="Times New Roman"/>
        </w:rPr>
        <w:t xml:space="preserve">conceptualization of how transgender and nonbinary individuals understand and experience gender dysphoria. </w:t>
      </w:r>
      <w:r w:rsidR="003D6A9E" w:rsidRPr="007242FD">
        <w:rPr>
          <w:rFonts w:eastAsia="Times New Roman" w:cs="Times New Roman"/>
        </w:rPr>
        <w:t xml:space="preserve">Conceptualizations of gender dysphoria need to be updated to take </w:t>
      </w:r>
      <w:r w:rsidR="003D6A9E" w:rsidRPr="007242FD">
        <w:rPr>
          <w:rFonts w:eastAsia="Times New Roman" w:cs="Times New Roman"/>
        </w:rPr>
        <w:lastRenderedPageBreak/>
        <w:t>social and systemic contributors</w:t>
      </w:r>
      <w:r w:rsidR="003D6A9E">
        <w:rPr>
          <w:rFonts w:eastAsia="Times New Roman" w:cs="Times New Roman"/>
        </w:rPr>
        <w:t>, such as exclusionary language and binary gender norms,</w:t>
      </w:r>
      <w:r w:rsidR="003D6A9E" w:rsidRPr="007242FD">
        <w:rPr>
          <w:rFonts w:eastAsia="Times New Roman" w:cs="Times New Roman"/>
        </w:rPr>
        <w:t xml:space="preserve"> into account</w:t>
      </w:r>
      <w:r w:rsidR="00BB7D33">
        <w:rPr>
          <w:rFonts w:eastAsia="Times New Roman" w:cs="Times New Roman"/>
        </w:rPr>
        <w:t xml:space="preserve"> (Goldbach and Knutson 2021). </w:t>
      </w:r>
      <w:r w:rsidR="003D6A9E">
        <w:rPr>
          <w:rFonts w:eastAsia="Times New Roman" w:cs="Times New Roman"/>
        </w:rPr>
        <w:t>For example, healthcare providers and systems can contribute to transgender and nonbinary people</w:t>
      </w:r>
      <w:r w:rsidR="00C364B6">
        <w:rPr>
          <w:rFonts w:eastAsia="Times New Roman" w:cs="Times New Roman"/>
        </w:rPr>
        <w:t>’</w:t>
      </w:r>
      <w:r w:rsidR="003D6A9E">
        <w:rPr>
          <w:rFonts w:eastAsia="Times New Roman" w:cs="Times New Roman"/>
        </w:rPr>
        <w:t xml:space="preserve">s experiences of gender dysphoria if measures are not taken to account for exclusionary language and binary gender norms, such as having forms that allow individuals to share their pronouns and provide gender options that are inclusive of nonbinary individuals. </w:t>
      </w:r>
      <w:r w:rsidRPr="007242FD">
        <w:rPr>
          <w:rFonts w:eastAsia="Times New Roman" w:cs="Times New Roman"/>
        </w:rPr>
        <w:t>Transgender and nonbinary individuals also appear to increasingly reject the medicalization of their experiences. Johnso</w:t>
      </w:r>
      <w:r w:rsidR="00BB7D33">
        <w:rPr>
          <w:rFonts w:eastAsia="Times New Roman" w:cs="Times New Roman"/>
        </w:rPr>
        <w:t>n (2019)</w:t>
      </w:r>
      <w:r w:rsidRPr="007242FD">
        <w:rPr>
          <w:rFonts w:eastAsia="Times New Roman" w:cs="Times New Roman"/>
        </w:rPr>
        <w:t xml:space="preserve"> conducted 158 hours of participatory field-observations of a transgender community organization in the southeastern US and surveyed 33 transgender and nonbinary individuals to analyze communal perceptions of the medical model of gender dysphoria. Participants rejected a medical model of their experiences and instead advocated for a social model of gender-affirming care. </w:t>
      </w:r>
      <w:r w:rsidR="003D6A9E">
        <w:rPr>
          <w:rFonts w:eastAsia="Times New Roman" w:cs="Times New Roman"/>
        </w:rPr>
        <w:t>Furthermore, the medical model of gender dysphoria is often rooted in binary expectations for gender transition (e.g., expectation that transgender people will medically transition from “one gender to the other”), which in and of itself can contribute to gender dysphoria due to reinforcement of binary gender norms.</w:t>
      </w:r>
      <w:r w:rsidR="003D6A9E" w:rsidRPr="007242FD">
        <w:rPr>
          <w:rFonts w:eastAsia="Times New Roman" w:cs="Times New Roman"/>
        </w:rPr>
        <w:t xml:space="preserve"> </w:t>
      </w:r>
      <w:r w:rsidRPr="007242FD">
        <w:rPr>
          <w:rFonts w:eastAsia="Times New Roman" w:cs="Times New Roman"/>
        </w:rPr>
        <w:t xml:space="preserve">Such findings mirrored participant responses from the current study, with many participants naming social and societal aspects of their gender dysphoria. </w:t>
      </w:r>
    </w:p>
    <w:p w14:paraId="3ACE6211" w14:textId="774C2281" w:rsidR="00B8656D" w:rsidRPr="007242FD" w:rsidRDefault="00B8656D" w:rsidP="00174D7E">
      <w:pPr>
        <w:ind w:firstLine="720"/>
        <w:rPr>
          <w:rFonts w:eastAsia="Times New Roman" w:cs="Times New Roman"/>
        </w:rPr>
      </w:pPr>
      <w:r w:rsidRPr="007242FD">
        <w:rPr>
          <w:rFonts w:eastAsia="Times New Roman" w:cs="Times New Roman"/>
        </w:rPr>
        <w:t xml:space="preserve">Indicative of their resilience, participants from both the pre-onset (14.49%, </w:t>
      </w:r>
      <w:r w:rsidRPr="007242FD">
        <w:rPr>
          <w:rFonts w:eastAsia="Times New Roman" w:cs="Times New Roman"/>
          <w:i/>
        </w:rPr>
        <w:t>n = 20</w:t>
      </w:r>
      <w:r w:rsidRPr="007242FD">
        <w:rPr>
          <w:rFonts w:eastAsia="Times New Roman" w:cs="Times New Roman"/>
        </w:rPr>
        <w:t xml:space="preserve">) and post-onset (9.59%, </w:t>
      </w:r>
      <w:r w:rsidRPr="007242FD">
        <w:rPr>
          <w:rFonts w:eastAsia="Times New Roman" w:cs="Times New Roman"/>
          <w:i/>
        </w:rPr>
        <w:t>n = 21</w:t>
      </w:r>
      <w:r w:rsidRPr="007242FD">
        <w:rPr>
          <w:rFonts w:eastAsia="Times New Roman" w:cs="Times New Roman"/>
        </w:rPr>
        <w:t>) samples named buffers and protective factors against experiencing gender dysphoria. Such buffers included affirmation from others and limited contact with bigoted individuals. Researchers have extensively documented that transgender individuals may draw upon various sources of resilience when coping with minority stress, depression, and anxiety</w:t>
      </w:r>
      <w:r w:rsidR="00BB7D33">
        <w:rPr>
          <w:rFonts w:eastAsia="Times New Roman" w:cs="Times New Roman"/>
        </w:rPr>
        <w:t xml:space="preserve"> (</w:t>
      </w:r>
      <w:proofErr w:type="spellStart"/>
      <w:r w:rsidR="00BB7D33">
        <w:rPr>
          <w:rFonts w:eastAsia="Times New Roman" w:cs="Times New Roman"/>
        </w:rPr>
        <w:t>Bariola</w:t>
      </w:r>
      <w:proofErr w:type="spellEnd"/>
      <w:r w:rsidR="00BB7D33">
        <w:rPr>
          <w:rFonts w:eastAsia="Times New Roman" w:cs="Times New Roman"/>
        </w:rPr>
        <w:t xml:space="preserve"> et al. 2015; </w:t>
      </w:r>
      <w:proofErr w:type="spellStart"/>
      <w:r w:rsidR="00BB7D33">
        <w:rPr>
          <w:rFonts w:eastAsia="Times New Roman" w:cs="Times New Roman"/>
        </w:rPr>
        <w:t>Bockting</w:t>
      </w:r>
      <w:proofErr w:type="spellEnd"/>
      <w:r w:rsidR="00BB7D33">
        <w:rPr>
          <w:rFonts w:eastAsia="Times New Roman" w:cs="Times New Roman"/>
        </w:rPr>
        <w:t xml:space="preserve"> et al. 2013; </w:t>
      </w:r>
      <w:proofErr w:type="spellStart"/>
      <w:r w:rsidR="00BB7D33">
        <w:rPr>
          <w:rFonts w:eastAsia="Times New Roman" w:cs="Times New Roman"/>
        </w:rPr>
        <w:t>Bockting</w:t>
      </w:r>
      <w:proofErr w:type="spellEnd"/>
      <w:r w:rsidR="00BB7D33">
        <w:rPr>
          <w:rFonts w:eastAsia="Times New Roman" w:cs="Times New Roman"/>
        </w:rPr>
        <w:t xml:space="preserve"> et al. 2020; Hendricks and Testa 2012; Puckett et al. 2019; Singh, Hays, and Watson 2011; Testa et al. 2015; Veale et al. 2017)</w:t>
      </w:r>
      <w:r w:rsidRPr="007242FD">
        <w:rPr>
          <w:rFonts w:eastAsia="Times New Roman" w:cs="Times New Roman"/>
        </w:rPr>
        <w:t>.</w:t>
      </w:r>
      <w:r w:rsidR="00BB7D33">
        <w:rPr>
          <w:rFonts w:eastAsia="Times New Roman" w:cs="Times New Roman"/>
          <w:vertAlign w:val="superscript"/>
        </w:rPr>
        <w:t xml:space="preserve"> </w:t>
      </w:r>
      <w:r w:rsidRPr="007242FD">
        <w:rPr>
          <w:rFonts w:eastAsia="Times New Roman" w:cs="Times New Roman"/>
        </w:rPr>
        <w:t xml:space="preserve"> Furthermore, access to gender transition needs for social and/or medical transition has been documented to alleviate, reduce, or “treat” gender dysphoria</w:t>
      </w:r>
      <w:r w:rsidR="00BB7D33">
        <w:rPr>
          <w:rFonts w:eastAsia="Times New Roman" w:cs="Times New Roman"/>
        </w:rPr>
        <w:t xml:space="preserve"> (Coleman et al. 2012; Davy and Toze 2018).</w:t>
      </w:r>
      <w:r w:rsidRPr="007242FD">
        <w:rPr>
          <w:rFonts w:eastAsia="Times New Roman" w:cs="Times New Roman"/>
        </w:rPr>
        <w:t xml:space="preserve"> Although researchers have recently found evidence to support conceptualizing gender dysphoria as a proximal minority stresso</w:t>
      </w:r>
      <w:r w:rsidR="00BB7D33">
        <w:rPr>
          <w:rFonts w:eastAsia="Times New Roman" w:cs="Times New Roman"/>
        </w:rPr>
        <w:t xml:space="preserve">r (Lindley and </w:t>
      </w:r>
      <w:proofErr w:type="spellStart"/>
      <w:r w:rsidR="00BB7D33">
        <w:rPr>
          <w:rFonts w:eastAsia="Times New Roman" w:cs="Times New Roman"/>
        </w:rPr>
        <w:t>Galupo</w:t>
      </w:r>
      <w:proofErr w:type="spellEnd"/>
      <w:r w:rsidR="00BB7D33">
        <w:rPr>
          <w:rFonts w:eastAsia="Times New Roman" w:cs="Times New Roman"/>
        </w:rPr>
        <w:t xml:space="preserve"> 2020)</w:t>
      </w:r>
      <w:r w:rsidRPr="007242FD">
        <w:rPr>
          <w:rFonts w:eastAsia="Times New Roman" w:cs="Times New Roman"/>
        </w:rPr>
        <w:t xml:space="preserve"> and researchers have explored various sources of resilience that TNB people access in the face of gender minority stress</w:t>
      </w:r>
      <w:r w:rsidR="00BB7D33">
        <w:rPr>
          <w:rFonts w:eastAsia="Times New Roman" w:cs="Times New Roman"/>
        </w:rPr>
        <w:t xml:space="preserve"> (</w:t>
      </w:r>
      <w:proofErr w:type="spellStart"/>
      <w:r w:rsidR="00BB7D33">
        <w:rPr>
          <w:rFonts w:eastAsia="Times New Roman" w:cs="Times New Roman"/>
        </w:rPr>
        <w:t>Bockting</w:t>
      </w:r>
      <w:proofErr w:type="spellEnd"/>
      <w:r w:rsidR="00BB7D33">
        <w:rPr>
          <w:rFonts w:eastAsia="Times New Roman" w:cs="Times New Roman"/>
        </w:rPr>
        <w:t xml:space="preserve"> et al. 2013; </w:t>
      </w:r>
      <w:proofErr w:type="spellStart"/>
      <w:r w:rsidR="00BB7D33">
        <w:rPr>
          <w:rFonts w:eastAsia="Times New Roman" w:cs="Times New Roman"/>
        </w:rPr>
        <w:t>Bockting</w:t>
      </w:r>
      <w:proofErr w:type="spellEnd"/>
      <w:r w:rsidR="00BB7D33">
        <w:rPr>
          <w:rFonts w:eastAsia="Times New Roman" w:cs="Times New Roman"/>
        </w:rPr>
        <w:t xml:space="preserve"> et al. 2020; Hendricks and Testa 2012; Testa et al. 2015; Veale et al. 2017),</w:t>
      </w:r>
      <w:r w:rsidRPr="007242FD">
        <w:rPr>
          <w:rFonts w:eastAsia="Times New Roman" w:cs="Times New Roman"/>
        </w:rPr>
        <w:t xml:space="preserve"> unique resilience and protective factors for experiences of gender dysphoria appear to be unexamined in the research literature. </w:t>
      </w:r>
    </w:p>
    <w:p w14:paraId="1A94FCA5" w14:textId="2DE5656E" w:rsidR="00B8656D" w:rsidRPr="007242FD" w:rsidRDefault="00B8656D" w:rsidP="00174D7E">
      <w:pPr>
        <w:ind w:firstLine="720"/>
        <w:rPr>
          <w:rFonts w:eastAsia="Times New Roman" w:cs="Times New Roman"/>
        </w:rPr>
      </w:pPr>
      <w:r w:rsidRPr="007242FD">
        <w:rPr>
          <w:rFonts w:eastAsia="Times New Roman" w:cs="Times New Roman"/>
        </w:rPr>
        <w:t>This gap in the research literature may be due to, in part, researchers only recently connecting gender dysphoria to social contexts</w:t>
      </w:r>
      <w:r w:rsidR="00BB7D33">
        <w:rPr>
          <w:rFonts w:eastAsia="Times New Roman" w:cs="Times New Roman"/>
        </w:rPr>
        <w:t xml:space="preserve"> (</w:t>
      </w:r>
      <w:proofErr w:type="spellStart"/>
      <w:r w:rsidR="00BB7D33">
        <w:rPr>
          <w:rFonts w:eastAsia="Times New Roman" w:cs="Times New Roman"/>
        </w:rPr>
        <w:t>Galupo</w:t>
      </w:r>
      <w:proofErr w:type="spellEnd"/>
      <w:r w:rsidR="00BB7D33">
        <w:rPr>
          <w:rFonts w:eastAsia="Times New Roman" w:cs="Times New Roman"/>
        </w:rPr>
        <w:t xml:space="preserve">, </w:t>
      </w:r>
      <w:proofErr w:type="spellStart"/>
      <w:r w:rsidR="00BB7D33">
        <w:rPr>
          <w:rFonts w:eastAsia="Times New Roman" w:cs="Times New Roman"/>
        </w:rPr>
        <w:t>Pulice</w:t>
      </w:r>
      <w:proofErr w:type="spellEnd"/>
      <w:r w:rsidR="00BB7D33">
        <w:rPr>
          <w:rFonts w:eastAsia="Times New Roman" w:cs="Times New Roman"/>
        </w:rPr>
        <w:t xml:space="preserve">-Farrow, and Lindley 2020; Goldbach and Knutson 2021), </w:t>
      </w:r>
      <w:r w:rsidRPr="007242FD">
        <w:rPr>
          <w:rFonts w:eastAsia="Times New Roman" w:cs="Times New Roman"/>
        </w:rPr>
        <w:t>the absence of gender dysphoria in current models gender minority stress and resilience</w:t>
      </w:r>
      <w:r w:rsidR="00BB7D33">
        <w:rPr>
          <w:rFonts w:eastAsia="Times New Roman" w:cs="Times New Roman"/>
        </w:rPr>
        <w:t xml:space="preserve"> (Hendricks and Testa 2012; Testa et al. 2015),</w:t>
      </w:r>
      <w:r w:rsidRPr="007242FD">
        <w:rPr>
          <w:rFonts w:eastAsia="Times New Roman" w:cs="Times New Roman"/>
        </w:rPr>
        <w:t xml:space="preserve"> the medicalization of TNB bodies and experiences of gender dysphoria</w:t>
      </w:r>
      <w:r w:rsidR="00BB7D33">
        <w:rPr>
          <w:rFonts w:eastAsia="Times New Roman" w:cs="Times New Roman"/>
        </w:rPr>
        <w:t xml:space="preserve"> (Dewey and </w:t>
      </w:r>
      <w:proofErr w:type="spellStart"/>
      <w:r w:rsidR="00BB7D33">
        <w:rPr>
          <w:rFonts w:eastAsia="Times New Roman" w:cs="Times New Roman"/>
        </w:rPr>
        <w:t>Gesbeck</w:t>
      </w:r>
      <w:proofErr w:type="spellEnd"/>
      <w:r w:rsidR="00BB7D33">
        <w:rPr>
          <w:rFonts w:eastAsia="Times New Roman" w:cs="Times New Roman"/>
        </w:rPr>
        <w:t xml:space="preserve"> 2017; Johnson 2015; Johnson 2019), </w:t>
      </w:r>
      <w:r w:rsidRPr="007242FD">
        <w:rPr>
          <w:rFonts w:eastAsia="Times New Roman" w:cs="Times New Roman"/>
        </w:rPr>
        <w:t>and a lack of consistency in how gender dysphoria is described across the research literature (e.g., personal phenomenological experience, specific mental health diagnosis</w:t>
      </w:r>
      <w:r w:rsidR="00BB7D33">
        <w:rPr>
          <w:rFonts w:eastAsia="Times New Roman" w:cs="Times New Roman"/>
        </w:rPr>
        <w:t xml:space="preserve">; Davy and Toze </w:t>
      </w:r>
      <w:r w:rsidR="00E84B78">
        <w:rPr>
          <w:rFonts w:eastAsia="Times New Roman" w:cs="Times New Roman"/>
        </w:rPr>
        <w:t>2018).</w:t>
      </w:r>
      <w:r w:rsidRPr="007242FD">
        <w:rPr>
          <w:rFonts w:eastAsia="Times New Roman" w:cs="Times New Roman"/>
        </w:rPr>
        <w:t xml:space="preserve"> Researchers have specifically called for increased focus on gender dysphoria in affirmative practice</w:t>
      </w:r>
      <w:r w:rsidR="00EE4FBE">
        <w:rPr>
          <w:rFonts w:eastAsia="Times New Roman" w:cs="Times New Roman"/>
        </w:rPr>
        <w:t xml:space="preserve"> (Austin, </w:t>
      </w:r>
      <w:proofErr w:type="spellStart"/>
      <w:r w:rsidR="00EE4FBE">
        <w:rPr>
          <w:rFonts w:eastAsia="Times New Roman" w:cs="Times New Roman"/>
        </w:rPr>
        <w:t>Holzworth</w:t>
      </w:r>
      <w:proofErr w:type="spellEnd"/>
      <w:r w:rsidR="00EE4FBE">
        <w:rPr>
          <w:rFonts w:eastAsia="Times New Roman" w:cs="Times New Roman"/>
        </w:rPr>
        <w:t xml:space="preserve">, and </w:t>
      </w:r>
      <w:proofErr w:type="spellStart"/>
      <w:r w:rsidR="00EE4FBE">
        <w:rPr>
          <w:rFonts w:eastAsia="Times New Roman" w:cs="Times New Roman"/>
        </w:rPr>
        <w:t>Papciak</w:t>
      </w:r>
      <w:proofErr w:type="spellEnd"/>
      <w:r w:rsidR="00EE4FBE">
        <w:rPr>
          <w:rFonts w:eastAsia="Times New Roman" w:cs="Times New Roman"/>
        </w:rPr>
        <w:t xml:space="preserve"> 2022),</w:t>
      </w:r>
      <w:r w:rsidRPr="007242FD">
        <w:rPr>
          <w:rFonts w:eastAsia="Times New Roman" w:cs="Times New Roman"/>
        </w:rPr>
        <w:t xml:space="preserve"> which could include a focus on resilience and protective factors. The present study</w:t>
      </w:r>
      <w:r w:rsidR="00C364B6">
        <w:rPr>
          <w:rFonts w:eastAsia="Times New Roman" w:cs="Times New Roman"/>
        </w:rPr>
        <w:t>’</w:t>
      </w:r>
      <w:r w:rsidRPr="007242FD">
        <w:rPr>
          <w:rFonts w:eastAsia="Times New Roman" w:cs="Times New Roman"/>
        </w:rPr>
        <w:t xml:space="preserve">s findings help elucidate buffers and protective factors specifically related to dysphoria and may be useful for developing future interventions to decrease gender dysphoria.         </w:t>
      </w:r>
    </w:p>
    <w:p w14:paraId="60AD10F1" w14:textId="7ED4CCD7" w:rsidR="00B8656D" w:rsidRPr="008655D2" w:rsidRDefault="00B8656D" w:rsidP="00814FD1">
      <w:pPr>
        <w:pStyle w:val="Heading3"/>
      </w:pPr>
      <w:r w:rsidRPr="008655D2">
        <w:t xml:space="preserve">COVID-19 and Gender Dysphoria                                                                                                 </w:t>
      </w:r>
    </w:p>
    <w:p w14:paraId="6A6FE6EF" w14:textId="20CD84FE" w:rsidR="00B8656D" w:rsidRPr="007242FD" w:rsidRDefault="00B8656D" w:rsidP="00174D7E">
      <w:pPr>
        <w:ind w:firstLine="720"/>
        <w:rPr>
          <w:rFonts w:eastAsia="Times New Roman" w:cs="Times New Roman"/>
        </w:rPr>
      </w:pPr>
      <w:r w:rsidRPr="007242FD">
        <w:rPr>
          <w:rFonts w:eastAsia="Times New Roman" w:cs="Times New Roman"/>
        </w:rPr>
        <w:t xml:space="preserve">Because the post-onset sample was recruited during the COVID-19 pandemic, participants listed such as a relevant factor related to their gender dysphoria or lack thereof and </w:t>
      </w:r>
      <w:r w:rsidRPr="007242FD">
        <w:rPr>
          <w:rFonts w:eastAsia="Times New Roman" w:cs="Times New Roman"/>
        </w:rPr>
        <w:lastRenderedPageBreak/>
        <w:t xml:space="preserve">provided us with answers to our third research question. Some participants mentioned the pandemic was detrimental to their health and a contributor to dysphoria (1.37%, </w:t>
      </w:r>
      <w:r w:rsidRPr="007242FD">
        <w:rPr>
          <w:rFonts w:eastAsia="Times New Roman" w:cs="Times New Roman"/>
          <w:i/>
        </w:rPr>
        <w:t>n = 3</w:t>
      </w:r>
      <w:r w:rsidRPr="007242FD">
        <w:rPr>
          <w:rFonts w:eastAsia="Times New Roman" w:cs="Times New Roman"/>
        </w:rPr>
        <w:t xml:space="preserve">), but some participants mentioned the pandemic was beneficial for avoiding dysphoria (1.83%, </w:t>
      </w:r>
      <w:r w:rsidRPr="007242FD">
        <w:rPr>
          <w:rFonts w:eastAsia="Times New Roman" w:cs="Times New Roman"/>
          <w:i/>
        </w:rPr>
        <w:t>n = 4</w:t>
      </w:r>
      <w:r w:rsidRPr="007242FD">
        <w:rPr>
          <w:rFonts w:eastAsia="Times New Roman" w:cs="Times New Roman"/>
        </w:rPr>
        <w:t>). Goldbach and colleagues</w:t>
      </w:r>
      <w:r w:rsidR="00E84B78">
        <w:rPr>
          <w:rFonts w:eastAsia="Times New Roman" w:cs="Times New Roman"/>
          <w:vertAlign w:val="superscript"/>
        </w:rPr>
        <w:t xml:space="preserve"> </w:t>
      </w:r>
      <w:r w:rsidR="00E84B78">
        <w:rPr>
          <w:rFonts w:eastAsia="Times New Roman" w:cs="Times New Roman"/>
        </w:rPr>
        <w:t xml:space="preserve">(2021) </w:t>
      </w:r>
      <w:r w:rsidRPr="007242FD">
        <w:rPr>
          <w:rFonts w:eastAsia="Times New Roman" w:cs="Times New Roman"/>
        </w:rPr>
        <w:t xml:space="preserve">recently recruited a sample of 220 LGBTQ+ individuals and found that higher levels of resilience weakened the effects of the pandemic on mental health outcomes. These findings may suggest that participants from the current study are utilizing their resilience to address any negative impacts of the pandemic related to gender dysphoria. Further research is necessary to confirm the contextual relationship between the pandemic and gender dysphoria.  </w:t>
      </w:r>
    </w:p>
    <w:p w14:paraId="61FB428D" w14:textId="5829F8A5" w:rsidR="00B8656D" w:rsidRPr="007242FD" w:rsidRDefault="00B8656D" w:rsidP="00174D7E">
      <w:pPr>
        <w:ind w:firstLine="720"/>
        <w:rPr>
          <w:rFonts w:eastAsia="Times New Roman" w:cs="Times New Roman"/>
        </w:rPr>
      </w:pPr>
      <w:r w:rsidRPr="007242FD">
        <w:rPr>
          <w:rFonts w:eastAsia="Times New Roman" w:cs="Times New Roman"/>
        </w:rPr>
        <w:t xml:space="preserve">Gender dysphoria also appeared to be context-dependent for many of the current study participants. For example, participants from both the pre-onset (8.70%, </w:t>
      </w:r>
      <w:r w:rsidRPr="007242FD">
        <w:rPr>
          <w:rFonts w:eastAsia="Times New Roman" w:cs="Times New Roman"/>
          <w:i/>
        </w:rPr>
        <w:t>n = 12</w:t>
      </w:r>
      <w:r w:rsidRPr="007242FD">
        <w:rPr>
          <w:rFonts w:eastAsia="Times New Roman" w:cs="Times New Roman"/>
        </w:rPr>
        <w:t xml:space="preserve">) and post-onset (12.79%, </w:t>
      </w:r>
      <w:r w:rsidRPr="007242FD">
        <w:rPr>
          <w:rFonts w:eastAsia="Times New Roman" w:cs="Times New Roman"/>
          <w:i/>
        </w:rPr>
        <w:t>n = 28</w:t>
      </w:r>
      <w:r w:rsidRPr="007242FD">
        <w:rPr>
          <w:rFonts w:eastAsia="Times New Roman" w:cs="Times New Roman"/>
        </w:rPr>
        <w:t xml:space="preserve">) reported that their sense of safety determined </w:t>
      </w:r>
      <w:r w:rsidR="00196F6A">
        <w:rPr>
          <w:rFonts w:eastAsia="Times New Roman" w:cs="Times New Roman"/>
        </w:rPr>
        <w:t xml:space="preserve">in </w:t>
      </w:r>
      <w:r w:rsidR="00196F6A" w:rsidRPr="007242FD">
        <w:rPr>
          <w:rFonts w:eastAsia="Times New Roman" w:cs="Times New Roman"/>
        </w:rPr>
        <w:t>wh</w:t>
      </w:r>
      <w:r w:rsidR="00196F6A">
        <w:rPr>
          <w:rFonts w:eastAsia="Times New Roman" w:cs="Times New Roman"/>
        </w:rPr>
        <w:t>ich</w:t>
      </w:r>
      <w:r w:rsidR="00196F6A" w:rsidRPr="007242FD">
        <w:rPr>
          <w:rFonts w:eastAsia="Times New Roman" w:cs="Times New Roman"/>
        </w:rPr>
        <w:t xml:space="preserve"> </w:t>
      </w:r>
      <w:r w:rsidRPr="007242FD">
        <w:rPr>
          <w:rFonts w:eastAsia="Times New Roman" w:cs="Times New Roman"/>
        </w:rPr>
        <w:t xml:space="preserve">contexts to come out, correct people about their misperceptions, or even what spaces to go to. Community exclusion from both gendered spaces and LGBTQ+ spaces (5.80%, </w:t>
      </w:r>
      <w:r w:rsidRPr="007242FD">
        <w:rPr>
          <w:rFonts w:eastAsia="Times New Roman" w:cs="Times New Roman"/>
          <w:i/>
        </w:rPr>
        <w:t>n = 8</w:t>
      </w:r>
      <w:r w:rsidRPr="007242FD">
        <w:rPr>
          <w:rFonts w:eastAsia="Times New Roman" w:cs="Times New Roman"/>
        </w:rPr>
        <w:t xml:space="preserve">; 4.11%, </w:t>
      </w:r>
      <w:r w:rsidRPr="007242FD">
        <w:rPr>
          <w:rFonts w:eastAsia="Times New Roman" w:cs="Times New Roman"/>
          <w:i/>
        </w:rPr>
        <w:t>n = 9</w:t>
      </w:r>
      <w:r w:rsidRPr="007242FD">
        <w:rPr>
          <w:rFonts w:eastAsia="Times New Roman" w:cs="Times New Roman"/>
        </w:rPr>
        <w:t xml:space="preserve">) as well as rejection or mistreatment in close relationships (8.70%, </w:t>
      </w:r>
      <w:r w:rsidRPr="007242FD">
        <w:rPr>
          <w:rFonts w:eastAsia="Times New Roman" w:cs="Times New Roman"/>
          <w:i/>
        </w:rPr>
        <w:t>n = 12</w:t>
      </w:r>
      <w:r w:rsidRPr="007242FD">
        <w:rPr>
          <w:rFonts w:eastAsia="Times New Roman" w:cs="Times New Roman"/>
        </w:rPr>
        <w:t xml:space="preserve">; 10.05%, </w:t>
      </w:r>
      <w:r w:rsidRPr="007242FD">
        <w:rPr>
          <w:rFonts w:eastAsia="Times New Roman" w:cs="Times New Roman"/>
          <w:i/>
        </w:rPr>
        <w:t>n = 22</w:t>
      </w:r>
      <w:r w:rsidRPr="007242FD">
        <w:rPr>
          <w:rFonts w:eastAsia="Times New Roman" w:cs="Times New Roman"/>
        </w:rPr>
        <w:t xml:space="preserve">) were contributors to gender dysphoria in both samples. Some participants contextualized their understandings of their gender dysphoria related to the oppression that they faced from having multiple marginalized identities (3.62%, </w:t>
      </w:r>
      <w:r w:rsidRPr="007242FD">
        <w:rPr>
          <w:rFonts w:eastAsia="Times New Roman" w:cs="Times New Roman"/>
          <w:i/>
        </w:rPr>
        <w:t>n = 5</w:t>
      </w:r>
      <w:r w:rsidRPr="007242FD">
        <w:rPr>
          <w:rFonts w:eastAsia="Times New Roman" w:cs="Times New Roman"/>
        </w:rPr>
        <w:t xml:space="preserve">; 2.74%, </w:t>
      </w:r>
      <w:r w:rsidRPr="007242FD">
        <w:rPr>
          <w:rFonts w:eastAsia="Times New Roman" w:cs="Times New Roman"/>
          <w:i/>
        </w:rPr>
        <w:t>n = 6</w:t>
      </w:r>
      <w:r w:rsidRPr="007242FD">
        <w:rPr>
          <w:rFonts w:eastAsia="Times New Roman" w:cs="Times New Roman"/>
        </w:rPr>
        <w:t>). This is in line with existing models of identity development among transgender people of color</w:t>
      </w:r>
      <w:r w:rsidR="00E84B78">
        <w:rPr>
          <w:rFonts w:eastAsia="Times New Roman" w:cs="Times New Roman"/>
        </w:rPr>
        <w:t xml:space="preserve"> (de Vries 2015).</w:t>
      </w:r>
    </w:p>
    <w:p w14:paraId="7F35125B" w14:textId="6289516B" w:rsidR="00B8656D" w:rsidRPr="008655D2" w:rsidRDefault="00B8656D" w:rsidP="008655D2">
      <w:pPr>
        <w:pStyle w:val="Heading3"/>
      </w:pPr>
      <w:r w:rsidRPr="008655D2">
        <w:t>Strengths and Limitations</w:t>
      </w:r>
    </w:p>
    <w:p w14:paraId="320E25EB" w14:textId="77777777" w:rsidR="00B8656D" w:rsidRPr="007242FD" w:rsidRDefault="00B8656D" w:rsidP="00174D7E">
      <w:pPr>
        <w:rPr>
          <w:rFonts w:eastAsia="Times New Roman" w:cs="Times New Roman"/>
        </w:rPr>
      </w:pPr>
      <w:r w:rsidRPr="007242FD">
        <w:rPr>
          <w:rFonts w:eastAsia="Times New Roman" w:cs="Times New Roman"/>
        </w:rPr>
        <w:tab/>
        <w:t>The strengths of this study include the use of the established CQR-M method of coding, which involves blind consensus-building among raters while keeping pre-identified expectations and biases in check at all points of the coding process. The difference in coding schemes utilized before and after the global outbreak of the COVID-19 pandemic can also be interpreted as a strength, as the second round of data interpretation was not limited to a pre-existing code list. This qualitative nature of this study also allowed for an in-depth examination of the factors impacting gender dysphoria, with the unique lens of pre- and post-pandemic cross-examination.</w:t>
      </w:r>
    </w:p>
    <w:p w14:paraId="63D181C2" w14:textId="4F9684DE" w:rsidR="00B8656D" w:rsidRPr="007242FD" w:rsidRDefault="00B8656D" w:rsidP="00174D7E">
      <w:pPr>
        <w:rPr>
          <w:rFonts w:eastAsia="Times New Roman" w:cs="Times New Roman"/>
          <w:b/>
          <w:i/>
          <w:vertAlign w:val="superscript"/>
        </w:rPr>
      </w:pPr>
      <w:r w:rsidRPr="007242FD">
        <w:rPr>
          <w:rFonts w:eastAsia="Times New Roman" w:cs="Times New Roman"/>
        </w:rPr>
        <w:tab/>
        <w:t>Limitations for the present study include potential for bias due to participant and researcher bias. As the majority of participants identified as white in study 1 (81.2%) and study 2 (84.5%), future research should further investigate the voices of TNB populations of color. Additionally, the majority of participants self-identified as assigned female at birth (AFAB) in study 1 (73.9%) and study 2 (61.5%). Other studies have indicated a similar bias towards white and AFAB participants</w:t>
      </w:r>
      <w:r w:rsidR="00E84B78">
        <w:rPr>
          <w:rFonts w:eastAsia="Times New Roman" w:cs="Times New Roman"/>
        </w:rPr>
        <w:t xml:space="preserve"> (Lindley, </w:t>
      </w:r>
      <w:proofErr w:type="spellStart"/>
      <w:r w:rsidR="00E84B78">
        <w:rPr>
          <w:rFonts w:eastAsia="Times New Roman" w:cs="Times New Roman"/>
        </w:rPr>
        <w:t>Bauerband</w:t>
      </w:r>
      <w:proofErr w:type="spellEnd"/>
      <w:r w:rsidR="00E84B78">
        <w:rPr>
          <w:rFonts w:eastAsia="Times New Roman" w:cs="Times New Roman"/>
        </w:rPr>
        <w:t xml:space="preserve">, and </w:t>
      </w:r>
      <w:proofErr w:type="spellStart"/>
      <w:r w:rsidR="00E84B78">
        <w:rPr>
          <w:rFonts w:eastAsia="Times New Roman" w:cs="Times New Roman"/>
        </w:rPr>
        <w:t>Galupo</w:t>
      </w:r>
      <w:proofErr w:type="spellEnd"/>
      <w:r w:rsidR="00E84B78">
        <w:rPr>
          <w:rFonts w:eastAsia="Times New Roman" w:cs="Times New Roman"/>
        </w:rPr>
        <w:t xml:space="preserve"> 2021; Morris and </w:t>
      </w:r>
      <w:proofErr w:type="spellStart"/>
      <w:r w:rsidR="00E84B78">
        <w:rPr>
          <w:rFonts w:eastAsia="Times New Roman" w:cs="Times New Roman"/>
        </w:rPr>
        <w:t>Galupo</w:t>
      </w:r>
      <w:proofErr w:type="spellEnd"/>
      <w:r w:rsidR="00E84B78">
        <w:rPr>
          <w:rFonts w:eastAsia="Times New Roman" w:cs="Times New Roman"/>
        </w:rPr>
        <w:t xml:space="preserve"> 2019),</w:t>
      </w:r>
      <w:r w:rsidRPr="007242FD">
        <w:rPr>
          <w:rFonts w:eastAsia="Times New Roman" w:cs="Times New Roman"/>
        </w:rPr>
        <w:t xml:space="preserve"> and therefore future researchers should take care to not </w:t>
      </w:r>
      <w:r w:rsidR="00196F6A">
        <w:rPr>
          <w:rFonts w:eastAsia="Times New Roman" w:cs="Times New Roman"/>
        </w:rPr>
        <w:t>generalize</w:t>
      </w:r>
      <w:r w:rsidR="00196F6A" w:rsidRPr="007242FD">
        <w:rPr>
          <w:rFonts w:eastAsia="Times New Roman" w:cs="Times New Roman"/>
        </w:rPr>
        <w:t xml:space="preserve"> </w:t>
      </w:r>
      <w:r w:rsidRPr="007242FD">
        <w:rPr>
          <w:rFonts w:eastAsia="Times New Roman" w:cs="Times New Roman"/>
        </w:rPr>
        <w:t xml:space="preserve">findings to all TNB individuals. Additionally, all study data </w:t>
      </w:r>
      <w:r w:rsidR="00196F6A" w:rsidRPr="007242FD">
        <w:rPr>
          <w:rFonts w:eastAsia="Times New Roman" w:cs="Times New Roman"/>
        </w:rPr>
        <w:t>w</w:t>
      </w:r>
      <w:r w:rsidR="00196F6A">
        <w:rPr>
          <w:rFonts w:eastAsia="Times New Roman" w:cs="Times New Roman"/>
        </w:rPr>
        <w:t>ere</w:t>
      </w:r>
      <w:r w:rsidR="00196F6A" w:rsidRPr="007242FD">
        <w:rPr>
          <w:rFonts w:eastAsia="Times New Roman" w:cs="Times New Roman"/>
        </w:rPr>
        <w:t xml:space="preserve"> </w:t>
      </w:r>
      <w:r w:rsidRPr="007242FD">
        <w:rPr>
          <w:rFonts w:eastAsia="Times New Roman" w:cs="Times New Roman"/>
        </w:rPr>
        <w:t xml:space="preserve">interpreted by a coding team that was majority graduate-educated and majority </w:t>
      </w:r>
      <w:r>
        <w:rPr>
          <w:rFonts w:eastAsia="Times New Roman" w:cs="Times New Roman"/>
        </w:rPr>
        <w:t>white</w:t>
      </w:r>
      <w:r w:rsidRPr="007242FD">
        <w:rPr>
          <w:rFonts w:eastAsia="Times New Roman" w:cs="Times New Roman"/>
        </w:rPr>
        <w:t>. All coders self-identified as queer, gay, or lesbian, and half as TNB which can simultaneously be regarded a strength and limitation to the current study. Lastly, while the coding scheme was developed based on the data, oversimplification of participant responses is a limitation to the CQR-M method used</w:t>
      </w:r>
      <w:r w:rsidR="00E84B78">
        <w:rPr>
          <w:rFonts w:eastAsia="Times New Roman" w:cs="Times New Roman"/>
        </w:rPr>
        <w:t xml:space="preserve"> (Hill and Knox 2021; Spangler, Liu, and Hill 2012).</w:t>
      </w:r>
    </w:p>
    <w:p w14:paraId="776BE410" w14:textId="1942EF9A" w:rsidR="00B8656D" w:rsidRPr="008655D2" w:rsidRDefault="00B8656D" w:rsidP="00814FD1">
      <w:pPr>
        <w:pStyle w:val="Heading2"/>
      </w:pPr>
      <w:r w:rsidRPr="008655D2">
        <w:t>Conclusion</w:t>
      </w:r>
    </w:p>
    <w:p w14:paraId="01192BEF" w14:textId="0C10DB53" w:rsidR="00B8656D" w:rsidRPr="007242FD" w:rsidRDefault="00B8656D" w:rsidP="00174D7E">
      <w:pPr>
        <w:ind w:firstLine="720"/>
        <w:rPr>
          <w:rFonts w:eastAsia="Times New Roman" w:cs="Times New Roman"/>
          <w:b/>
          <w:i/>
        </w:rPr>
      </w:pPr>
      <w:r>
        <w:rPr>
          <w:rFonts w:eastAsia="Times New Roman" w:cs="Times New Roman"/>
        </w:rPr>
        <w:t>Although</w:t>
      </w:r>
      <w:r w:rsidRPr="007242FD">
        <w:rPr>
          <w:rFonts w:eastAsia="Times New Roman" w:cs="Times New Roman"/>
        </w:rPr>
        <w:t xml:space="preserve"> previous res</w:t>
      </w:r>
      <w:r>
        <w:rPr>
          <w:rFonts w:eastAsia="Times New Roman" w:cs="Times New Roman"/>
        </w:rPr>
        <w:t>earch findings</w:t>
      </w:r>
      <w:r w:rsidRPr="007242FD">
        <w:rPr>
          <w:rFonts w:eastAsia="Times New Roman" w:cs="Times New Roman"/>
        </w:rPr>
        <w:t xml:space="preserve"> ha</w:t>
      </w:r>
      <w:r>
        <w:rPr>
          <w:rFonts w:eastAsia="Times New Roman" w:cs="Times New Roman"/>
        </w:rPr>
        <w:t>ve</w:t>
      </w:r>
      <w:r w:rsidRPr="007242FD">
        <w:rPr>
          <w:rFonts w:eastAsia="Times New Roman" w:cs="Times New Roman"/>
        </w:rPr>
        <w:t xml:space="preserve"> already emphasized the importance of bodily factors in the treatment of gender dysphoria, the present study reveals that gender dysphoria is</w:t>
      </w:r>
      <w:r w:rsidR="00196F6A">
        <w:rPr>
          <w:rFonts w:eastAsia="Times New Roman" w:cs="Times New Roman"/>
        </w:rPr>
        <w:t xml:space="preserve"> also</w:t>
      </w:r>
      <w:r w:rsidRPr="007242FD">
        <w:rPr>
          <w:rFonts w:eastAsia="Times New Roman" w:cs="Times New Roman"/>
        </w:rPr>
        <w:t xml:space="preserve"> deeply connected with societal and systemic factors. Future research should further investigate the role of additional factors beyond bodily experiences in gender dysphoria, including daily interactions with oppressive social and societal systems. Future health </w:t>
      </w:r>
      <w:r w:rsidRPr="007242FD">
        <w:rPr>
          <w:rFonts w:eastAsia="Times New Roman" w:cs="Times New Roman"/>
        </w:rPr>
        <w:lastRenderedPageBreak/>
        <w:t>interventions in the treatment of gender dysphoria should highlight an individual</w:t>
      </w:r>
      <w:r w:rsidR="00C364B6">
        <w:rPr>
          <w:rFonts w:eastAsia="Times New Roman" w:cs="Times New Roman"/>
        </w:rPr>
        <w:t>’</w:t>
      </w:r>
      <w:r w:rsidRPr="007242FD">
        <w:rPr>
          <w:rFonts w:eastAsia="Times New Roman" w:cs="Times New Roman"/>
        </w:rPr>
        <w:t xml:space="preserve">s sociocultural context, including their geographic setting, access to affirming care, and interactions with social systems. </w:t>
      </w:r>
    </w:p>
    <w:p w14:paraId="16F044D8" w14:textId="35C7AFB3" w:rsidR="00B8656D" w:rsidRPr="008655D2" w:rsidRDefault="00C76D4D" w:rsidP="00814FD1">
      <w:pPr>
        <w:pStyle w:val="Heading2"/>
      </w:pPr>
      <w:r w:rsidRPr="008655D2">
        <w:t>References</w:t>
      </w:r>
    </w:p>
    <w:p w14:paraId="17D420CD" w14:textId="4AACB650" w:rsidR="00980EC1" w:rsidRPr="0077178A" w:rsidRDefault="00980EC1" w:rsidP="00980EC1">
      <w:pPr>
        <w:ind w:left="720" w:hanging="720"/>
        <w:rPr>
          <w:rFonts w:eastAsia="Times New Roman" w:cs="Times New Roman"/>
        </w:rPr>
      </w:pPr>
      <w:r w:rsidRPr="0077178A">
        <w:rPr>
          <w:rFonts w:eastAsia="Times New Roman" w:cs="Times New Roman"/>
        </w:rPr>
        <w:t xml:space="preserve">Abreu, Roberto L., Kirsten A. Gonzalez, </w:t>
      </w:r>
      <w:proofErr w:type="spellStart"/>
      <w:r w:rsidRPr="0077178A">
        <w:rPr>
          <w:rFonts w:eastAsia="Times New Roman" w:cs="Times New Roman"/>
        </w:rPr>
        <w:t>Saumya</w:t>
      </w:r>
      <w:proofErr w:type="spellEnd"/>
      <w:r w:rsidRPr="0077178A">
        <w:rPr>
          <w:rFonts w:eastAsia="Times New Roman" w:cs="Times New Roman"/>
        </w:rPr>
        <w:t xml:space="preserve"> Arora, Jules P. </w:t>
      </w:r>
      <w:proofErr w:type="spellStart"/>
      <w:r w:rsidRPr="0077178A">
        <w:rPr>
          <w:rFonts w:eastAsia="Times New Roman" w:cs="Times New Roman"/>
        </w:rPr>
        <w:t>Sostre</w:t>
      </w:r>
      <w:proofErr w:type="spellEnd"/>
      <w:r w:rsidRPr="0077178A">
        <w:rPr>
          <w:rFonts w:eastAsia="Times New Roman" w:cs="Times New Roman"/>
        </w:rPr>
        <w:t>, Gabriel M. Lockett, and Della V. Mosley. 2021. “</w:t>
      </w:r>
      <w:r w:rsidR="00C364B6">
        <w:rPr>
          <w:rFonts w:eastAsia="Times New Roman" w:cs="Times New Roman"/>
        </w:rPr>
        <w:t>‘</w:t>
      </w:r>
      <w:r w:rsidRPr="0077178A">
        <w:rPr>
          <w:rFonts w:eastAsia="Times New Roman" w:cs="Times New Roman"/>
        </w:rPr>
        <w:t>Coming Together after Tragedy Reaffirms the Strong Sense of Community and Pride We Have:</w:t>
      </w:r>
      <w:r w:rsidR="00C364B6">
        <w:rPr>
          <w:rFonts w:eastAsia="Times New Roman" w:cs="Times New Roman"/>
        </w:rPr>
        <w:t>’</w:t>
      </w:r>
      <w:r w:rsidRPr="0077178A">
        <w:rPr>
          <w:rFonts w:eastAsia="Times New Roman" w:cs="Times New Roman"/>
        </w:rPr>
        <w:t xml:space="preserve"> LGBTQ People Find Strength in Community and Cultural Values during the COVID-19 Pandemic.” </w:t>
      </w:r>
      <w:r w:rsidRPr="0077178A">
        <w:rPr>
          <w:rFonts w:eastAsia="Times New Roman" w:cs="Times New Roman"/>
          <w:i/>
          <w:iCs/>
        </w:rPr>
        <w:t>Psychology of Sexual Orientation and Gender Diversity</w:t>
      </w:r>
      <w:r w:rsidRPr="0077178A">
        <w:rPr>
          <w:rFonts w:eastAsia="Times New Roman" w:cs="Times New Roman"/>
        </w:rPr>
        <w:t xml:space="preserve">. </w:t>
      </w:r>
      <w:hyperlink r:id="rId9" w:history="1">
        <w:r w:rsidRPr="0077178A">
          <w:rPr>
            <w:rFonts w:eastAsia="Times New Roman" w:cs="Times New Roman"/>
            <w:color w:val="0000FF"/>
            <w:u w:val="single"/>
          </w:rPr>
          <w:t>https://doi.org/10.1037/sgd0000516</w:t>
        </w:r>
      </w:hyperlink>
      <w:r w:rsidRPr="0077178A">
        <w:rPr>
          <w:rFonts w:eastAsia="Times New Roman" w:cs="Times New Roman"/>
        </w:rPr>
        <w:t>.</w:t>
      </w:r>
    </w:p>
    <w:p w14:paraId="3FFB0E32" w14:textId="1B6E09E9" w:rsidR="00980EC1" w:rsidRPr="0077178A" w:rsidRDefault="00980EC1" w:rsidP="00980EC1">
      <w:pPr>
        <w:ind w:left="720" w:hanging="720"/>
        <w:rPr>
          <w:rFonts w:eastAsia="Times New Roman" w:cs="Times New Roman"/>
        </w:rPr>
      </w:pPr>
      <w:r w:rsidRPr="0077178A">
        <w:rPr>
          <w:rFonts w:eastAsia="Times New Roman" w:cs="Times New Roman"/>
        </w:rPr>
        <w:t>American Psychiatric Association. 20</w:t>
      </w:r>
      <w:r w:rsidR="00A2156D">
        <w:rPr>
          <w:rFonts w:eastAsia="Times New Roman" w:cs="Times New Roman"/>
        </w:rPr>
        <w:t>22</w:t>
      </w:r>
      <w:r w:rsidRPr="0077178A">
        <w:rPr>
          <w:rFonts w:eastAsia="Times New Roman" w:cs="Times New Roman"/>
        </w:rPr>
        <w:t xml:space="preserve">. </w:t>
      </w:r>
      <w:r w:rsidRPr="0077178A">
        <w:rPr>
          <w:rFonts w:eastAsia="Times New Roman" w:cs="Times New Roman"/>
          <w:i/>
          <w:iCs/>
        </w:rPr>
        <w:t>Diagnostic and Statistical Manual of Mental Disorders</w:t>
      </w:r>
      <w:r w:rsidR="00044118">
        <w:rPr>
          <w:rFonts w:eastAsia="Times New Roman" w:cs="Times New Roman"/>
          <w:i/>
          <w:iCs/>
        </w:rPr>
        <w:t>, Fifth Edition, Text Revision</w:t>
      </w:r>
      <w:r w:rsidRPr="0077178A">
        <w:rPr>
          <w:rFonts w:eastAsia="Times New Roman" w:cs="Times New Roman"/>
          <w:i/>
          <w:iCs/>
        </w:rPr>
        <w:t xml:space="preserve"> (DSM-5</w:t>
      </w:r>
      <w:r w:rsidR="00044118">
        <w:rPr>
          <w:rFonts w:eastAsia="Times New Roman" w:cs="Times New Roman"/>
          <w:i/>
          <w:iCs/>
        </w:rPr>
        <w:t>-TR</w:t>
      </w:r>
      <w:r w:rsidRPr="0077178A">
        <w:rPr>
          <w:rFonts w:eastAsia="Times New Roman" w:cs="Times New Roman"/>
          <w:i/>
          <w:iCs/>
        </w:rPr>
        <w:t>®)</w:t>
      </w:r>
      <w:r w:rsidRPr="0077178A">
        <w:rPr>
          <w:rFonts w:eastAsia="Times New Roman" w:cs="Times New Roman"/>
        </w:rPr>
        <w:t>. American Psychiatric Publishing.</w:t>
      </w:r>
    </w:p>
    <w:p w14:paraId="1D5C7712" w14:textId="77777777" w:rsidR="00980EC1" w:rsidRPr="0077178A" w:rsidRDefault="00980EC1" w:rsidP="00980EC1">
      <w:pPr>
        <w:ind w:left="720" w:hanging="720"/>
        <w:rPr>
          <w:rFonts w:eastAsia="Times New Roman" w:cs="Times New Roman"/>
        </w:rPr>
      </w:pPr>
      <w:r w:rsidRPr="0077178A">
        <w:rPr>
          <w:rFonts w:eastAsia="Times New Roman" w:cs="Times New Roman"/>
        </w:rPr>
        <w:t xml:space="preserve">Anders, Sari M. van. 2015. “Beyond Sexual Orientation: Integrating Gender/Sex and Diverse Sexualities via Sexual Configurations Theory.” </w:t>
      </w:r>
      <w:r w:rsidRPr="0077178A">
        <w:rPr>
          <w:rFonts w:eastAsia="Times New Roman" w:cs="Times New Roman"/>
          <w:i/>
          <w:iCs/>
        </w:rPr>
        <w:t>Archives of Sexual Behavior</w:t>
      </w:r>
      <w:r w:rsidRPr="0077178A">
        <w:rPr>
          <w:rFonts w:eastAsia="Times New Roman" w:cs="Times New Roman"/>
        </w:rPr>
        <w:t xml:space="preserve"> 44 (5): 1177–1213. </w:t>
      </w:r>
      <w:hyperlink r:id="rId10" w:history="1">
        <w:r w:rsidRPr="0077178A">
          <w:rPr>
            <w:rFonts w:eastAsia="Times New Roman" w:cs="Times New Roman"/>
            <w:color w:val="0000FF"/>
            <w:u w:val="single"/>
          </w:rPr>
          <w:t>https://doi.org/10.1007/s10508-015-0490-8</w:t>
        </w:r>
      </w:hyperlink>
      <w:r w:rsidRPr="0077178A">
        <w:rPr>
          <w:rFonts w:eastAsia="Times New Roman" w:cs="Times New Roman"/>
        </w:rPr>
        <w:t>.</w:t>
      </w:r>
    </w:p>
    <w:p w14:paraId="7F50BE62" w14:textId="7F4B4508" w:rsidR="00980EC1" w:rsidRPr="0077178A" w:rsidRDefault="00980EC1" w:rsidP="00980EC1">
      <w:pPr>
        <w:ind w:left="720" w:hanging="720"/>
        <w:rPr>
          <w:rFonts w:eastAsia="Times New Roman" w:cs="Times New Roman"/>
        </w:rPr>
      </w:pPr>
      <w:r w:rsidRPr="0077178A">
        <w:rPr>
          <w:rFonts w:eastAsia="Times New Roman" w:cs="Times New Roman"/>
        </w:rPr>
        <w:t xml:space="preserve">Austin, Ashley, Joshua </w:t>
      </w:r>
      <w:proofErr w:type="spellStart"/>
      <w:r w:rsidRPr="0077178A">
        <w:rPr>
          <w:rFonts w:eastAsia="Times New Roman" w:cs="Times New Roman"/>
        </w:rPr>
        <w:t>Holzworth</w:t>
      </w:r>
      <w:proofErr w:type="spellEnd"/>
      <w:r w:rsidRPr="0077178A">
        <w:rPr>
          <w:rFonts w:eastAsia="Times New Roman" w:cs="Times New Roman"/>
        </w:rPr>
        <w:t xml:space="preserve">, and Ryan </w:t>
      </w:r>
      <w:proofErr w:type="spellStart"/>
      <w:r w:rsidRPr="0077178A">
        <w:rPr>
          <w:rFonts w:eastAsia="Times New Roman" w:cs="Times New Roman"/>
        </w:rPr>
        <w:t>Papciak</w:t>
      </w:r>
      <w:proofErr w:type="spellEnd"/>
      <w:r w:rsidRPr="0077178A">
        <w:rPr>
          <w:rFonts w:eastAsia="Times New Roman" w:cs="Times New Roman"/>
        </w:rPr>
        <w:t xml:space="preserve">. 2022. “Beyond Diagnosis: </w:t>
      </w:r>
      <w:r w:rsidR="00C364B6">
        <w:rPr>
          <w:rFonts w:eastAsia="Times New Roman" w:cs="Times New Roman"/>
        </w:rPr>
        <w:t>‘</w:t>
      </w:r>
      <w:r w:rsidRPr="0077178A">
        <w:rPr>
          <w:rFonts w:eastAsia="Times New Roman" w:cs="Times New Roman"/>
        </w:rPr>
        <w:t>Gender Dysphoria Feels like a Living Hell, a Nightmare One Cannot Ever Wake up From.</w:t>
      </w:r>
      <w:r w:rsidR="00C364B6">
        <w:rPr>
          <w:rFonts w:eastAsia="Times New Roman" w:cs="Times New Roman"/>
        </w:rPr>
        <w:t>’</w:t>
      </w:r>
      <w:r w:rsidRPr="0077178A">
        <w:rPr>
          <w:rFonts w:eastAsia="Times New Roman" w:cs="Times New Roman"/>
        </w:rPr>
        <w:t xml:space="preserve">” </w:t>
      </w:r>
      <w:r w:rsidRPr="0077178A">
        <w:rPr>
          <w:rFonts w:eastAsia="Times New Roman" w:cs="Times New Roman"/>
          <w:i/>
          <w:iCs/>
        </w:rPr>
        <w:t>Psychology of Sexual Orientation and Gender Diversity</w:t>
      </w:r>
      <w:r w:rsidRPr="0077178A">
        <w:rPr>
          <w:rFonts w:eastAsia="Times New Roman" w:cs="Times New Roman"/>
        </w:rPr>
        <w:t xml:space="preserve"> 9: 12–20. </w:t>
      </w:r>
      <w:hyperlink r:id="rId11" w:history="1">
        <w:r w:rsidRPr="0077178A">
          <w:rPr>
            <w:rFonts w:eastAsia="Times New Roman" w:cs="Times New Roman"/>
            <w:color w:val="0000FF"/>
            <w:u w:val="single"/>
          </w:rPr>
          <w:t>https://doi.org/10.1037/sgd0000460</w:t>
        </w:r>
      </w:hyperlink>
      <w:r w:rsidRPr="0077178A">
        <w:rPr>
          <w:rFonts w:eastAsia="Times New Roman" w:cs="Times New Roman"/>
        </w:rPr>
        <w:t>.</w:t>
      </w:r>
    </w:p>
    <w:p w14:paraId="57A4B56E" w14:textId="77777777" w:rsidR="00980EC1" w:rsidRPr="0077178A" w:rsidRDefault="00980EC1" w:rsidP="00980EC1">
      <w:pPr>
        <w:ind w:left="720" w:hanging="720"/>
        <w:rPr>
          <w:rFonts w:eastAsia="Times New Roman" w:cs="Times New Roman"/>
        </w:rPr>
      </w:pPr>
      <w:proofErr w:type="spellStart"/>
      <w:r w:rsidRPr="0077178A">
        <w:rPr>
          <w:rFonts w:eastAsia="Times New Roman" w:cs="Times New Roman"/>
        </w:rPr>
        <w:t>Bariola</w:t>
      </w:r>
      <w:proofErr w:type="spellEnd"/>
      <w:r w:rsidRPr="0077178A">
        <w:rPr>
          <w:rFonts w:eastAsia="Times New Roman" w:cs="Times New Roman"/>
        </w:rPr>
        <w:t xml:space="preserve">, Emily, Anthony Lyons, William Leonard, Marian Pitts, Paul Badcock, and Murray Couch. 2015. “Demographic and Psychosocial Factors Associated With Psychological Distress and Resilience Among Transgender Individuals.” </w:t>
      </w:r>
      <w:r w:rsidRPr="0077178A">
        <w:rPr>
          <w:rFonts w:eastAsia="Times New Roman" w:cs="Times New Roman"/>
          <w:i/>
          <w:iCs/>
        </w:rPr>
        <w:t>American Journal of Public Health</w:t>
      </w:r>
      <w:r w:rsidRPr="0077178A">
        <w:rPr>
          <w:rFonts w:eastAsia="Times New Roman" w:cs="Times New Roman"/>
        </w:rPr>
        <w:t xml:space="preserve"> 105 (10): 2108–16. </w:t>
      </w:r>
      <w:hyperlink r:id="rId12" w:history="1">
        <w:r w:rsidRPr="0077178A">
          <w:rPr>
            <w:rFonts w:eastAsia="Times New Roman" w:cs="Times New Roman"/>
            <w:color w:val="0000FF"/>
            <w:u w:val="single"/>
          </w:rPr>
          <w:t>https://doi.org/10.2105/AJPH.2015.302763</w:t>
        </w:r>
      </w:hyperlink>
      <w:r w:rsidRPr="0077178A">
        <w:rPr>
          <w:rFonts w:eastAsia="Times New Roman" w:cs="Times New Roman"/>
        </w:rPr>
        <w:t>.</w:t>
      </w:r>
    </w:p>
    <w:p w14:paraId="64D1124D" w14:textId="077FD2D2" w:rsidR="00980EC1" w:rsidRPr="0077178A" w:rsidRDefault="00980EC1" w:rsidP="00980EC1">
      <w:pPr>
        <w:ind w:left="720" w:hanging="720"/>
        <w:rPr>
          <w:rFonts w:eastAsia="Times New Roman" w:cs="Times New Roman"/>
        </w:rPr>
      </w:pPr>
      <w:proofErr w:type="spellStart"/>
      <w:r w:rsidRPr="0077178A">
        <w:rPr>
          <w:rFonts w:eastAsia="Times New Roman" w:cs="Times New Roman"/>
        </w:rPr>
        <w:t>Bockting</w:t>
      </w:r>
      <w:proofErr w:type="spellEnd"/>
      <w:r w:rsidRPr="0077178A">
        <w:rPr>
          <w:rFonts w:eastAsia="Times New Roman" w:cs="Times New Roman"/>
        </w:rPr>
        <w:t xml:space="preserve">, Walter, Renato </w:t>
      </w:r>
      <w:proofErr w:type="spellStart"/>
      <w:r w:rsidRPr="0077178A">
        <w:rPr>
          <w:rFonts w:eastAsia="Times New Roman" w:cs="Times New Roman"/>
        </w:rPr>
        <w:t>Barucco</w:t>
      </w:r>
      <w:proofErr w:type="spellEnd"/>
      <w:r w:rsidRPr="0077178A">
        <w:rPr>
          <w:rFonts w:eastAsia="Times New Roman" w:cs="Times New Roman"/>
        </w:rPr>
        <w:t xml:space="preserve">, Allen LeBlanc, Anneliese Singh, William Mellman, Curtis Dolezal, and </w:t>
      </w:r>
      <w:proofErr w:type="spellStart"/>
      <w:r w:rsidRPr="0077178A">
        <w:rPr>
          <w:rFonts w:eastAsia="Times New Roman" w:cs="Times New Roman"/>
        </w:rPr>
        <w:t>Anke</w:t>
      </w:r>
      <w:proofErr w:type="spellEnd"/>
      <w:r w:rsidRPr="0077178A">
        <w:rPr>
          <w:rFonts w:eastAsia="Times New Roman" w:cs="Times New Roman"/>
        </w:rPr>
        <w:t xml:space="preserve"> Ehrhardt. 2020. “Sociopolitical Change and Transgender People</w:t>
      </w:r>
      <w:r w:rsidR="00C364B6">
        <w:rPr>
          <w:rFonts w:eastAsia="Times New Roman" w:cs="Times New Roman"/>
        </w:rPr>
        <w:t>’</w:t>
      </w:r>
      <w:r w:rsidRPr="0077178A">
        <w:rPr>
          <w:rFonts w:eastAsia="Times New Roman" w:cs="Times New Roman"/>
        </w:rPr>
        <w:t xml:space="preserve">s Perceptions of Vulnerability and Resilience.” </w:t>
      </w:r>
      <w:r w:rsidRPr="0077178A">
        <w:rPr>
          <w:rFonts w:eastAsia="Times New Roman" w:cs="Times New Roman"/>
          <w:i/>
          <w:iCs/>
        </w:rPr>
        <w:t>Sexuality Research and Social Policy</w:t>
      </w:r>
      <w:r w:rsidRPr="0077178A">
        <w:rPr>
          <w:rFonts w:eastAsia="Times New Roman" w:cs="Times New Roman"/>
        </w:rPr>
        <w:t xml:space="preserve"> 17 (1): 162–74. </w:t>
      </w:r>
      <w:hyperlink r:id="rId13" w:history="1">
        <w:r w:rsidRPr="0077178A">
          <w:rPr>
            <w:rFonts w:eastAsia="Times New Roman" w:cs="Times New Roman"/>
            <w:color w:val="0000FF"/>
            <w:u w:val="single"/>
          </w:rPr>
          <w:t>https://doi.org/10.1007/s13178-019-00381-5</w:t>
        </w:r>
      </w:hyperlink>
      <w:r w:rsidRPr="0077178A">
        <w:rPr>
          <w:rFonts w:eastAsia="Times New Roman" w:cs="Times New Roman"/>
        </w:rPr>
        <w:t>.</w:t>
      </w:r>
    </w:p>
    <w:p w14:paraId="43B80FE7" w14:textId="77777777" w:rsidR="00980EC1" w:rsidRPr="0077178A" w:rsidRDefault="00980EC1" w:rsidP="00980EC1">
      <w:pPr>
        <w:ind w:left="720" w:hanging="720"/>
        <w:rPr>
          <w:rFonts w:eastAsia="Times New Roman" w:cs="Times New Roman"/>
        </w:rPr>
      </w:pPr>
      <w:proofErr w:type="spellStart"/>
      <w:r w:rsidRPr="0077178A">
        <w:rPr>
          <w:rFonts w:eastAsia="Times New Roman" w:cs="Times New Roman"/>
        </w:rPr>
        <w:t>Bockting</w:t>
      </w:r>
      <w:proofErr w:type="spellEnd"/>
      <w:r w:rsidRPr="0077178A">
        <w:rPr>
          <w:rFonts w:eastAsia="Times New Roman" w:cs="Times New Roman"/>
        </w:rPr>
        <w:t xml:space="preserve">, Walter O., Michael H. Miner, Rebecca E. Swinburne Romine, Autumn Hamilton, and Eli Coleman. 2013. “Stigma, Mental Health, and Resilience in an Online Sample of the US Transgender Population.” </w:t>
      </w:r>
      <w:r w:rsidRPr="0077178A">
        <w:rPr>
          <w:rFonts w:eastAsia="Times New Roman" w:cs="Times New Roman"/>
          <w:i/>
          <w:iCs/>
        </w:rPr>
        <w:t>American Journal of Public Health</w:t>
      </w:r>
      <w:r w:rsidRPr="0077178A">
        <w:rPr>
          <w:rFonts w:eastAsia="Times New Roman" w:cs="Times New Roman"/>
        </w:rPr>
        <w:t xml:space="preserve"> 103 (5): 943–51. </w:t>
      </w:r>
      <w:hyperlink r:id="rId14" w:history="1">
        <w:r w:rsidRPr="0077178A">
          <w:rPr>
            <w:rFonts w:eastAsia="Times New Roman" w:cs="Times New Roman"/>
            <w:color w:val="0000FF"/>
            <w:u w:val="single"/>
          </w:rPr>
          <w:t>https://doi.org/10.2105/AJPH.2013.301241</w:t>
        </w:r>
      </w:hyperlink>
      <w:r w:rsidRPr="0077178A">
        <w:rPr>
          <w:rFonts w:eastAsia="Times New Roman" w:cs="Times New Roman"/>
        </w:rPr>
        <w:t>.</w:t>
      </w:r>
    </w:p>
    <w:p w14:paraId="0746FB65" w14:textId="77777777" w:rsidR="00980EC1" w:rsidRPr="0077178A" w:rsidRDefault="00980EC1" w:rsidP="00980EC1">
      <w:pPr>
        <w:ind w:left="720" w:hanging="720"/>
        <w:rPr>
          <w:rFonts w:eastAsia="Times New Roman" w:cs="Times New Roman"/>
        </w:rPr>
      </w:pPr>
      <w:proofErr w:type="spellStart"/>
      <w:r w:rsidRPr="0077178A">
        <w:rPr>
          <w:rFonts w:eastAsia="Times New Roman" w:cs="Times New Roman"/>
        </w:rPr>
        <w:t>Byne</w:t>
      </w:r>
      <w:proofErr w:type="spellEnd"/>
      <w:r w:rsidRPr="0077178A">
        <w:rPr>
          <w:rFonts w:eastAsia="Times New Roman" w:cs="Times New Roman"/>
        </w:rPr>
        <w:t xml:space="preserve">, William, Dan H. </w:t>
      </w:r>
      <w:proofErr w:type="spellStart"/>
      <w:r w:rsidRPr="0077178A">
        <w:rPr>
          <w:rFonts w:eastAsia="Times New Roman" w:cs="Times New Roman"/>
        </w:rPr>
        <w:t>Karasic</w:t>
      </w:r>
      <w:proofErr w:type="spellEnd"/>
      <w:r w:rsidRPr="0077178A">
        <w:rPr>
          <w:rFonts w:eastAsia="Times New Roman" w:cs="Times New Roman"/>
        </w:rPr>
        <w:t xml:space="preserve">, Eli Coleman, A. Evan </w:t>
      </w:r>
      <w:proofErr w:type="spellStart"/>
      <w:r w:rsidRPr="0077178A">
        <w:rPr>
          <w:rFonts w:eastAsia="Times New Roman" w:cs="Times New Roman"/>
        </w:rPr>
        <w:t>Eyler</w:t>
      </w:r>
      <w:proofErr w:type="spellEnd"/>
      <w:r w:rsidRPr="0077178A">
        <w:rPr>
          <w:rFonts w:eastAsia="Times New Roman" w:cs="Times New Roman"/>
        </w:rPr>
        <w:t xml:space="preserve">, Jeremy D. Kidd, </w:t>
      </w:r>
      <w:proofErr w:type="spellStart"/>
      <w:r w:rsidRPr="0077178A">
        <w:rPr>
          <w:rFonts w:eastAsia="Times New Roman" w:cs="Times New Roman"/>
        </w:rPr>
        <w:t>Heino</w:t>
      </w:r>
      <w:proofErr w:type="spellEnd"/>
      <w:r w:rsidRPr="0077178A">
        <w:rPr>
          <w:rFonts w:eastAsia="Times New Roman" w:cs="Times New Roman"/>
        </w:rPr>
        <w:t xml:space="preserve"> F.L. Meyer-</w:t>
      </w:r>
      <w:proofErr w:type="spellStart"/>
      <w:r w:rsidRPr="0077178A">
        <w:rPr>
          <w:rFonts w:eastAsia="Times New Roman" w:cs="Times New Roman"/>
        </w:rPr>
        <w:t>Bahlburg</w:t>
      </w:r>
      <w:proofErr w:type="spellEnd"/>
      <w:r w:rsidRPr="0077178A">
        <w:rPr>
          <w:rFonts w:eastAsia="Times New Roman" w:cs="Times New Roman"/>
        </w:rPr>
        <w:t xml:space="preserve">, Richard R. </w:t>
      </w:r>
      <w:proofErr w:type="spellStart"/>
      <w:r w:rsidRPr="0077178A">
        <w:rPr>
          <w:rFonts w:eastAsia="Times New Roman" w:cs="Times New Roman"/>
        </w:rPr>
        <w:t>Pleak</w:t>
      </w:r>
      <w:proofErr w:type="spellEnd"/>
      <w:r w:rsidRPr="0077178A">
        <w:rPr>
          <w:rFonts w:eastAsia="Times New Roman" w:cs="Times New Roman"/>
        </w:rPr>
        <w:t xml:space="preserve">, and Jack Pula. 2018. “Gender Dysphoria in Adults: An Overview and Primer for Psychiatrists.” </w:t>
      </w:r>
      <w:r w:rsidRPr="0077178A">
        <w:rPr>
          <w:rFonts w:eastAsia="Times New Roman" w:cs="Times New Roman"/>
          <w:i/>
          <w:iCs/>
        </w:rPr>
        <w:t>Transgender Health</w:t>
      </w:r>
      <w:r w:rsidRPr="0077178A">
        <w:rPr>
          <w:rFonts w:eastAsia="Times New Roman" w:cs="Times New Roman"/>
        </w:rPr>
        <w:t xml:space="preserve"> 3 (1): 57-A3. </w:t>
      </w:r>
      <w:hyperlink r:id="rId15" w:history="1">
        <w:r w:rsidRPr="0077178A">
          <w:rPr>
            <w:rFonts w:eastAsia="Times New Roman" w:cs="Times New Roman"/>
            <w:color w:val="0000FF"/>
            <w:u w:val="single"/>
          </w:rPr>
          <w:t>https://doi.org/10.1089/trgh.2017.0053</w:t>
        </w:r>
      </w:hyperlink>
      <w:r w:rsidRPr="0077178A">
        <w:rPr>
          <w:rFonts w:eastAsia="Times New Roman" w:cs="Times New Roman"/>
        </w:rPr>
        <w:t>.</w:t>
      </w:r>
    </w:p>
    <w:p w14:paraId="49270970" w14:textId="77777777" w:rsidR="00980EC1" w:rsidRPr="0077178A" w:rsidRDefault="00980EC1" w:rsidP="00980EC1">
      <w:pPr>
        <w:ind w:left="720" w:hanging="720"/>
        <w:rPr>
          <w:rFonts w:eastAsia="Times New Roman" w:cs="Times New Roman"/>
        </w:rPr>
      </w:pPr>
      <w:r w:rsidRPr="0077178A">
        <w:rPr>
          <w:rFonts w:eastAsia="Times New Roman" w:cs="Times New Roman"/>
        </w:rPr>
        <w:t>Cohen-</w:t>
      </w:r>
      <w:proofErr w:type="spellStart"/>
      <w:r w:rsidRPr="0077178A">
        <w:rPr>
          <w:rFonts w:eastAsia="Times New Roman" w:cs="Times New Roman"/>
        </w:rPr>
        <w:t>Ketteinis</w:t>
      </w:r>
      <w:proofErr w:type="spellEnd"/>
      <w:r w:rsidRPr="0077178A">
        <w:rPr>
          <w:rFonts w:eastAsia="Times New Roman" w:cs="Times New Roman"/>
        </w:rPr>
        <w:t xml:space="preserve">, Peggy T., and Stephanie H. M. van </w:t>
      </w:r>
      <w:proofErr w:type="spellStart"/>
      <w:r w:rsidRPr="0077178A">
        <w:rPr>
          <w:rFonts w:eastAsia="Times New Roman" w:cs="Times New Roman"/>
        </w:rPr>
        <w:t>Goozen</w:t>
      </w:r>
      <w:proofErr w:type="spellEnd"/>
      <w:r w:rsidRPr="0077178A">
        <w:rPr>
          <w:rFonts w:eastAsia="Times New Roman" w:cs="Times New Roman"/>
        </w:rPr>
        <w:t xml:space="preserve">. 1997. “Sex Reassignment of Adolescent Transsexuals: A Follow-up Study.” </w:t>
      </w:r>
      <w:r w:rsidRPr="0077178A">
        <w:rPr>
          <w:rFonts w:eastAsia="Times New Roman" w:cs="Times New Roman"/>
          <w:i/>
          <w:iCs/>
        </w:rPr>
        <w:t>Journal of the American Academy of Child &amp; Adolescent Psychiatry</w:t>
      </w:r>
      <w:r w:rsidRPr="0077178A">
        <w:rPr>
          <w:rFonts w:eastAsia="Times New Roman" w:cs="Times New Roman"/>
        </w:rPr>
        <w:t xml:space="preserve"> 36 (2): 263–71. </w:t>
      </w:r>
      <w:hyperlink r:id="rId16" w:history="1">
        <w:r w:rsidRPr="0077178A">
          <w:rPr>
            <w:rFonts w:eastAsia="Times New Roman" w:cs="Times New Roman"/>
            <w:color w:val="0000FF"/>
            <w:u w:val="single"/>
          </w:rPr>
          <w:t>https://doi.org/10.1097/00004583-199702000-00017</w:t>
        </w:r>
      </w:hyperlink>
      <w:r w:rsidRPr="0077178A">
        <w:rPr>
          <w:rFonts w:eastAsia="Times New Roman" w:cs="Times New Roman"/>
        </w:rPr>
        <w:t>.</w:t>
      </w:r>
    </w:p>
    <w:p w14:paraId="79A1ECEB" w14:textId="6F6455B9" w:rsidR="00980EC1" w:rsidRDefault="00980EC1" w:rsidP="00980EC1">
      <w:pPr>
        <w:ind w:left="720" w:hanging="720"/>
        <w:rPr>
          <w:rFonts w:cs="Times New Roman"/>
        </w:rPr>
      </w:pPr>
      <w:r>
        <w:t xml:space="preserve">Coleman, Eli, Walter </w:t>
      </w:r>
      <w:proofErr w:type="spellStart"/>
      <w:r>
        <w:t>Bockting</w:t>
      </w:r>
      <w:proofErr w:type="spellEnd"/>
      <w:r>
        <w:t xml:space="preserve">, Marsha </w:t>
      </w:r>
      <w:proofErr w:type="spellStart"/>
      <w:r>
        <w:t>Botzer</w:t>
      </w:r>
      <w:proofErr w:type="spellEnd"/>
      <w:r>
        <w:t>, Peggy Cohen-</w:t>
      </w:r>
      <w:proofErr w:type="spellStart"/>
      <w:r>
        <w:t>Kettenis</w:t>
      </w:r>
      <w:proofErr w:type="spellEnd"/>
      <w:r>
        <w:t xml:space="preserve">, </w:t>
      </w:r>
      <w:proofErr w:type="spellStart"/>
      <w:r>
        <w:t>Griet</w:t>
      </w:r>
      <w:proofErr w:type="spellEnd"/>
      <w:r>
        <w:t xml:space="preserve"> </w:t>
      </w:r>
      <w:proofErr w:type="spellStart"/>
      <w:r>
        <w:t>DeCuypere</w:t>
      </w:r>
      <w:proofErr w:type="spellEnd"/>
      <w:r>
        <w:t xml:space="preserve">, Jamie Feldman, Lin Fraser, et al. 2012. “Standards of Care for the Health of Transsexual, Transgender, and Gender-Nonconforming People, Version 7.” </w:t>
      </w:r>
      <w:r>
        <w:rPr>
          <w:i/>
          <w:iCs/>
        </w:rPr>
        <w:t>International Journal of Transgenderism</w:t>
      </w:r>
      <w:r>
        <w:t xml:space="preserve"> 13 (4): 165–232. </w:t>
      </w:r>
      <w:hyperlink r:id="rId17" w:history="1">
        <w:r>
          <w:rPr>
            <w:rStyle w:val="Hyperlink"/>
          </w:rPr>
          <w:t>https://doi.org/10.1080/15532739.2011.700873</w:t>
        </w:r>
      </w:hyperlink>
      <w:r>
        <w:t>.</w:t>
      </w:r>
    </w:p>
    <w:p w14:paraId="540AEE67" w14:textId="77777777" w:rsidR="00980EC1" w:rsidRPr="0077178A" w:rsidRDefault="00980EC1" w:rsidP="00980EC1">
      <w:pPr>
        <w:ind w:left="720" w:hanging="720"/>
        <w:rPr>
          <w:rFonts w:eastAsia="Times New Roman" w:cs="Times New Roman"/>
        </w:rPr>
      </w:pPr>
      <w:r w:rsidRPr="0077178A">
        <w:rPr>
          <w:rFonts w:eastAsia="Times New Roman" w:cs="Times New Roman"/>
        </w:rPr>
        <w:t xml:space="preserve">Cooper, Kate, Ailsa Russell, William Mandy, and Catherine Butler. 2020. “The Phenomenology of Gender Dysphoria in Adults: A Systematic Review and Meta-Synthesis.” </w:t>
      </w:r>
      <w:r w:rsidRPr="0077178A">
        <w:rPr>
          <w:rFonts w:eastAsia="Times New Roman" w:cs="Times New Roman"/>
          <w:i/>
          <w:iCs/>
        </w:rPr>
        <w:t>Clinical Psychology Review</w:t>
      </w:r>
      <w:r w:rsidRPr="0077178A">
        <w:rPr>
          <w:rFonts w:eastAsia="Times New Roman" w:cs="Times New Roman"/>
        </w:rPr>
        <w:t xml:space="preserve"> 80 (August): 101875. </w:t>
      </w:r>
      <w:hyperlink r:id="rId18" w:history="1">
        <w:r w:rsidRPr="0077178A">
          <w:rPr>
            <w:rFonts w:eastAsia="Times New Roman" w:cs="Times New Roman"/>
            <w:color w:val="0000FF"/>
            <w:u w:val="single"/>
          </w:rPr>
          <w:t>https://doi.org/10.1016/j.cpr.2020.101875</w:t>
        </w:r>
      </w:hyperlink>
      <w:r w:rsidRPr="0077178A">
        <w:rPr>
          <w:rFonts w:eastAsia="Times New Roman" w:cs="Times New Roman"/>
        </w:rPr>
        <w:t>.</w:t>
      </w:r>
    </w:p>
    <w:p w14:paraId="4268C926" w14:textId="77777777" w:rsidR="00980EC1" w:rsidRPr="0077178A" w:rsidRDefault="00980EC1" w:rsidP="00980EC1">
      <w:pPr>
        <w:ind w:left="720" w:hanging="720"/>
        <w:rPr>
          <w:rFonts w:eastAsia="Times New Roman" w:cs="Times New Roman"/>
        </w:rPr>
      </w:pPr>
      <w:r w:rsidRPr="0077178A">
        <w:rPr>
          <w:rFonts w:eastAsia="Times New Roman" w:cs="Times New Roman"/>
        </w:rPr>
        <w:lastRenderedPageBreak/>
        <w:t xml:space="preserve">Davy, Zowie. 2015. “The DSM-5 and the Politics of Diagnosing </w:t>
      </w:r>
      <w:proofErr w:type="spellStart"/>
      <w:r w:rsidRPr="0077178A">
        <w:rPr>
          <w:rFonts w:eastAsia="Times New Roman" w:cs="Times New Roman"/>
        </w:rPr>
        <w:t>Transpeople</w:t>
      </w:r>
      <w:proofErr w:type="spellEnd"/>
      <w:r w:rsidRPr="0077178A">
        <w:rPr>
          <w:rFonts w:eastAsia="Times New Roman" w:cs="Times New Roman"/>
        </w:rPr>
        <w:t xml:space="preserve">.” </w:t>
      </w:r>
      <w:r w:rsidRPr="0077178A">
        <w:rPr>
          <w:rFonts w:eastAsia="Times New Roman" w:cs="Times New Roman"/>
          <w:i/>
          <w:iCs/>
        </w:rPr>
        <w:t>Archives of Sexual Behavior</w:t>
      </w:r>
      <w:r w:rsidRPr="0077178A">
        <w:rPr>
          <w:rFonts w:eastAsia="Times New Roman" w:cs="Times New Roman"/>
        </w:rPr>
        <w:t xml:space="preserve"> 44 (5): 1165–76. </w:t>
      </w:r>
      <w:hyperlink r:id="rId19" w:history="1">
        <w:r w:rsidRPr="0077178A">
          <w:rPr>
            <w:rFonts w:eastAsia="Times New Roman" w:cs="Times New Roman"/>
            <w:color w:val="0000FF"/>
            <w:u w:val="single"/>
          </w:rPr>
          <w:t>https://doi.org/10.1007/s10508-015-0573-6</w:t>
        </w:r>
      </w:hyperlink>
      <w:r w:rsidRPr="0077178A">
        <w:rPr>
          <w:rFonts w:eastAsia="Times New Roman" w:cs="Times New Roman"/>
        </w:rPr>
        <w:t>.</w:t>
      </w:r>
    </w:p>
    <w:p w14:paraId="48F98794" w14:textId="77777777" w:rsidR="00980EC1" w:rsidRPr="0077178A" w:rsidRDefault="00980EC1" w:rsidP="00980EC1">
      <w:pPr>
        <w:ind w:left="720" w:hanging="720"/>
        <w:rPr>
          <w:rFonts w:eastAsia="Times New Roman" w:cs="Times New Roman"/>
        </w:rPr>
      </w:pPr>
      <w:r w:rsidRPr="0077178A">
        <w:rPr>
          <w:rFonts w:eastAsia="Times New Roman" w:cs="Times New Roman"/>
        </w:rPr>
        <w:t xml:space="preserve">Davy, Zowie, and Michael Toze. 2018. “What Is Gender Dysphoria? A Critical Systematic Narrative Review.” </w:t>
      </w:r>
      <w:r w:rsidRPr="0077178A">
        <w:rPr>
          <w:rFonts w:eastAsia="Times New Roman" w:cs="Times New Roman"/>
          <w:i/>
          <w:iCs/>
        </w:rPr>
        <w:t>Transgender Health</w:t>
      </w:r>
      <w:r w:rsidRPr="0077178A">
        <w:rPr>
          <w:rFonts w:eastAsia="Times New Roman" w:cs="Times New Roman"/>
        </w:rPr>
        <w:t xml:space="preserve"> 3 (1): 159–69. </w:t>
      </w:r>
      <w:hyperlink r:id="rId20" w:history="1">
        <w:r w:rsidRPr="0077178A">
          <w:rPr>
            <w:rFonts w:eastAsia="Times New Roman" w:cs="Times New Roman"/>
            <w:color w:val="0000FF"/>
            <w:u w:val="single"/>
          </w:rPr>
          <w:t>https://doi.org/10.1089/trgh.2018.0014</w:t>
        </w:r>
      </w:hyperlink>
      <w:r w:rsidRPr="0077178A">
        <w:rPr>
          <w:rFonts w:eastAsia="Times New Roman" w:cs="Times New Roman"/>
        </w:rPr>
        <w:t>.</w:t>
      </w:r>
    </w:p>
    <w:p w14:paraId="27D30B43" w14:textId="77777777" w:rsidR="00980EC1" w:rsidRPr="0077178A" w:rsidRDefault="00980EC1" w:rsidP="00980EC1">
      <w:pPr>
        <w:ind w:left="720" w:hanging="720"/>
        <w:rPr>
          <w:rFonts w:eastAsia="Times New Roman" w:cs="Times New Roman"/>
        </w:rPr>
      </w:pPr>
      <w:proofErr w:type="spellStart"/>
      <w:r w:rsidRPr="0077178A">
        <w:rPr>
          <w:rFonts w:eastAsia="Times New Roman" w:cs="Times New Roman"/>
        </w:rPr>
        <w:t>Deogracias</w:t>
      </w:r>
      <w:proofErr w:type="spellEnd"/>
      <w:r w:rsidRPr="0077178A">
        <w:rPr>
          <w:rFonts w:eastAsia="Times New Roman" w:cs="Times New Roman"/>
        </w:rPr>
        <w:t xml:space="preserve">, Joseph J., Laurel L. Johnson, </w:t>
      </w:r>
      <w:proofErr w:type="spellStart"/>
      <w:r w:rsidRPr="0077178A">
        <w:rPr>
          <w:rFonts w:eastAsia="Times New Roman" w:cs="Times New Roman"/>
        </w:rPr>
        <w:t>Heino</w:t>
      </w:r>
      <w:proofErr w:type="spellEnd"/>
      <w:r w:rsidRPr="0077178A">
        <w:rPr>
          <w:rFonts w:eastAsia="Times New Roman" w:cs="Times New Roman"/>
        </w:rPr>
        <w:t xml:space="preserve"> F. L. Meyer-</w:t>
      </w:r>
      <w:proofErr w:type="spellStart"/>
      <w:r w:rsidRPr="0077178A">
        <w:rPr>
          <w:rFonts w:eastAsia="Times New Roman" w:cs="Times New Roman"/>
        </w:rPr>
        <w:t>Bahlburg</w:t>
      </w:r>
      <w:proofErr w:type="spellEnd"/>
      <w:r w:rsidRPr="0077178A">
        <w:rPr>
          <w:rFonts w:eastAsia="Times New Roman" w:cs="Times New Roman"/>
        </w:rPr>
        <w:t xml:space="preserve">, Suzanne J. Kessler, Justine M. Schober, and Kenneth J. Zucker. 2007. “The Gender Identity/Gender Dysphoria Questionnaire for Adolescents and Adults.” </w:t>
      </w:r>
      <w:r w:rsidRPr="0077178A">
        <w:rPr>
          <w:rFonts w:eastAsia="Times New Roman" w:cs="Times New Roman"/>
          <w:i/>
          <w:iCs/>
        </w:rPr>
        <w:t>The Journal of Sex Research</w:t>
      </w:r>
      <w:r w:rsidRPr="0077178A">
        <w:rPr>
          <w:rFonts w:eastAsia="Times New Roman" w:cs="Times New Roman"/>
        </w:rPr>
        <w:t xml:space="preserve"> 44 (4): 370–79. </w:t>
      </w:r>
      <w:hyperlink r:id="rId21" w:history="1">
        <w:r w:rsidRPr="0077178A">
          <w:rPr>
            <w:rFonts w:eastAsia="Times New Roman" w:cs="Times New Roman"/>
            <w:color w:val="0000FF"/>
            <w:u w:val="single"/>
          </w:rPr>
          <w:t>https://doi.org/10.1080/00224490701586730</w:t>
        </w:r>
      </w:hyperlink>
      <w:r w:rsidRPr="0077178A">
        <w:rPr>
          <w:rFonts w:eastAsia="Times New Roman" w:cs="Times New Roman"/>
        </w:rPr>
        <w:t>.</w:t>
      </w:r>
    </w:p>
    <w:p w14:paraId="6663E2A7" w14:textId="77777777" w:rsidR="00980EC1" w:rsidRPr="0077178A" w:rsidRDefault="00980EC1" w:rsidP="00980EC1">
      <w:pPr>
        <w:ind w:left="720" w:hanging="720"/>
        <w:rPr>
          <w:rFonts w:eastAsia="Times New Roman" w:cs="Times New Roman"/>
        </w:rPr>
      </w:pPr>
      <w:r w:rsidRPr="0077178A">
        <w:rPr>
          <w:rFonts w:eastAsia="Times New Roman" w:cs="Times New Roman"/>
        </w:rPr>
        <w:t xml:space="preserve">Dewey, Jodie M., and Melissa M. </w:t>
      </w:r>
      <w:proofErr w:type="spellStart"/>
      <w:r w:rsidRPr="0077178A">
        <w:rPr>
          <w:rFonts w:eastAsia="Times New Roman" w:cs="Times New Roman"/>
        </w:rPr>
        <w:t>Gesbeck</w:t>
      </w:r>
      <w:proofErr w:type="spellEnd"/>
      <w:r w:rsidRPr="0077178A">
        <w:rPr>
          <w:rFonts w:eastAsia="Times New Roman" w:cs="Times New Roman"/>
        </w:rPr>
        <w:t>. 2017. “(</w:t>
      </w:r>
      <w:proofErr w:type="spellStart"/>
      <w:r w:rsidRPr="0077178A">
        <w:rPr>
          <w:rFonts w:eastAsia="Times New Roman" w:cs="Times New Roman"/>
        </w:rPr>
        <w:t>Dys</w:t>
      </w:r>
      <w:proofErr w:type="spellEnd"/>
      <w:r w:rsidRPr="0077178A">
        <w:rPr>
          <w:rFonts w:eastAsia="Times New Roman" w:cs="Times New Roman"/>
        </w:rPr>
        <w:t xml:space="preserve">) Functional Diagnosing: Mental Health Diagnosis, Medicalization, and the Making of Transgender Patients.” </w:t>
      </w:r>
      <w:r w:rsidRPr="0077178A">
        <w:rPr>
          <w:rFonts w:eastAsia="Times New Roman" w:cs="Times New Roman"/>
          <w:i/>
          <w:iCs/>
        </w:rPr>
        <w:t>Humanity &amp; Society</w:t>
      </w:r>
      <w:r w:rsidRPr="0077178A">
        <w:rPr>
          <w:rFonts w:eastAsia="Times New Roman" w:cs="Times New Roman"/>
        </w:rPr>
        <w:t xml:space="preserve"> 41 (1): 37–72. </w:t>
      </w:r>
      <w:hyperlink r:id="rId22" w:history="1">
        <w:r w:rsidRPr="0077178A">
          <w:rPr>
            <w:rFonts w:eastAsia="Times New Roman" w:cs="Times New Roman"/>
            <w:color w:val="0000FF"/>
            <w:u w:val="single"/>
          </w:rPr>
          <w:t>https://doi.org/10.1177/0160597615604651</w:t>
        </w:r>
      </w:hyperlink>
      <w:r w:rsidRPr="0077178A">
        <w:rPr>
          <w:rFonts w:eastAsia="Times New Roman" w:cs="Times New Roman"/>
        </w:rPr>
        <w:t>.</w:t>
      </w:r>
    </w:p>
    <w:p w14:paraId="20FB0E4A" w14:textId="77777777" w:rsidR="00980EC1" w:rsidRPr="0077178A" w:rsidRDefault="00980EC1" w:rsidP="00980EC1">
      <w:pPr>
        <w:ind w:left="720" w:hanging="720"/>
        <w:rPr>
          <w:rFonts w:eastAsia="Times New Roman" w:cs="Times New Roman"/>
        </w:rPr>
      </w:pPr>
      <w:proofErr w:type="spellStart"/>
      <w:r w:rsidRPr="0077178A">
        <w:rPr>
          <w:rFonts w:eastAsia="Times New Roman" w:cs="Times New Roman"/>
        </w:rPr>
        <w:t>Galupo</w:t>
      </w:r>
      <w:proofErr w:type="spellEnd"/>
      <w:r w:rsidRPr="0077178A">
        <w:rPr>
          <w:rFonts w:eastAsia="Times New Roman" w:cs="Times New Roman"/>
        </w:rPr>
        <w:t xml:space="preserve">, M. Paz, and Lex </w:t>
      </w:r>
      <w:proofErr w:type="spellStart"/>
      <w:r w:rsidRPr="0077178A">
        <w:rPr>
          <w:rFonts w:eastAsia="Times New Roman" w:cs="Times New Roman"/>
        </w:rPr>
        <w:t>Pulice</w:t>
      </w:r>
      <w:proofErr w:type="spellEnd"/>
      <w:r w:rsidRPr="0077178A">
        <w:rPr>
          <w:rFonts w:eastAsia="Times New Roman" w:cs="Times New Roman"/>
        </w:rPr>
        <w:t xml:space="preserve">-Farrow. 2020. “Subjective Ratings of Gender Dysphoria Scales by Transgender Individuals.” </w:t>
      </w:r>
      <w:r w:rsidRPr="0077178A">
        <w:rPr>
          <w:rFonts w:eastAsia="Times New Roman" w:cs="Times New Roman"/>
          <w:i/>
          <w:iCs/>
        </w:rPr>
        <w:t>Archives of Sexual Behavior</w:t>
      </w:r>
      <w:r w:rsidRPr="0077178A">
        <w:rPr>
          <w:rFonts w:eastAsia="Times New Roman" w:cs="Times New Roman"/>
        </w:rPr>
        <w:t xml:space="preserve"> 49 (2): 479–88. </w:t>
      </w:r>
      <w:hyperlink r:id="rId23" w:history="1">
        <w:r w:rsidRPr="0077178A">
          <w:rPr>
            <w:rFonts w:eastAsia="Times New Roman" w:cs="Times New Roman"/>
            <w:color w:val="0000FF"/>
            <w:u w:val="single"/>
          </w:rPr>
          <w:t>https://doi.org/10.1007/s10508-019-01556-2</w:t>
        </w:r>
      </w:hyperlink>
      <w:r w:rsidRPr="0077178A">
        <w:rPr>
          <w:rFonts w:eastAsia="Times New Roman" w:cs="Times New Roman"/>
        </w:rPr>
        <w:t>.</w:t>
      </w:r>
    </w:p>
    <w:p w14:paraId="5A5FFCC1" w14:textId="53060DC1" w:rsidR="00980EC1" w:rsidRPr="0077178A" w:rsidRDefault="00980EC1" w:rsidP="00980EC1">
      <w:pPr>
        <w:ind w:left="720" w:hanging="720"/>
        <w:rPr>
          <w:rFonts w:eastAsia="Times New Roman" w:cs="Times New Roman"/>
        </w:rPr>
      </w:pPr>
      <w:proofErr w:type="spellStart"/>
      <w:r w:rsidRPr="0077178A">
        <w:rPr>
          <w:rFonts w:eastAsia="Times New Roman" w:cs="Times New Roman"/>
        </w:rPr>
        <w:t>Galupo</w:t>
      </w:r>
      <w:proofErr w:type="spellEnd"/>
      <w:r w:rsidRPr="0077178A">
        <w:rPr>
          <w:rFonts w:eastAsia="Times New Roman" w:cs="Times New Roman"/>
        </w:rPr>
        <w:t xml:space="preserve">, M. Paz, Lex </w:t>
      </w:r>
      <w:proofErr w:type="spellStart"/>
      <w:r w:rsidRPr="0077178A">
        <w:rPr>
          <w:rFonts w:eastAsia="Times New Roman" w:cs="Times New Roman"/>
        </w:rPr>
        <w:t>Pulice</w:t>
      </w:r>
      <w:proofErr w:type="spellEnd"/>
      <w:r w:rsidRPr="0077178A">
        <w:rPr>
          <w:rFonts w:eastAsia="Times New Roman" w:cs="Times New Roman"/>
        </w:rPr>
        <w:t>-Farrow, and Louis Lindley. 2020. “</w:t>
      </w:r>
      <w:r w:rsidR="00C364B6">
        <w:rPr>
          <w:rFonts w:eastAsia="Times New Roman" w:cs="Times New Roman"/>
        </w:rPr>
        <w:t>‘</w:t>
      </w:r>
      <w:r w:rsidRPr="0077178A">
        <w:rPr>
          <w:rFonts w:eastAsia="Times New Roman" w:cs="Times New Roman"/>
        </w:rPr>
        <w:t>Every Time I Get Gendered Male, I Feel a Pain in My Chest</w:t>
      </w:r>
      <w:r w:rsidR="00C364B6">
        <w:rPr>
          <w:rFonts w:eastAsia="Times New Roman" w:cs="Times New Roman"/>
        </w:rPr>
        <w:t>’</w:t>
      </w:r>
      <w:r w:rsidRPr="0077178A">
        <w:rPr>
          <w:rFonts w:eastAsia="Times New Roman" w:cs="Times New Roman"/>
        </w:rPr>
        <w:t xml:space="preserve">: Understanding the Social Context for Gender Dysphoria.” </w:t>
      </w:r>
      <w:r w:rsidRPr="0077178A">
        <w:rPr>
          <w:rFonts w:eastAsia="Times New Roman" w:cs="Times New Roman"/>
          <w:i/>
          <w:iCs/>
        </w:rPr>
        <w:t>Stigma and Health</w:t>
      </w:r>
      <w:r w:rsidRPr="0077178A">
        <w:rPr>
          <w:rFonts w:eastAsia="Times New Roman" w:cs="Times New Roman"/>
        </w:rPr>
        <w:t xml:space="preserve"> 5: 199–208. </w:t>
      </w:r>
      <w:hyperlink r:id="rId24" w:history="1">
        <w:r w:rsidRPr="0077178A">
          <w:rPr>
            <w:rFonts w:eastAsia="Times New Roman" w:cs="Times New Roman"/>
            <w:color w:val="0000FF"/>
            <w:u w:val="single"/>
          </w:rPr>
          <w:t>https://doi.org/10.1037/sah0000189</w:t>
        </w:r>
      </w:hyperlink>
      <w:r w:rsidRPr="0077178A">
        <w:rPr>
          <w:rFonts w:eastAsia="Times New Roman" w:cs="Times New Roman"/>
        </w:rPr>
        <w:t>.</w:t>
      </w:r>
    </w:p>
    <w:p w14:paraId="2F706A15" w14:textId="6428B855" w:rsidR="00980EC1" w:rsidRPr="0077178A" w:rsidRDefault="00980EC1" w:rsidP="00980EC1">
      <w:pPr>
        <w:ind w:left="720" w:hanging="720"/>
        <w:rPr>
          <w:rFonts w:eastAsia="Times New Roman" w:cs="Times New Roman"/>
        </w:rPr>
      </w:pPr>
      <w:proofErr w:type="spellStart"/>
      <w:r w:rsidRPr="0077178A">
        <w:rPr>
          <w:rFonts w:eastAsia="Times New Roman" w:cs="Times New Roman"/>
        </w:rPr>
        <w:t>Gato</w:t>
      </w:r>
      <w:proofErr w:type="spellEnd"/>
      <w:r w:rsidRPr="0077178A">
        <w:rPr>
          <w:rFonts w:eastAsia="Times New Roman" w:cs="Times New Roman"/>
        </w:rPr>
        <w:t xml:space="preserve">, Jorge, Jaime Barrientos, Fiona Tasker, Marina </w:t>
      </w:r>
      <w:proofErr w:type="spellStart"/>
      <w:r w:rsidRPr="0077178A">
        <w:rPr>
          <w:rFonts w:eastAsia="Times New Roman" w:cs="Times New Roman"/>
        </w:rPr>
        <w:t>Miscioscia</w:t>
      </w:r>
      <w:proofErr w:type="spellEnd"/>
      <w:r w:rsidRPr="0077178A">
        <w:rPr>
          <w:rFonts w:eastAsia="Times New Roman" w:cs="Times New Roman"/>
        </w:rPr>
        <w:t xml:space="preserve">, Elder </w:t>
      </w:r>
      <w:proofErr w:type="spellStart"/>
      <w:r w:rsidRPr="0077178A">
        <w:rPr>
          <w:rFonts w:eastAsia="Times New Roman" w:cs="Times New Roman"/>
        </w:rPr>
        <w:t>Cerqueira</w:t>
      </w:r>
      <w:proofErr w:type="spellEnd"/>
      <w:r w:rsidRPr="0077178A">
        <w:rPr>
          <w:rFonts w:eastAsia="Times New Roman" w:cs="Times New Roman"/>
        </w:rPr>
        <w:t xml:space="preserve">-Santos, Anna Malmquist, Daniel </w:t>
      </w:r>
      <w:proofErr w:type="spellStart"/>
      <w:r w:rsidRPr="0077178A">
        <w:rPr>
          <w:rFonts w:eastAsia="Times New Roman" w:cs="Times New Roman"/>
        </w:rPr>
        <w:t>Seabra</w:t>
      </w:r>
      <w:proofErr w:type="spellEnd"/>
      <w:r>
        <w:t>,</w:t>
      </w:r>
      <w:r w:rsidRPr="0077178A">
        <w:rPr>
          <w:rFonts w:eastAsia="Times New Roman" w:cs="Times New Roman"/>
        </w:rPr>
        <w:t xml:space="preserve"> et al. 2021. “Psychosocial Effects of the COVID-19 Pandemic and Mental Health among LGBTQ+ Young Adults: A Cross-Cultural Comparison across Six Nations.” </w:t>
      </w:r>
      <w:r w:rsidRPr="0077178A">
        <w:rPr>
          <w:rFonts w:eastAsia="Times New Roman" w:cs="Times New Roman"/>
          <w:i/>
          <w:iCs/>
        </w:rPr>
        <w:t>Journal of Homosexuality</w:t>
      </w:r>
      <w:r w:rsidRPr="0077178A">
        <w:rPr>
          <w:rFonts w:eastAsia="Times New Roman" w:cs="Times New Roman"/>
        </w:rPr>
        <w:t xml:space="preserve"> 68 (4): 612–30. </w:t>
      </w:r>
      <w:hyperlink r:id="rId25" w:history="1">
        <w:r w:rsidRPr="0077178A">
          <w:rPr>
            <w:rFonts w:eastAsia="Times New Roman" w:cs="Times New Roman"/>
            <w:color w:val="0000FF"/>
            <w:u w:val="single"/>
          </w:rPr>
          <w:t>https://doi.org/10.1080/00918369.2020.1868186</w:t>
        </w:r>
      </w:hyperlink>
      <w:r w:rsidRPr="0077178A">
        <w:rPr>
          <w:rFonts w:eastAsia="Times New Roman" w:cs="Times New Roman"/>
        </w:rPr>
        <w:t>.</w:t>
      </w:r>
    </w:p>
    <w:p w14:paraId="06A265AC" w14:textId="77777777" w:rsidR="00980EC1" w:rsidRPr="0077178A" w:rsidRDefault="00980EC1" w:rsidP="00980EC1">
      <w:pPr>
        <w:ind w:left="720" w:hanging="720"/>
        <w:rPr>
          <w:rFonts w:eastAsia="Times New Roman" w:cs="Times New Roman"/>
        </w:rPr>
      </w:pPr>
      <w:r w:rsidRPr="0077178A">
        <w:rPr>
          <w:rFonts w:eastAsia="Times New Roman" w:cs="Times New Roman"/>
        </w:rPr>
        <w:t xml:space="preserve">Goldbach, Chloe, and Douglas Knutson. 2021. “Gender-Related Minority Stress and Gender Dysphoria: Development and Initial Validation of the Gender Dysphoria Triggers Scale (GDTS).” </w:t>
      </w:r>
      <w:r w:rsidRPr="0077178A">
        <w:rPr>
          <w:rFonts w:eastAsia="Times New Roman" w:cs="Times New Roman"/>
          <w:i/>
          <w:iCs/>
        </w:rPr>
        <w:t>Psychology of Sexual Orientation and Gender Diversity</w:t>
      </w:r>
      <w:r w:rsidRPr="0077178A">
        <w:rPr>
          <w:rFonts w:eastAsia="Times New Roman" w:cs="Times New Roman"/>
        </w:rPr>
        <w:t xml:space="preserve">. </w:t>
      </w:r>
      <w:hyperlink r:id="rId26" w:history="1">
        <w:r w:rsidRPr="0077178A">
          <w:rPr>
            <w:rFonts w:eastAsia="Times New Roman" w:cs="Times New Roman"/>
            <w:color w:val="0000FF"/>
            <w:u w:val="single"/>
          </w:rPr>
          <w:t>https://doi.org/10.1037/sgd0000548</w:t>
        </w:r>
      </w:hyperlink>
      <w:r w:rsidRPr="0077178A">
        <w:rPr>
          <w:rFonts w:eastAsia="Times New Roman" w:cs="Times New Roman"/>
        </w:rPr>
        <w:t>.</w:t>
      </w:r>
    </w:p>
    <w:p w14:paraId="1F233A3F" w14:textId="77777777" w:rsidR="00980EC1" w:rsidRPr="0077178A" w:rsidRDefault="00980EC1" w:rsidP="00980EC1">
      <w:pPr>
        <w:ind w:left="720" w:hanging="720"/>
        <w:rPr>
          <w:rFonts w:eastAsia="Times New Roman" w:cs="Times New Roman"/>
        </w:rPr>
      </w:pPr>
      <w:r w:rsidRPr="0077178A">
        <w:rPr>
          <w:rFonts w:eastAsia="Times New Roman" w:cs="Times New Roman"/>
        </w:rPr>
        <w:t xml:space="preserve">Goldbach, Chloe, Douglas Knutson, Dannie </w:t>
      </w:r>
      <w:proofErr w:type="spellStart"/>
      <w:r w:rsidRPr="0077178A">
        <w:rPr>
          <w:rFonts w:eastAsia="Times New Roman" w:cs="Times New Roman"/>
        </w:rPr>
        <w:t>Klooster</w:t>
      </w:r>
      <w:proofErr w:type="spellEnd"/>
      <w:r w:rsidRPr="0077178A">
        <w:rPr>
          <w:rFonts w:eastAsia="Times New Roman" w:cs="Times New Roman"/>
        </w:rPr>
        <w:t xml:space="preserve">, Savannah </w:t>
      </w:r>
      <w:proofErr w:type="spellStart"/>
      <w:r w:rsidRPr="0077178A">
        <w:rPr>
          <w:rFonts w:eastAsia="Times New Roman" w:cs="Times New Roman"/>
        </w:rPr>
        <w:t>LeForce</w:t>
      </w:r>
      <w:proofErr w:type="spellEnd"/>
      <w:r w:rsidRPr="0077178A">
        <w:rPr>
          <w:rFonts w:eastAsia="Times New Roman" w:cs="Times New Roman"/>
        </w:rPr>
        <w:t xml:space="preserve">, and David Cole Milton. In press. “Fear and Resilience: A Modified Consensual Qualitative Research (CQR-M) Study of LGBTQ+ Health and the COVID-19 Pandemic.” </w:t>
      </w:r>
      <w:r w:rsidRPr="0077178A">
        <w:rPr>
          <w:rFonts w:eastAsia="Times New Roman" w:cs="Times New Roman"/>
          <w:i/>
          <w:iCs/>
        </w:rPr>
        <w:t>Annals of LGBTQ Public and Population Health</w:t>
      </w:r>
      <w:r w:rsidRPr="0077178A">
        <w:rPr>
          <w:rFonts w:eastAsia="Times New Roman" w:cs="Times New Roman"/>
        </w:rPr>
        <w:t>.</w:t>
      </w:r>
    </w:p>
    <w:p w14:paraId="257E56A9" w14:textId="3C1F3002" w:rsidR="00980EC1" w:rsidRPr="0077178A" w:rsidRDefault="00980EC1" w:rsidP="00980EC1">
      <w:pPr>
        <w:ind w:left="720" w:hanging="720"/>
        <w:rPr>
          <w:rFonts w:eastAsia="Times New Roman" w:cs="Times New Roman"/>
        </w:rPr>
      </w:pPr>
      <w:r w:rsidRPr="0077178A">
        <w:rPr>
          <w:rFonts w:eastAsia="Times New Roman" w:cs="Times New Roman"/>
        </w:rPr>
        <w:t>Goldbach, Chloe, Douglas Knutson, and David Cole Milton. 202</w:t>
      </w:r>
      <w:r w:rsidR="00A33445">
        <w:rPr>
          <w:rFonts w:eastAsia="Times New Roman" w:cs="Times New Roman"/>
        </w:rPr>
        <w:t>1</w:t>
      </w:r>
      <w:r w:rsidRPr="0077178A">
        <w:rPr>
          <w:rFonts w:eastAsia="Times New Roman" w:cs="Times New Roman"/>
        </w:rPr>
        <w:t xml:space="preserve">. “LGBTQ+ People and COVID-19: The Importance of Resilience during a Pandemic.” </w:t>
      </w:r>
      <w:r w:rsidRPr="0077178A">
        <w:rPr>
          <w:rFonts w:eastAsia="Times New Roman" w:cs="Times New Roman"/>
          <w:i/>
          <w:iCs/>
        </w:rPr>
        <w:t>Psychology of Sexual Orientation and Gender Diversity</w:t>
      </w:r>
      <w:r w:rsidR="00A33445">
        <w:rPr>
          <w:rFonts w:eastAsia="Times New Roman" w:cs="Times New Roman"/>
          <w:i/>
          <w:iCs/>
        </w:rPr>
        <w:t xml:space="preserve"> </w:t>
      </w:r>
      <w:r w:rsidR="00A33445">
        <w:rPr>
          <w:rFonts w:eastAsia="Times New Roman" w:cs="Times New Roman"/>
        </w:rPr>
        <w:t>8 (2): 123-132</w:t>
      </w:r>
      <w:r w:rsidRPr="0077178A">
        <w:rPr>
          <w:rFonts w:eastAsia="Times New Roman" w:cs="Times New Roman"/>
        </w:rPr>
        <w:t xml:space="preserve">. </w:t>
      </w:r>
      <w:hyperlink r:id="rId27" w:history="1">
        <w:r w:rsidRPr="0077178A">
          <w:rPr>
            <w:rFonts w:eastAsia="Times New Roman" w:cs="Times New Roman"/>
            <w:color w:val="0000FF"/>
            <w:u w:val="single"/>
          </w:rPr>
          <w:t>https://doi.org/10.1037/sgd0000463</w:t>
        </w:r>
      </w:hyperlink>
      <w:r w:rsidRPr="0077178A">
        <w:rPr>
          <w:rFonts w:eastAsia="Times New Roman" w:cs="Times New Roman"/>
        </w:rPr>
        <w:t>.</w:t>
      </w:r>
    </w:p>
    <w:p w14:paraId="7ACF47B7" w14:textId="77777777" w:rsidR="00980EC1" w:rsidRPr="0077178A" w:rsidRDefault="00980EC1" w:rsidP="00980EC1">
      <w:pPr>
        <w:ind w:left="720" w:hanging="720"/>
        <w:rPr>
          <w:rFonts w:eastAsia="Times New Roman" w:cs="Times New Roman"/>
        </w:rPr>
      </w:pPr>
      <w:r w:rsidRPr="0077178A">
        <w:rPr>
          <w:rFonts w:eastAsia="Times New Roman" w:cs="Times New Roman"/>
        </w:rPr>
        <w:t xml:space="preserve">Hendricks, Michael L., and Rylan J. Testa. 2012. “A Conceptual Framework for Clinical Work with Transgender and Gender Nonconforming Clients: An Adaptation of the Minority Stress Model.” </w:t>
      </w:r>
      <w:r w:rsidRPr="0077178A">
        <w:rPr>
          <w:rFonts w:eastAsia="Times New Roman" w:cs="Times New Roman"/>
          <w:i/>
          <w:iCs/>
        </w:rPr>
        <w:t>Professional Psychology: Research and Practice</w:t>
      </w:r>
      <w:r w:rsidRPr="0077178A">
        <w:rPr>
          <w:rFonts w:eastAsia="Times New Roman" w:cs="Times New Roman"/>
        </w:rPr>
        <w:t xml:space="preserve"> 43 (5): 460–67. </w:t>
      </w:r>
      <w:hyperlink r:id="rId28" w:history="1">
        <w:r w:rsidRPr="0077178A">
          <w:rPr>
            <w:rFonts w:eastAsia="Times New Roman" w:cs="Times New Roman"/>
            <w:color w:val="0000FF"/>
            <w:u w:val="single"/>
          </w:rPr>
          <w:t>https://doi.org/10.1037/a0029597</w:t>
        </w:r>
      </w:hyperlink>
      <w:r w:rsidRPr="0077178A">
        <w:rPr>
          <w:rFonts w:eastAsia="Times New Roman" w:cs="Times New Roman"/>
        </w:rPr>
        <w:t>.</w:t>
      </w:r>
    </w:p>
    <w:p w14:paraId="7CFF2BC4" w14:textId="77777777" w:rsidR="00980EC1" w:rsidRPr="0077178A" w:rsidRDefault="00980EC1" w:rsidP="00980EC1">
      <w:pPr>
        <w:ind w:left="720" w:hanging="720"/>
        <w:rPr>
          <w:rFonts w:eastAsia="Times New Roman" w:cs="Times New Roman"/>
        </w:rPr>
      </w:pPr>
      <w:r w:rsidRPr="0077178A">
        <w:rPr>
          <w:rFonts w:eastAsia="Times New Roman" w:cs="Times New Roman"/>
        </w:rPr>
        <w:t xml:space="preserve">Hill, Clara E., and Sarah Knox. 2021. </w:t>
      </w:r>
      <w:r w:rsidRPr="0077178A">
        <w:rPr>
          <w:rFonts w:eastAsia="Times New Roman" w:cs="Times New Roman"/>
          <w:i/>
          <w:iCs/>
        </w:rPr>
        <w:t>Essentials of Consensual Qualitative Research</w:t>
      </w:r>
      <w:r w:rsidRPr="0077178A">
        <w:rPr>
          <w:rFonts w:eastAsia="Times New Roman" w:cs="Times New Roman"/>
        </w:rPr>
        <w:t xml:space="preserve">. Essentials of Consensual Qualitative Research. Washington, DC, US: American Psychological Association. </w:t>
      </w:r>
      <w:hyperlink r:id="rId29" w:history="1">
        <w:r w:rsidRPr="0077178A">
          <w:rPr>
            <w:rFonts w:eastAsia="Times New Roman" w:cs="Times New Roman"/>
            <w:color w:val="0000FF"/>
            <w:u w:val="single"/>
          </w:rPr>
          <w:t>https://doi.org/10.1037/0000215-000</w:t>
        </w:r>
      </w:hyperlink>
      <w:r w:rsidRPr="0077178A">
        <w:rPr>
          <w:rFonts w:eastAsia="Times New Roman" w:cs="Times New Roman"/>
        </w:rPr>
        <w:t>.</w:t>
      </w:r>
    </w:p>
    <w:p w14:paraId="643EFACF" w14:textId="77777777" w:rsidR="00980EC1" w:rsidRPr="0077178A" w:rsidRDefault="00980EC1" w:rsidP="00980EC1">
      <w:pPr>
        <w:ind w:left="720" w:hanging="720"/>
        <w:rPr>
          <w:rFonts w:eastAsia="Times New Roman" w:cs="Times New Roman"/>
        </w:rPr>
      </w:pPr>
      <w:r w:rsidRPr="0077178A">
        <w:rPr>
          <w:rFonts w:eastAsia="Times New Roman" w:cs="Times New Roman"/>
        </w:rPr>
        <w:t xml:space="preserve">James, S. E., Herman, J. L., Rankin, S., Keisling, M., Mottet, L., &amp; Anafi, M. 2016. </w:t>
      </w:r>
      <w:r w:rsidRPr="0077178A">
        <w:rPr>
          <w:rFonts w:eastAsia="Times New Roman" w:cs="Times New Roman"/>
          <w:i/>
          <w:iCs/>
        </w:rPr>
        <w:t>The Report of the 2015 U.S. Transgender Survey</w:t>
      </w:r>
      <w:r w:rsidRPr="0077178A">
        <w:rPr>
          <w:rFonts w:eastAsia="Times New Roman" w:cs="Times New Roman"/>
        </w:rPr>
        <w:t>. National Center for Transgender Equality.</w:t>
      </w:r>
    </w:p>
    <w:p w14:paraId="5F28B3BC" w14:textId="77777777" w:rsidR="00980EC1" w:rsidRPr="0077178A" w:rsidRDefault="00980EC1" w:rsidP="00980EC1">
      <w:pPr>
        <w:ind w:left="720" w:hanging="720"/>
        <w:rPr>
          <w:rFonts w:eastAsia="Times New Roman" w:cs="Times New Roman"/>
        </w:rPr>
      </w:pPr>
      <w:r w:rsidRPr="0077178A">
        <w:rPr>
          <w:rFonts w:eastAsia="Times New Roman" w:cs="Times New Roman"/>
        </w:rPr>
        <w:t xml:space="preserve">Johnson, Austin H. 2015. “Normative Accountability: How the Medical Model Influences Transgender Identities and Experiences.” </w:t>
      </w:r>
      <w:r w:rsidRPr="0077178A">
        <w:rPr>
          <w:rFonts w:eastAsia="Times New Roman" w:cs="Times New Roman"/>
          <w:i/>
          <w:iCs/>
        </w:rPr>
        <w:t>Sociology Compass</w:t>
      </w:r>
      <w:r w:rsidRPr="0077178A">
        <w:rPr>
          <w:rFonts w:eastAsia="Times New Roman" w:cs="Times New Roman"/>
        </w:rPr>
        <w:t xml:space="preserve"> 9 (9): 803–13. </w:t>
      </w:r>
      <w:hyperlink r:id="rId30" w:history="1">
        <w:r w:rsidRPr="0077178A">
          <w:rPr>
            <w:rFonts w:eastAsia="Times New Roman" w:cs="Times New Roman"/>
            <w:color w:val="0000FF"/>
            <w:u w:val="single"/>
          </w:rPr>
          <w:t>https://doi.org/10.1111/soc4.12297</w:t>
        </w:r>
      </w:hyperlink>
      <w:r w:rsidRPr="0077178A">
        <w:rPr>
          <w:rFonts w:eastAsia="Times New Roman" w:cs="Times New Roman"/>
        </w:rPr>
        <w:t>.</w:t>
      </w:r>
    </w:p>
    <w:p w14:paraId="378419A6" w14:textId="09C6A7DB" w:rsidR="00980EC1" w:rsidRPr="0077178A" w:rsidRDefault="00980EC1" w:rsidP="00980EC1">
      <w:pPr>
        <w:ind w:left="720" w:hanging="720"/>
        <w:rPr>
          <w:rFonts w:eastAsia="Times New Roman" w:cs="Times New Roman"/>
        </w:rPr>
      </w:pPr>
      <w:r w:rsidRPr="0077178A">
        <w:rPr>
          <w:rFonts w:eastAsia="Times New Roman" w:cs="Times New Roman"/>
        </w:rPr>
        <w:lastRenderedPageBreak/>
        <w:t>Johnson, Austin H. 2019. “Rejecting, Reframing, and Reintroducing: Trans People</w:t>
      </w:r>
      <w:r w:rsidR="00C364B6">
        <w:rPr>
          <w:rFonts w:eastAsia="Times New Roman" w:cs="Times New Roman"/>
        </w:rPr>
        <w:t>’</w:t>
      </w:r>
      <w:r w:rsidRPr="0077178A">
        <w:rPr>
          <w:rFonts w:eastAsia="Times New Roman" w:cs="Times New Roman"/>
        </w:rPr>
        <w:t xml:space="preserve">s Strategic Engagement with the </w:t>
      </w:r>
      <w:proofErr w:type="spellStart"/>
      <w:r w:rsidRPr="0077178A">
        <w:rPr>
          <w:rFonts w:eastAsia="Times New Roman" w:cs="Times New Roman"/>
        </w:rPr>
        <w:t>Medicalisation</w:t>
      </w:r>
      <w:proofErr w:type="spellEnd"/>
      <w:r w:rsidRPr="0077178A">
        <w:rPr>
          <w:rFonts w:eastAsia="Times New Roman" w:cs="Times New Roman"/>
        </w:rPr>
        <w:t xml:space="preserve"> of Gender Dysphoria.” </w:t>
      </w:r>
      <w:r w:rsidRPr="0077178A">
        <w:rPr>
          <w:rFonts w:eastAsia="Times New Roman" w:cs="Times New Roman"/>
          <w:i/>
          <w:iCs/>
        </w:rPr>
        <w:t>Sociology of Health &amp; Illness</w:t>
      </w:r>
      <w:r w:rsidRPr="0077178A">
        <w:rPr>
          <w:rFonts w:eastAsia="Times New Roman" w:cs="Times New Roman"/>
        </w:rPr>
        <w:t xml:space="preserve"> 41 (3): 517–32. </w:t>
      </w:r>
      <w:hyperlink r:id="rId31" w:history="1">
        <w:r w:rsidRPr="0077178A">
          <w:rPr>
            <w:rFonts w:eastAsia="Times New Roman" w:cs="Times New Roman"/>
            <w:color w:val="0000FF"/>
            <w:u w:val="single"/>
          </w:rPr>
          <w:t>https://doi.org/10.1111/1467-9566.12829</w:t>
        </w:r>
      </w:hyperlink>
      <w:r w:rsidRPr="0077178A">
        <w:rPr>
          <w:rFonts w:eastAsia="Times New Roman" w:cs="Times New Roman"/>
        </w:rPr>
        <w:t>.</w:t>
      </w:r>
    </w:p>
    <w:p w14:paraId="61D8D3CA" w14:textId="77777777" w:rsidR="00980EC1" w:rsidRPr="0077178A" w:rsidRDefault="00980EC1" w:rsidP="00980EC1">
      <w:pPr>
        <w:ind w:left="720" w:hanging="720"/>
        <w:rPr>
          <w:rFonts w:eastAsia="Times New Roman" w:cs="Times New Roman"/>
        </w:rPr>
      </w:pPr>
      <w:r w:rsidRPr="0077178A">
        <w:rPr>
          <w:rFonts w:eastAsia="Times New Roman" w:cs="Times New Roman"/>
        </w:rPr>
        <w:t xml:space="preserve">Kidd, Jeremy D., Kasey B. Jackman, Renato </w:t>
      </w:r>
      <w:proofErr w:type="spellStart"/>
      <w:r w:rsidRPr="0077178A">
        <w:rPr>
          <w:rFonts w:eastAsia="Times New Roman" w:cs="Times New Roman"/>
        </w:rPr>
        <w:t>Barucco</w:t>
      </w:r>
      <w:proofErr w:type="spellEnd"/>
      <w:r w:rsidRPr="0077178A">
        <w:rPr>
          <w:rFonts w:eastAsia="Times New Roman" w:cs="Times New Roman"/>
        </w:rPr>
        <w:t xml:space="preserve">, Jordan D. Dworkin, Curtis Dolezal, Theresa V. </w:t>
      </w:r>
      <w:proofErr w:type="spellStart"/>
      <w:r w:rsidRPr="0077178A">
        <w:rPr>
          <w:rFonts w:eastAsia="Times New Roman" w:cs="Times New Roman"/>
        </w:rPr>
        <w:t>Navalta</w:t>
      </w:r>
      <w:proofErr w:type="spellEnd"/>
      <w:r w:rsidRPr="0077178A">
        <w:rPr>
          <w:rFonts w:eastAsia="Times New Roman" w:cs="Times New Roman"/>
        </w:rPr>
        <w:t xml:space="preserve">, Joseph </w:t>
      </w:r>
      <w:proofErr w:type="spellStart"/>
      <w:r w:rsidRPr="0077178A">
        <w:rPr>
          <w:rFonts w:eastAsia="Times New Roman" w:cs="Times New Roman"/>
        </w:rPr>
        <w:t>Belloir</w:t>
      </w:r>
      <w:proofErr w:type="spellEnd"/>
      <w:r w:rsidRPr="0077178A">
        <w:rPr>
          <w:rFonts w:eastAsia="Times New Roman" w:cs="Times New Roman"/>
        </w:rPr>
        <w:t xml:space="preserve">, and Walter O. </w:t>
      </w:r>
      <w:proofErr w:type="spellStart"/>
      <w:r w:rsidRPr="0077178A">
        <w:rPr>
          <w:rFonts w:eastAsia="Times New Roman" w:cs="Times New Roman"/>
        </w:rPr>
        <w:t>Bockting</w:t>
      </w:r>
      <w:proofErr w:type="spellEnd"/>
      <w:r w:rsidRPr="0077178A">
        <w:rPr>
          <w:rFonts w:eastAsia="Times New Roman" w:cs="Times New Roman"/>
        </w:rPr>
        <w:t xml:space="preserve">. 2021. “Understanding the Impact of the COVID-19 Pandemic on the Mental Health of Transgender and Gender Nonbinary Individuals Engaged in a Longitudinal Cohort Study.” </w:t>
      </w:r>
      <w:r w:rsidRPr="0077178A">
        <w:rPr>
          <w:rFonts w:eastAsia="Times New Roman" w:cs="Times New Roman"/>
          <w:i/>
          <w:iCs/>
        </w:rPr>
        <w:t>Journal of Homosexuality</w:t>
      </w:r>
      <w:r w:rsidRPr="0077178A">
        <w:rPr>
          <w:rFonts w:eastAsia="Times New Roman" w:cs="Times New Roman"/>
        </w:rPr>
        <w:t xml:space="preserve"> 68 (4): 592–611. </w:t>
      </w:r>
      <w:hyperlink r:id="rId32" w:history="1">
        <w:r w:rsidRPr="0077178A">
          <w:rPr>
            <w:rFonts w:eastAsia="Times New Roman" w:cs="Times New Roman"/>
            <w:color w:val="0000FF"/>
            <w:u w:val="single"/>
          </w:rPr>
          <w:t>https://doi.org/10.1080/00918369.2020.1868185</w:t>
        </w:r>
      </w:hyperlink>
      <w:r w:rsidRPr="0077178A">
        <w:rPr>
          <w:rFonts w:eastAsia="Times New Roman" w:cs="Times New Roman"/>
        </w:rPr>
        <w:t>.</w:t>
      </w:r>
    </w:p>
    <w:p w14:paraId="5641C818" w14:textId="77777777" w:rsidR="00980EC1" w:rsidRPr="0077178A" w:rsidRDefault="00980EC1" w:rsidP="00980EC1">
      <w:pPr>
        <w:ind w:left="720" w:hanging="720"/>
        <w:rPr>
          <w:rFonts w:eastAsia="Times New Roman" w:cs="Times New Roman"/>
        </w:rPr>
      </w:pPr>
      <w:r w:rsidRPr="0077178A">
        <w:rPr>
          <w:rFonts w:eastAsia="Times New Roman" w:cs="Times New Roman"/>
        </w:rPr>
        <w:t xml:space="preserve">Lindley, Louis, Loren </w:t>
      </w:r>
      <w:proofErr w:type="spellStart"/>
      <w:r w:rsidRPr="0077178A">
        <w:rPr>
          <w:rFonts w:eastAsia="Times New Roman" w:cs="Times New Roman"/>
        </w:rPr>
        <w:t>Bauerband</w:t>
      </w:r>
      <w:proofErr w:type="spellEnd"/>
      <w:r w:rsidRPr="0077178A">
        <w:rPr>
          <w:rFonts w:eastAsia="Times New Roman" w:cs="Times New Roman"/>
        </w:rPr>
        <w:t xml:space="preserve">, and M. Paz </w:t>
      </w:r>
      <w:proofErr w:type="spellStart"/>
      <w:r w:rsidRPr="0077178A">
        <w:rPr>
          <w:rFonts w:eastAsia="Times New Roman" w:cs="Times New Roman"/>
        </w:rPr>
        <w:t>Galupo</w:t>
      </w:r>
      <w:proofErr w:type="spellEnd"/>
      <w:r w:rsidRPr="0077178A">
        <w:rPr>
          <w:rFonts w:eastAsia="Times New Roman" w:cs="Times New Roman"/>
        </w:rPr>
        <w:t xml:space="preserve">. 2021. “Using a Comprehensive Proximal Stress Model to Predict Alcohol Use.” </w:t>
      </w:r>
      <w:r w:rsidRPr="0077178A">
        <w:rPr>
          <w:rFonts w:eastAsia="Times New Roman" w:cs="Times New Roman"/>
          <w:i/>
          <w:iCs/>
        </w:rPr>
        <w:t>Transgender Health</w:t>
      </w:r>
      <w:r w:rsidRPr="0077178A">
        <w:rPr>
          <w:rFonts w:eastAsia="Times New Roman" w:cs="Times New Roman"/>
        </w:rPr>
        <w:t xml:space="preserve"> 6 (3): 164–74. </w:t>
      </w:r>
      <w:hyperlink r:id="rId33" w:history="1">
        <w:r w:rsidRPr="0077178A">
          <w:rPr>
            <w:rFonts w:eastAsia="Times New Roman" w:cs="Times New Roman"/>
            <w:color w:val="0000FF"/>
            <w:u w:val="single"/>
          </w:rPr>
          <w:t>https://doi.org/10.1089/trgh.2020.0042</w:t>
        </w:r>
      </w:hyperlink>
      <w:r w:rsidRPr="0077178A">
        <w:rPr>
          <w:rFonts w:eastAsia="Times New Roman" w:cs="Times New Roman"/>
        </w:rPr>
        <w:t>.</w:t>
      </w:r>
    </w:p>
    <w:p w14:paraId="34A62726" w14:textId="77777777" w:rsidR="00980EC1" w:rsidRPr="0077178A" w:rsidRDefault="00980EC1" w:rsidP="00980EC1">
      <w:pPr>
        <w:ind w:left="720" w:hanging="720"/>
        <w:rPr>
          <w:rFonts w:eastAsia="Times New Roman" w:cs="Times New Roman"/>
        </w:rPr>
      </w:pPr>
      <w:r w:rsidRPr="0077178A">
        <w:rPr>
          <w:rFonts w:eastAsia="Times New Roman" w:cs="Times New Roman"/>
        </w:rPr>
        <w:t xml:space="preserve">Lindley, Louis, and M. Paz </w:t>
      </w:r>
      <w:proofErr w:type="spellStart"/>
      <w:r w:rsidRPr="0077178A">
        <w:rPr>
          <w:rFonts w:eastAsia="Times New Roman" w:cs="Times New Roman"/>
        </w:rPr>
        <w:t>Galupo</w:t>
      </w:r>
      <w:proofErr w:type="spellEnd"/>
      <w:r w:rsidRPr="0077178A">
        <w:rPr>
          <w:rFonts w:eastAsia="Times New Roman" w:cs="Times New Roman"/>
        </w:rPr>
        <w:t xml:space="preserve">. 2020. “Gender Dysphoria and Minority Stress: Support for Inclusion of Gender Dysphoria as a Proximal Stressor.” </w:t>
      </w:r>
      <w:r w:rsidRPr="0077178A">
        <w:rPr>
          <w:rFonts w:eastAsia="Times New Roman" w:cs="Times New Roman"/>
          <w:i/>
          <w:iCs/>
        </w:rPr>
        <w:t>Psychology of Sexual Orientation and Gender Diversity</w:t>
      </w:r>
      <w:r w:rsidRPr="0077178A">
        <w:rPr>
          <w:rFonts w:eastAsia="Times New Roman" w:cs="Times New Roman"/>
        </w:rPr>
        <w:t xml:space="preserve"> 7 (3): 265–75. </w:t>
      </w:r>
      <w:hyperlink r:id="rId34" w:history="1">
        <w:r w:rsidRPr="0077178A">
          <w:rPr>
            <w:rFonts w:eastAsia="Times New Roman" w:cs="Times New Roman"/>
            <w:color w:val="0000FF"/>
            <w:u w:val="single"/>
          </w:rPr>
          <w:t>https://doi.org/10.1037/sgd0000439</w:t>
        </w:r>
      </w:hyperlink>
      <w:r w:rsidRPr="0077178A">
        <w:rPr>
          <w:rFonts w:eastAsia="Times New Roman" w:cs="Times New Roman"/>
        </w:rPr>
        <w:t>.</w:t>
      </w:r>
    </w:p>
    <w:p w14:paraId="65389BE4" w14:textId="73AA4669" w:rsidR="00980EC1" w:rsidRPr="0077178A" w:rsidRDefault="00980EC1" w:rsidP="00980EC1">
      <w:pPr>
        <w:ind w:left="720" w:hanging="720"/>
        <w:rPr>
          <w:rFonts w:eastAsia="Times New Roman" w:cs="Times New Roman"/>
        </w:rPr>
      </w:pPr>
      <w:proofErr w:type="spellStart"/>
      <w:r w:rsidRPr="0077178A">
        <w:rPr>
          <w:rFonts w:eastAsia="Times New Roman" w:cs="Times New Roman"/>
        </w:rPr>
        <w:t>Miesen</w:t>
      </w:r>
      <w:proofErr w:type="spellEnd"/>
      <w:r w:rsidRPr="0077178A">
        <w:rPr>
          <w:rFonts w:eastAsia="Times New Roman" w:cs="Times New Roman"/>
        </w:rPr>
        <w:t xml:space="preserve">, Anna I. R. van der, Daphne </w:t>
      </w:r>
      <w:proofErr w:type="spellStart"/>
      <w:r w:rsidRPr="0077178A">
        <w:rPr>
          <w:rFonts w:eastAsia="Times New Roman" w:cs="Times New Roman"/>
        </w:rPr>
        <w:t>Raaijmakers</w:t>
      </w:r>
      <w:proofErr w:type="spellEnd"/>
      <w:r w:rsidRPr="0077178A">
        <w:rPr>
          <w:rFonts w:eastAsia="Times New Roman" w:cs="Times New Roman"/>
        </w:rPr>
        <w:t>, and Tim C. van de Grift. 2020. “</w:t>
      </w:r>
      <w:r w:rsidR="00C364B6">
        <w:rPr>
          <w:rFonts w:eastAsia="Times New Roman" w:cs="Times New Roman"/>
        </w:rPr>
        <w:t>‘</w:t>
      </w:r>
      <w:r w:rsidRPr="0077178A">
        <w:rPr>
          <w:rFonts w:eastAsia="Times New Roman" w:cs="Times New Roman"/>
        </w:rPr>
        <w:t>You Have to Wait a Little Longer</w:t>
      </w:r>
      <w:r w:rsidR="00C364B6">
        <w:rPr>
          <w:rFonts w:eastAsia="Times New Roman" w:cs="Times New Roman"/>
        </w:rPr>
        <w:t>’</w:t>
      </w:r>
      <w:r w:rsidRPr="0077178A">
        <w:rPr>
          <w:rFonts w:eastAsia="Times New Roman" w:cs="Times New Roman"/>
        </w:rPr>
        <w:t xml:space="preserve">: Transgender (Mental) Health at Risk as a Consequence of Deferring Gender-Affirming Treatments During COVID-19.” </w:t>
      </w:r>
      <w:r w:rsidRPr="0077178A">
        <w:rPr>
          <w:rFonts w:eastAsia="Times New Roman" w:cs="Times New Roman"/>
          <w:i/>
          <w:iCs/>
        </w:rPr>
        <w:t>Archives of Sexual Behavior</w:t>
      </w:r>
      <w:r w:rsidRPr="0077178A">
        <w:rPr>
          <w:rFonts w:eastAsia="Times New Roman" w:cs="Times New Roman"/>
        </w:rPr>
        <w:t xml:space="preserve"> 49 (5): 1395–99. </w:t>
      </w:r>
      <w:hyperlink r:id="rId35" w:history="1">
        <w:r w:rsidRPr="0077178A">
          <w:rPr>
            <w:rFonts w:eastAsia="Times New Roman" w:cs="Times New Roman"/>
            <w:color w:val="0000FF"/>
            <w:u w:val="single"/>
          </w:rPr>
          <w:t>https://doi.org/10.1007/s10508-020-01754-3</w:t>
        </w:r>
      </w:hyperlink>
      <w:r w:rsidRPr="0077178A">
        <w:rPr>
          <w:rFonts w:eastAsia="Times New Roman" w:cs="Times New Roman"/>
        </w:rPr>
        <w:t>.</w:t>
      </w:r>
    </w:p>
    <w:p w14:paraId="47C177C8" w14:textId="77777777" w:rsidR="00980EC1" w:rsidRPr="0077178A" w:rsidRDefault="00980EC1" w:rsidP="00980EC1">
      <w:pPr>
        <w:ind w:left="720" w:hanging="720"/>
        <w:rPr>
          <w:rFonts w:eastAsia="Times New Roman" w:cs="Times New Roman"/>
        </w:rPr>
      </w:pPr>
      <w:r w:rsidRPr="0077178A">
        <w:rPr>
          <w:rFonts w:eastAsia="Times New Roman" w:cs="Times New Roman"/>
        </w:rPr>
        <w:t xml:space="preserve">Puckett, Jae A., Emmie </w:t>
      </w:r>
      <w:proofErr w:type="spellStart"/>
      <w:r w:rsidRPr="0077178A">
        <w:rPr>
          <w:rFonts w:eastAsia="Times New Roman" w:cs="Times New Roman"/>
        </w:rPr>
        <w:t>Matsuno</w:t>
      </w:r>
      <w:proofErr w:type="spellEnd"/>
      <w:r w:rsidRPr="0077178A">
        <w:rPr>
          <w:rFonts w:eastAsia="Times New Roman" w:cs="Times New Roman"/>
        </w:rPr>
        <w:t xml:space="preserve">, Christina </w:t>
      </w:r>
      <w:proofErr w:type="spellStart"/>
      <w:r w:rsidRPr="0077178A">
        <w:rPr>
          <w:rFonts w:eastAsia="Times New Roman" w:cs="Times New Roman"/>
        </w:rPr>
        <w:t>Dyar</w:t>
      </w:r>
      <w:proofErr w:type="spellEnd"/>
      <w:r w:rsidRPr="0077178A">
        <w:rPr>
          <w:rFonts w:eastAsia="Times New Roman" w:cs="Times New Roman"/>
        </w:rPr>
        <w:t xml:space="preserve">, Brian </w:t>
      </w:r>
      <w:proofErr w:type="spellStart"/>
      <w:r w:rsidRPr="0077178A">
        <w:rPr>
          <w:rFonts w:eastAsia="Times New Roman" w:cs="Times New Roman"/>
        </w:rPr>
        <w:t>Mustanski</w:t>
      </w:r>
      <w:proofErr w:type="spellEnd"/>
      <w:r w:rsidRPr="0077178A">
        <w:rPr>
          <w:rFonts w:eastAsia="Times New Roman" w:cs="Times New Roman"/>
        </w:rPr>
        <w:t xml:space="preserve">, and Michael E. Newcomb. 2019. “Mental Health and Resilience in Transgender Individuals: What Type of Support Makes a Difference?” </w:t>
      </w:r>
      <w:r w:rsidRPr="0077178A">
        <w:rPr>
          <w:rFonts w:eastAsia="Times New Roman" w:cs="Times New Roman"/>
          <w:i/>
          <w:iCs/>
        </w:rPr>
        <w:t xml:space="preserve">Journal of Family </w:t>
      </w:r>
      <w:proofErr w:type="gramStart"/>
      <w:r w:rsidRPr="0077178A">
        <w:rPr>
          <w:rFonts w:eastAsia="Times New Roman" w:cs="Times New Roman"/>
          <w:i/>
          <w:iCs/>
        </w:rPr>
        <w:t>Psychology :</w:t>
      </w:r>
      <w:proofErr w:type="gramEnd"/>
      <w:r w:rsidRPr="0077178A">
        <w:rPr>
          <w:rFonts w:eastAsia="Times New Roman" w:cs="Times New Roman"/>
          <w:i/>
          <w:iCs/>
        </w:rPr>
        <w:t xml:space="preserve"> JFP : Journal of the Division of Family Psychology of the American Psychological Association (Division 43)</w:t>
      </w:r>
      <w:r w:rsidRPr="0077178A">
        <w:rPr>
          <w:rFonts w:eastAsia="Times New Roman" w:cs="Times New Roman"/>
        </w:rPr>
        <w:t xml:space="preserve"> 33 (8): 954–64. </w:t>
      </w:r>
      <w:hyperlink r:id="rId36" w:history="1">
        <w:r w:rsidRPr="0077178A">
          <w:rPr>
            <w:rFonts w:eastAsia="Times New Roman" w:cs="Times New Roman"/>
            <w:color w:val="0000FF"/>
            <w:u w:val="single"/>
          </w:rPr>
          <w:t>https://doi.org/10.1037/fam0000561</w:t>
        </w:r>
      </w:hyperlink>
      <w:r w:rsidRPr="0077178A">
        <w:rPr>
          <w:rFonts w:eastAsia="Times New Roman" w:cs="Times New Roman"/>
        </w:rPr>
        <w:t>.</w:t>
      </w:r>
    </w:p>
    <w:p w14:paraId="641D1A75" w14:textId="080C3FB8" w:rsidR="00980EC1" w:rsidRPr="0077178A" w:rsidRDefault="00980EC1" w:rsidP="00980EC1">
      <w:pPr>
        <w:ind w:left="720" w:hanging="720"/>
        <w:rPr>
          <w:rFonts w:eastAsia="Times New Roman" w:cs="Times New Roman"/>
        </w:rPr>
      </w:pPr>
      <w:proofErr w:type="spellStart"/>
      <w:r w:rsidRPr="0077178A">
        <w:rPr>
          <w:rFonts w:eastAsia="Times New Roman" w:cs="Times New Roman"/>
        </w:rPr>
        <w:t>Pulice</w:t>
      </w:r>
      <w:proofErr w:type="spellEnd"/>
      <w:r w:rsidRPr="0077178A">
        <w:rPr>
          <w:rFonts w:eastAsia="Times New Roman" w:cs="Times New Roman"/>
        </w:rPr>
        <w:t xml:space="preserve">-Farrow, Lex, Claire E. Cusack, and M. Paz </w:t>
      </w:r>
      <w:proofErr w:type="spellStart"/>
      <w:r w:rsidRPr="0077178A">
        <w:rPr>
          <w:rFonts w:eastAsia="Times New Roman" w:cs="Times New Roman"/>
        </w:rPr>
        <w:t>Galupo</w:t>
      </w:r>
      <w:proofErr w:type="spellEnd"/>
      <w:r w:rsidRPr="0077178A">
        <w:rPr>
          <w:rFonts w:eastAsia="Times New Roman" w:cs="Times New Roman"/>
        </w:rPr>
        <w:t>. 2020. “</w:t>
      </w:r>
      <w:r w:rsidR="00C364B6">
        <w:rPr>
          <w:rFonts w:eastAsia="Times New Roman" w:cs="Times New Roman"/>
        </w:rPr>
        <w:t>‘</w:t>
      </w:r>
      <w:r w:rsidRPr="0077178A">
        <w:rPr>
          <w:rFonts w:eastAsia="Times New Roman" w:cs="Times New Roman"/>
        </w:rPr>
        <w:t>Certain Parts of My Body Don</w:t>
      </w:r>
      <w:r w:rsidR="00C364B6">
        <w:rPr>
          <w:rFonts w:eastAsia="Times New Roman" w:cs="Times New Roman"/>
        </w:rPr>
        <w:t>’</w:t>
      </w:r>
      <w:r w:rsidRPr="0077178A">
        <w:rPr>
          <w:rFonts w:eastAsia="Times New Roman" w:cs="Times New Roman"/>
        </w:rPr>
        <w:t>t Belong to Me</w:t>
      </w:r>
      <w:r w:rsidR="00C364B6">
        <w:rPr>
          <w:rFonts w:eastAsia="Times New Roman" w:cs="Times New Roman"/>
        </w:rPr>
        <w:t>’</w:t>
      </w:r>
      <w:r w:rsidRPr="0077178A">
        <w:rPr>
          <w:rFonts w:eastAsia="Times New Roman" w:cs="Times New Roman"/>
        </w:rPr>
        <w:t>: Trans Individuals</w:t>
      </w:r>
      <w:r w:rsidR="00C364B6">
        <w:rPr>
          <w:rFonts w:eastAsia="Times New Roman" w:cs="Times New Roman"/>
        </w:rPr>
        <w:t>’</w:t>
      </w:r>
      <w:r w:rsidRPr="0077178A">
        <w:rPr>
          <w:rFonts w:eastAsia="Times New Roman" w:cs="Times New Roman"/>
        </w:rPr>
        <w:t xml:space="preserve"> Descriptions of Body-Specific Gender Dysphoria.” </w:t>
      </w:r>
      <w:r w:rsidRPr="0077178A">
        <w:rPr>
          <w:rFonts w:eastAsia="Times New Roman" w:cs="Times New Roman"/>
          <w:i/>
          <w:iCs/>
        </w:rPr>
        <w:t>Sexuality Research and Social Policy</w:t>
      </w:r>
      <w:r w:rsidRPr="0077178A">
        <w:rPr>
          <w:rFonts w:eastAsia="Times New Roman" w:cs="Times New Roman"/>
        </w:rPr>
        <w:t xml:space="preserve"> 17 (4): 654–67. </w:t>
      </w:r>
      <w:hyperlink r:id="rId37" w:history="1">
        <w:r w:rsidRPr="0077178A">
          <w:rPr>
            <w:rFonts w:eastAsia="Times New Roman" w:cs="Times New Roman"/>
            <w:color w:val="0000FF"/>
            <w:u w:val="single"/>
          </w:rPr>
          <w:t>https://doi.org/10.1007/s13178-019-00423-y</w:t>
        </w:r>
      </w:hyperlink>
      <w:r w:rsidRPr="0077178A">
        <w:rPr>
          <w:rFonts w:eastAsia="Times New Roman" w:cs="Times New Roman"/>
        </w:rPr>
        <w:t>.</w:t>
      </w:r>
    </w:p>
    <w:p w14:paraId="4B8CDC6F" w14:textId="77777777" w:rsidR="00980EC1" w:rsidRPr="0077178A" w:rsidRDefault="00980EC1" w:rsidP="00980EC1">
      <w:pPr>
        <w:ind w:left="720" w:hanging="720"/>
        <w:rPr>
          <w:rFonts w:eastAsia="Times New Roman" w:cs="Times New Roman"/>
        </w:rPr>
      </w:pPr>
      <w:r w:rsidRPr="0077178A">
        <w:rPr>
          <w:rFonts w:eastAsia="Times New Roman" w:cs="Times New Roman"/>
        </w:rPr>
        <w:t xml:space="preserve">Singh, Anneliese A., Danica G. Hays, and Laurel S. Watson. 2011. “Strength in the Face of Adversity: Resilience Strategies of Transgender Individuals.” </w:t>
      </w:r>
      <w:r w:rsidRPr="0077178A">
        <w:rPr>
          <w:rFonts w:eastAsia="Times New Roman" w:cs="Times New Roman"/>
          <w:i/>
          <w:iCs/>
        </w:rPr>
        <w:t>Journal of Counseling &amp; Development</w:t>
      </w:r>
      <w:r w:rsidRPr="0077178A">
        <w:rPr>
          <w:rFonts w:eastAsia="Times New Roman" w:cs="Times New Roman"/>
        </w:rPr>
        <w:t xml:space="preserve"> 89 (1): 20–27. </w:t>
      </w:r>
      <w:hyperlink r:id="rId38" w:history="1">
        <w:r w:rsidRPr="0077178A">
          <w:rPr>
            <w:rFonts w:eastAsia="Times New Roman" w:cs="Times New Roman"/>
            <w:color w:val="0000FF"/>
            <w:u w:val="single"/>
          </w:rPr>
          <w:t>https://doi.org/10.1002/j.1556-6678.2011.tb00057.x</w:t>
        </w:r>
      </w:hyperlink>
      <w:r w:rsidRPr="0077178A">
        <w:rPr>
          <w:rFonts w:eastAsia="Times New Roman" w:cs="Times New Roman"/>
        </w:rPr>
        <w:t>.</w:t>
      </w:r>
    </w:p>
    <w:p w14:paraId="75F177AC" w14:textId="77777777" w:rsidR="00980EC1" w:rsidRPr="0077178A" w:rsidRDefault="00980EC1" w:rsidP="00980EC1">
      <w:pPr>
        <w:ind w:left="720" w:hanging="720"/>
        <w:rPr>
          <w:rFonts w:eastAsia="Times New Roman" w:cs="Times New Roman"/>
        </w:rPr>
      </w:pPr>
      <w:r w:rsidRPr="0077178A">
        <w:rPr>
          <w:rFonts w:eastAsia="Times New Roman" w:cs="Times New Roman"/>
        </w:rPr>
        <w:t xml:space="preserve">Spangler, Patricia T., </w:t>
      </w:r>
      <w:proofErr w:type="spellStart"/>
      <w:r w:rsidRPr="0077178A">
        <w:rPr>
          <w:rFonts w:eastAsia="Times New Roman" w:cs="Times New Roman"/>
        </w:rPr>
        <w:t>Jingqing</w:t>
      </w:r>
      <w:proofErr w:type="spellEnd"/>
      <w:r w:rsidRPr="0077178A">
        <w:rPr>
          <w:rFonts w:eastAsia="Times New Roman" w:cs="Times New Roman"/>
        </w:rPr>
        <w:t xml:space="preserve"> Liu, and Clara E. Hill. 2012. “Consensual Qualitative Research for Simple Qualitative Data: An Introduction to CQR-M.” In </w:t>
      </w:r>
      <w:r w:rsidRPr="0077178A">
        <w:rPr>
          <w:rFonts w:eastAsia="Times New Roman" w:cs="Times New Roman"/>
          <w:i/>
          <w:iCs/>
        </w:rPr>
        <w:t>Consensual Qualitative Research: A Practical Resource for Investigating Social Science Phenomena</w:t>
      </w:r>
      <w:r w:rsidRPr="0077178A">
        <w:rPr>
          <w:rFonts w:eastAsia="Times New Roman" w:cs="Times New Roman"/>
        </w:rPr>
        <w:t>, 269–83. Washington, DC, US: American Psychological Association.</w:t>
      </w:r>
    </w:p>
    <w:p w14:paraId="4B88EA29" w14:textId="77777777" w:rsidR="00980EC1" w:rsidRPr="0077178A" w:rsidRDefault="00980EC1" w:rsidP="00980EC1">
      <w:pPr>
        <w:ind w:left="720" w:hanging="720"/>
        <w:rPr>
          <w:rFonts w:eastAsia="Times New Roman" w:cs="Times New Roman"/>
        </w:rPr>
      </w:pPr>
      <w:proofErr w:type="spellStart"/>
      <w:r w:rsidRPr="0077178A">
        <w:rPr>
          <w:rFonts w:eastAsia="Times New Roman" w:cs="Times New Roman"/>
        </w:rPr>
        <w:t>Su</w:t>
      </w:r>
      <w:proofErr w:type="spellEnd"/>
      <w:r w:rsidRPr="0077178A">
        <w:rPr>
          <w:rFonts w:eastAsia="Times New Roman" w:cs="Times New Roman"/>
        </w:rPr>
        <w:t xml:space="preserve">, </w:t>
      </w:r>
      <w:proofErr w:type="spellStart"/>
      <w:r w:rsidRPr="0077178A">
        <w:rPr>
          <w:rFonts w:eastAsia="Times New Roman" w:cs="Times New Roman"/>
        </w:rPr>
        <w:t>Dejun</w:t>
      </w:r>
      <w:proofErr w:type="spellEnd"/>
      <w:r w:rsidRPr="0077178A">
        <w:rPr>
          <w:rFonts w:eastAsia="Times New Roman" w:cs="Times New Roman"/>
        </w:rPr>
        <w:t xml:space="preserve">, Jay A. Irwin, Christopher Fisher, Athena Ramos, Megan Kelley, Diana </w:t>
      </w:r>
      <w:proofErr w:type="spellStart"/>
      <w:r w:rsidRPr="0077178A">
        <w:rPr>
          <w:rFonts w:eastAsia="Times New Roman" w:cs="Times New Roman"/>
        </w:rPr>
        <w:t>Ariss</w:t>
      </w:r>
      <w:proofErr w:type="spellEnd"/>
      <w:r w:rsidRPr="0077178A">
        <w:rPr>
          <w:rFonts w:eastAsia="Times New Roman" w:cs="Times New Roman"/>
        </w:rPr>
        <w:t xml:space="preserve"> </w:t>
      </w:r>
      <w:proofErr w:type="spellStart"/>
      <w:r w:rsidRPr="0077178A">
        <w:rPr>
          <w:rFonts w:eastAsia="Times New Roman" w:cs="Times New Roman"/>
        </w:rPr>
        <w:t>Rogel</w:t>
      </w:r>
      <w:proofErr w:type="spellEnd"/>
      <w:r w:rsidRPr="0077178A">
        <w:rPr>
          <w:rFonts w:eastAsia="Times New Roman" w:cs="Times New Roman"/>
        </w:rPr>
        <w:t xml:space="preserve"> Mendoza, and Jason D. Coleman. 2016. “Mental Health Disparities Within the LGBT Population: A Comparison Between Transgender and </w:t>
      </w:r>
      <w:proofErr w:type="spellStart"/>
      <w:r w:rsidRPr="0077178A">
        <w:rPr>
          <w:rFonts w:eastAsia="Times New Roman" w:cs="Times New Roman"/>
        </w:rPr>
        <w:t>Nontransgender</w:t>
      </w:r>
      <w:proofErr w:type="spellEnd"/>
      <w:r w:rsidRPr="0077178A">
        <w:rPr>
          <w:rFonts w:eastAsia="Times New Roman" w:cs="Times New Roman"/>
        </w:rPr>
        <w:t xml:space="preserve"> Individuals.” </w:t>
      </w:r>
      <w:r w:rsidRPr="0077178A">
        <w:rPr>
          <w:rFonts w:eastAsia="Times New Roman" w:cs="Times New Roman"/>
          <w:i/>
          <w:iCs/>
        </w:rPr>
        <w:t>Transgender Health</w:t>
      </w:r>
      <w:r w:rsidRPr="0077178A">
        <w:rPr>
          <w:rFonts w:eastAsia="Times New Roman" w:cs="Times New Roman"/>
        </w:rPr>
        <w:t xml:space="preserve"> 1 (1): 12–20. </w:t>
      </w:r>
      <w:hyperlink r:id="rId39" w:history="1">
        <w:r w:rsidRPr="0077178A">
          <w:rPr>
            <w:rFonts w:eastAsia="Times New Roman" w:cs="Times New Roman"/>
            <w:color w:val="0000FF"/>
            <w:u w:val="single"/>
          </w:rPr>
          <w:t>https://doi.org/10.1089/trgh.2015.0001</w:t>
        </w:r>
      </w:hyperlink>
      <w:r w:rsidRPr="0077178A">
        <w:rPr>
          <w:rFonts w:eastAsia="Times New Roman" w:cs="Times New Roman"/>
        </w:rPr>
        <w:t>.</w:t>
      </w:r>
    </w:p>
    <w:p w14:paraId="5E8BF74B" w14:textId="77777777" w:rsidR="00980EC1" w:rsidRPr="0077178A" w:rsidRDefault="00980EC1" w:rsidP="00980EC1">
      <w:pPr>
        <w:ind w:left="720" w:hanging="720"/>
        <w:rPr>
          <w:rFonts w:eastAsia="Times New Roman" w:cs="Times New Roman"/>
        </w:rPr>
      </w:pPr>
      <w:r w:rsidRPr="0077178A">
        <w:rPr>
          <w:rFonts w:eastAsia="Times New Roman" w:cs="Times New Roman"/>
        </w:rPr>
        <w:t xml:space="preserve">Testa, Rylan J., Janice </w:t>
      </w:r>
      <w:proofErr w:type="spellStart"/>
      <w:r w:rsidRPr="0077178A">
        <w:rPr>
          <w:rFonts w:eastAsia="Times New Roman" w:cs="Times New Roman"/>
        </w:rPr>
        <w:t>Habarth</w:t>
      </w:r>
      <w:proofErr w:type="spellEnd"/>
      <w:r w:rsidRPr="0077178A">
        <w:rPr>
          <w:rFonts w:eastAsia="Times New Roman" w:cs="Times New Roman"/>
        </w:rPr>
        <w:t xml:space="preserve">, Jayme Peta, Kimberly Balsam, and Walter </w:t>
      </w:r>
      <w:proofErr w:type="spellStart"/>
      <w:r w:rsidRPr="0077178A">
        <w:rPr>
          <w:rFonts w:eastAsia="Times New Roman" w:cs="Times New Roman"/>
        </w:rPr>
        <w:t>Bockting</w:t>
      </w:r>
      <w:proofErr w:type="spellEnd"/>
      <w:r w:rsidRPr="0077178A">
        <w:rPr>
          <w:rFonts w:eastAsia="Times New Roman" w:cs="Times New Roman"/>
        </w:rPr>
        <w:t xml:space="preserve">. 2015. “Development of the Gender Minority Stress and Resilience Measure.” </w:t>
      </w:r>
      <w:r w:rsidRPr="0077178A">
        <w:rPr>
          <w:rFonts w:eastAsia="Times New Roman" w:cs="Times New Roman"/>
          <w:i/>
          <w:iCs/>
        </w:rPr>
        <w:t>Psychology of Sexual Orientation and Gender Diversity</w:t>
      </w:r>
      <w:r w:rsidRPr="0077178A">
        <w:rPr>
          <w:rFonts w:eastAsia="Times New Roman" w:cs="Times New Roman"/>
        </w:rPr>
        <w:t xml:space="preserve"> 2 (1): 65–77. </w:t>
      </w:r>
      <w:hyperlink r:id="rId40" w:history="1">
        <w:r w:rsidRPr="0077178A">
          <w:rPr>
            <w:rFonts w:eastAsia="Times New Roman" w:cs="Times New Roman"/>
            <w:color w:val="0000FF"/>
            <w:u w:val="single"/>
          </w:rPr>
          <w:t>https://doi.org/10.1037/sgd0000081</w:t>
        </w:r>
      </w:hyperlink>
      <w:r w:rsidRPr="0077178A">
        <w:rPr>
          <w:rFonts w:eastAsia="Times New Roman" w:cs="Times New Roman"/>
        </w:rPr>
        <w:t>.</w:t>
      </w:r>
    </w:p>
    <w:p w14:paraId="3A9ACE44" w14:textId="77777777" w:rsidR="00980EC1" w:rsidRPr="0077178A" w:rsidRDefault="00980EC1" w:rsidP="00980EC1">
      <w:pPr>
        <w:ind w:left="720" w:hanging="720"/>
        <w:rPr>
          <w:rFonts w:eastAsia="Times New Roman" w:cs="Times New Roman"/>
        </w:rPr>
      </w:pPr>
      <w:r w:rsidRPr="0077178A">
        <w:rPr>
          <w:rFonts w:eastAsia="Times New Roman" w:cs="Times New Roman"/>
        </w:rPr>
        <w:t xml:space="preserve">Tompkins, Avery Brooks. 2021. “Transgender as a Term.” In </w:t>
      </w:r>
      <w:r w:rsidRPr="0077178A">
        <w:rPr>
          <w:rFonts w:eastAsia="Times New Roman" w:cs="Times New Roman"/>
          <w:i/>
          <w:iCs/>
        </w:rPr>
        <w:t>The SAGE Encyclopedia of Trans Studies</w:t>
      </w:r>
      <w:r w:rsidRPr="0077178A">
        <w:rPr>
          <w:rFonts w:eastAsia="Times New Roman" w:cs="Times New Roman"/>
        </w:rPr>
        <w:t xml:space="preserve">, 860–62. Thousand Oaks: SAGE Publications, Inc. </w:t>
      </w:r>
      <w:hyperlink r:id="rId41" w:history="1">
        <w:r w:rsidRPr="0077178A">
          <w:rPr>
            <w:rFonts w:eastAsia="Times New Roman" w:cs="Times New Roman"/>
            <w:color w:val="0000FF"/>
            <w:u w:val="single"/>
          </w:rPr>
          <w:t>https://doi.org/10.4135/9781544393858</w:t>
        </w:r>
      </w:hyperlink>
      <w:r w:rsidRPr="0077178A">
        <w:rPr>
          <w:rFonts w:eastAsia="Times New Roman" w:cs="Times New Roman"/>
        </w:rPr>
        <w:t>.</w:t>
      </w:r>
    </w:p>
    <w:p w14:paraId="5FE7CE42" w14:textId="77777777" w:rsidR="00980EC1" w:rsidRPr="0077178A" w:rsidRDefault="00980EC1" w:rsidP="00980EC1">
      <w:pPr>
        <w:ind w:left="720" w:hanging="720"/>
        <w:rPr>
          <w:rFonts w:eastAsia="Times New Roman" w:cs="Times New Roman"/>
        </w:rPr>
      </w:pPr>
      <w:r w:rsidRPr="0077178A">
        <w:rPr>
          <w:rFonts w:eastAsia="Times New Roman" w:cs="Times New Roman"/>
        </w:rPr>
        <w:lastRenderedPageBreak/>
        <w:t xml:space="preserve">Veale, Jaimie F., Tracey Peter, Robb Travers, and Elizabeth M. </w:t>
      </w:r>
      <w:proofErr w:type="spellStart"/>
      <w:r w:rsidRPr="0077178A">
        <w:rPr>
          <w:rFonts w:eastAsia="Times New Roman" w:cs="Times New Roman"/>
        </w:rPr>
        <w:t>Saewyc</w:t>
      </w:r>
      <w:proofErr w:type="spellEnd"/>
      <w:r w:rsidRPr="0077178A">
        <w:rPr>
          <w:rFonts w:eastAsia="Times New Roman" w:cs="Times New Roman"/>
        </w:rPr>
        <w:t xml:space="preserve">. 2017. “Enacted Stigma, Mental Health, and Protective Factors Among Transgender Youth in Canada.” </w:t>
      </w:r>
      <w:r w:rsidRPr="0077178A">
        <w:rPr>
          <w:rFonts w:eastAsia="Times New Roman" w:cs="Times New Roman"/>
          <w:i/>
          <w:iCs/>
        </w:rPr>
        <w:t>Transgender Health</w:t>
      </w:r>
      <w:r w:rsidRPr="0077178A">
        <w:rPr>
          <w:rFonts w:eastAsia="Times New Roman" w:cs="Times New Roman"/>
        </w:rPr>
        <w:t xml:space="preserve"> 2 (1): 207–16. </w:t>
      </w:r>
      <w:hyperlink r:id="rId42" w:history="1">
        <w:r w:rsidRPr="0077178A">
          <w:rPr>
            <w:rFonts w:eastAsia="Times New Roman" w:cs="Times New Roman"/>
            <w:color w:val="0000FF"/>
            <w:u w:val="single"/>
          </w:rPr>
          <w:t>https://doi.org/10.1089/trgh.2017.0031</w:t>
        </w:r>
      </w:hyperlink>
      <w:r w:rsidRPr="0077178A">
        <w:rPr>
          <w:rFonts w:eastAsia="Times New Roman" w:cs="Times New Roman"/>
        </w:rPr>
        <w:t>.</w:t>
      </w:r>
    </w:p>
    <w:p w14:paraId="5AE0A5B9" w14:textId="77777777" w:rsidR="00980EC1" w:rsidRDefault="00980EC1" w:rsidP="00980EC1">
      <w:pPr>
        <w:ind w:left="720" w:hanging="720"/>
        <w:rPr>
          <w:rFonts w:eastAsia="Times New Roman" w:cs="Times New Roman"/>
        </w:rPr>
      </w:pPr>
      <w:r w:rsidRPr="0077178A">
        <w:rPr>
          <w:rFonts w:eastAsia="Times New Roman" w:cs="Times New Roman"/>
        </w:rPr>
        <w:t xml:space="preserve">Vries, Kylan Mattias de. 2015. “Transgender People of Color at the Center: Conceptualizing a New Intersectional Model.” </w:t>
      </w:r>
      <w:r w:rsidRPr="0077178A">
        <w:rPr>
          <w:rFonts w:eastAsia="Times New Roman" w:cs="Times New Roman"/>
          <w:i/>
          <w:iCs/>
        </w:rPr>
        <w:t>Ethnicities</w:t>
      </w:r>
      <w:r w:rsidRPr="0077178A">
        <w:rPr>
          <w:rFonts w:eastAsia="Times New Roman" w:cs="Times New Roman"/>
        </w:rPr>
        <w:t xml:space="preserve"> 15 (1): 3–27. </w:t>
      </w:r>
      <w:hyperlink r:id="rId43" w:history="1">
        <w:r w:rsidRPr="0077178A">
          <w:rPr>
            <w:rFonts w:eastAsia="Times New Roman" w:cs="Times New Roman"/>
            <w:color w:val="0000FF"/>
            <w:u w:val="single"/>
          </w:rPr>
          <w:t>https://doi.org/10.1177/1468796814547058</w:t>
        </w:r>
      </w:hyperlink>
      <w:r w:rsidRPr="0077178A">
        <w:rPr>
          <w:rFonts w:eastAsia="Times New Roman" w:cs="Times New Roman"/>
        </w:rPr>
        <w:t>.</w:t>
      </w:r>
    </w:p>
    <w:p w14:paraId="4B39DD54" w14:textId="5473D5F4" w:rsidR="001C739E" w:rsidRDefault="001C739E">
      <w:pPr>
        <w:rPr>
          <w:rFonts w:ascii="AlegreyaRoman-Regular" w:hAnsi="AlegreyaRoman-Regular" w:cs="AlegreyaRoman-Regular"/>
          <w:color w:val="000000"/>
        </w:rPr>
      </w:pPr>
      <w:r>
        <w:br w:type="page"/>
      </w:r>
    </w:p>
    <w:tbl>
      <w:tblPr>
        <w:tblW w:w="9000" w:type="dxa"/>
        <w:tblLayout w:type="fixed"/>
        <w:tblLook w:val="04A0" w:firstRow="1" w:lastRow="0" w:firstColumn="1" w:lastColumn="0" w:noHBand="0" w:noVBand="1"/>
      </w:tblPr>
      <w:tblGrid>
        <w:gridCol w:w="5215"/>
        <w:gridCol w:w="946"/>
        <w:gridCol w:w="946"/>
        <w:gridCol w:w="946"/>
        <w:gridCol w:w="947"/>
      </w:tblGrid>
      <w:tr w:rsidR="001C739E" w:rsidRPr="001C739E" w14:paraId="2E6C5428" w14:textId="77777777" w:rsidTr="004605E3">
        <w:trPr>
          <w:trHeight w:val="320"/>
        </w:trPr>
        <w:tc>
          <w:tcPr>
            <w:tcW w:w="9000" w:type="dxa"/>
            <w:gridSpan w:val="5"/>
            <w:tcBorders>
              <w:bottom w:val="single" w:sz="4" w:space="0" w:color="auto"/>
            </w:tcBorders>
            <w:shd w:val="clear" w:color="auto" w:fill="auto"/>
            <w:noWrap/>
            <w:vAlign w:val="bottom"/>
            <w:hideMark/>
          </w:tcPr>
          <w:p w14:paraId="09E4ED32" w14:textId="77777777" w:rsidR="001C739E" w:rsidRPr="001C739E" w:rsidRDefault="001C739E" w:rsidP="001C739E">
            <w:pPr>
              <w:rPr>
                <w:rFonts w:eastAsia="Times New Roman" w:cs="Times New Roman"/>
                <w:b/>
                <w:bCs/>
                <w:color w:val="000000"/>
                <w:sz w:val="22"/>
                <w:szCs w:val="22"/>
              </w:rPr>
            </w:pPr>
            <w:r w:rsidRPr="001C739E">
              <w:rPr>
                <w:rFonts w:eastAsia="Times New Roman" w:cs="Times New Roman"/>
                <w:b/>
                <w:bCs/>
                <w:color w:val="000000"/>
                <w:sz w:val="22"/>
                <w:szCs w:val="22"/>
              </w:rPr>
              <w:lastRenderedPageBreak/>
              <w:t>Table 1. Demographic Information</w:t>
            </w:r>
          </w:p>
        </w:tc>
      </w:tr>
      <w:tr w:rsidR="001C739E" w:rsidRPr="001C739E" w14:paraId="16CBF52E" w14:textId="77777777" w:rsidTr="004605E3">
        <w:trPr>
          <w:trHeight w:val="320"/>
        </w:trPr>
        <w:tc>
          <w:tcPr>
            <w:tcW w:w="5215" w:type="dxa"/>
            <w:tcBorders>
              <w:top w:val="single" w:sz="4" w:space="0" w:color="auto"/>
            </w:tcBorders>
            <w:shd w:val="clear" w:color="auto" w:fill="auto"/>
            <w:noWrap/>
            <w:vAlign w:val="bottom"/>
          </w:tcPr>
          <w:p w14:paraId="5BB2BE9C" w14:textId="77777777" w:rsidR="001C739E" w:rsidRPr="001C739E" w:rsidRDefault="001C739E" w:rsidP="001C739E">
            <w:pPr>
              <w:rPr>
                <w:rFonts w:eastAsia="Times New Roman" w:cs="Times New Roman"/>
                <w:color w:val="000000"/>
                <w:sz w:val="22"/>
                <w:szCs w:val="22"/>
              </w:rPr>
            </w:pPr>
          </w:p>
        </w:tc>
        <w:tc>
          <w:tcPr>
            <w:tcW w:w="1892" w:type="dxa"/>
            <w:gridSpan w:val="2"/>
            <w:tcBorders>
              <w:top w:val="single" w:sz="4" w:space="0" w:color="auto"/>
              <w:bottom w:val="single" w:sz="4" w:space="0" w:color="auto"/>
            </w:tcBorders>
            <w:shd w:val="clear" w:color="auto" w:fill="auto"/>
            <w:noWrap/>
            <w:vAlign w:val="bottom"/>
          </w:tcPr>
          <w:p w14:paraId="13AA436A" w14:textId="1306D88D"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Study 1 (</w:t>
            </w:r>
            <w:r w:rsidRPr="001C739E">
              <w:rPr>
                <w:rFonts w:eastAsia="Times New Roman" w:cs="Times New Roman"/>
                <w:i/>
                <w:iCs/>
                <w:color w:val="000000"/>
                <w:sz w:val="22"/>
                <w:szCs w:val="22"/>
              </w:rPr>
              <w:t>N</w:t>
            </w:r>
            <w:r w:rsidRPr="001C739E">
              <w:rPr>
                <w:rFonts w:eastAsia="Times New Roman" w:cs="Times New Roman"/>
                <w:color w:val="000000"/>
                <w:sz w:val="22"/>
                <w:szCs w:val="22"/>
              </w:rPr>
              <w:t xml:space="preserve"> = 138)</w:t>
            </w:r>
          </w:p>
        </w:tc>
        <w:tc>
          <w:tcPr>
            <w:tcW w:w="1893" w:type="dxa"/>
            <w:gridSpan w:val="2"/>
            <w:tcBorders>
              <w:top w:val="single" w:sz="4" w:space="0" w:color="auto"/>
              <w:bottom w:val="single" w:sz="4" w:space="0" w:color="auto"/>
            </w:tcBorders>
            <w:shd w:val="clear" w:color="auto" w:fill="auto"/>
            <w:noWrap/>
            <w:vAlign w:val="bottom"/>
          </w:tcPr>
          <w:p w14:paraId="553CC12E" w14:textId="756E54DA"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Study 1 (</w:t>
            </w:r>
            <w:r w:rsidRPr="001C739E">
              <w:rPr>
                <w:rFonts w:eastAsia="Times New Roman" w:cs="Times New Roman"/>
                <w:i/>
                <w:iCs/>
                <w:color w:val="000000"/>
                <w:sz w:val="22"/>
                <w:szCs w:val="22"/>
              </w:rPr>
              <w:t>N</w:t>
            </w:r>
            <w:r w:rsidRPr="001C739E">
              <w:rPr>
                <w:rFonts w:eastAsia="Times New Roman" w:cs="Times New Roman"/>
                <w:color w:val="000000"/>
                <w:sz w:val="22"/>
                <w:szCs w:val="22"/>
              </w:rPr>
              <w:t xml:space="preserve"> = 226)</w:t>
            </w:r>
          </w:p>
        </w:tc>
      </w:tr>
      <w:tr w:rsidR="001C739E" w:rsidRPr="001C739E" w14:paraId="31C0BBE2" w14:textId="77777777" w:rsidTr="004605E3">
        <w:trPr>
          <w:trHeight w:val="320"/>
        </w:trPr>
        <w:tc>
          <w:tcPr>
            <w:tcW w:w="5215" w:type="dxa"/>
            <w:tcBorders>
              <w:top w:val="single" w:sz="4" w:space="0" w:color="auto"/>
              <w:bottom w:val="single" w:sz="4" w:space="0" w:color="auto"/>
            </w:tcBorders>
            <w:shd w:val="clear" w:color="auto" w:fill="auto"/>
            <w:noWrap/>
            <w:vAlign w:val="bottom"/>
            <w:hideMark/>
          </w:tcPr>
          <w:p w14:paraId="28A0AFF4" w14:textId="77777777" w:rsidR="001C739E" w:rsidRPr="001C739E" w:rsidRDefault="001C739E" w:rsidP="001C739E">
            <w:pPr>
              <w:rPr>
                <w:rFonts w:eastAsia="Times New Roman" w:cs="Times New Roman"/>
                <w:color w:val="000000"/>
                <w:sz w:val="22"/>
                <w:szCs w:val="22"/>
              </w:rPr>
            </w:pPr>
            <w:r w:rsidRPr="001C739E">
              <w:rPr>
                <w:rFonts w:eastAsia="Times New Roman" w:cs="Times New Roman"/>
                <w:color w:val="000000"/>
                <w:sz w:val="22"/>
                <w:szCs w:val="22"/>
              </w:rPr>
              <w:t>Variables</w:t>
            </w:r>
          </w:p>
        </w:tc>
        <w:tc>
          <w:tcPr>
            <w:tcW w:w="946" w:type="dxa"/>
            <w:tcBorders>
              <w:top w:val="single" w:sz="4" w:space="0" w:color="auto"/>
              <w:bottom w:val="single" w:sz="4" w:space="0" w:color="auto"/>
            </w:tcBorders>
            <w:shd w:val="clear" w:color="auto" w:fill="auto"/>
            <w:noWrap/>
            <w:vAlign w:val="bottom"/>
            <w:hideMark/>
          </w:tcPr>
          <w:p w14:paraId="378AE5E1" w14:textId="77777777" w:rsidR="001C739E" w:rsidRPr="001C739E" w:rsidRDefault="001C739E" w:rsidP="001C739E">
            <w:pPr>
              <w:jc w:val="center"/>
              <w:rPr>
                <w:rFonts w:eastAsia="Times New Roman" w:cs="Times New Roman"/>
                <w:i/>
                <w:iCs/>
                <w:color w:val="000000"/>
                <w:sz w:val="22"/>
                <w:szCs w:val="22"/>
              </w:rPr>
            </w:pPr>
            <w:r w:rsidRPr="001C739E">
              <w:rPr>
                <w:rFonts w:eastAsia="Times New Roman" w:cs="Times New Roman"/>
                <w:i/>
                <w:iCs/>
                <w:color w:val="000000"/>
                <w:sz w:val="22"/>
                <w:szCs w:val="22"/>
              </w:rPr>
              <w:t>n</w:t>
            </w:r>
          </w:p>
        </w:tc>
        <w:tc>
          <w:tcPr>
            <w:tcW w:w="946" w:type="dxa"/>
            <w:tcBorders>
              <w:top w:val="single" w:sz="4" w:space="0" w:color="auto"/>
              <w:bottom w:val="single" w:sz="4" w:space="0" w:color="auto"/>
            </w:tcBorders>
            <w:shd w:val="clear" w:color="auto" w:fill="auto"/>
            <w:noWrap/>
            <w:vAlign w:val="bottom"/>
            <w:hideMark/>
          </w:tcPr>
          <w:p w14:paraId="66A1B217"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w:t>
            </w:r>
          </w:p>
        </w:tc>
        <w:tc>
          <w:tcPr>
            <w:tcW w:w="946" w:type="dxa"/>
            <w:tcBorders>
              <w:top w:val="single" w:sz="4" w:space="0" w:color="auto"/>
              <w:bottom w:val="single" w:sz="4" w:space="0" w:color="auto"/>
            </w:tcBorders>
            <w:shd w:val="clear" w:color="auto" w:fill="auto"/>
            <w:noWrap/>
            <w:vAlign w:val="bottom"/>
            <w:hideMark/>
          </w:tcPr>
          <w:p w14:paraId="643A15E3" w14:textId="77777777" w:rsidR="001C739E" w:rsidRPr="001C739E" w:rsidRDefault="001C739E" w:rsidP="001C739E">
            <w:pPr>
              <w:jc w:val="center"/>
              <w:rPr>
                <w:rFonts w:eastAsia="Times New Roman" w:cs="Times New Roman"/>
                <w:i/>
                <w:iCs/>
                <w:color w:val="000000"/>
                <w:sz w:val="22"/>
                <w:szCs w:val="22"/>
              </w:rPr>
            </w:pPr>
            <w:r w:rsidRPr="001C739E">
              <w:rPr>
                <w:rFonts w:eastAsia="Times New Roman" w:cs="Times New Roman"/>
                <w:i/>
                <w:iCs/>
                <w:color w:val="000000"/>
                <w:sz w:val="22"/>
                <w:szCs w:val="22"/>
              </w:rPr>
              <w:t>n</w:t>
            </w:r>
          </w:p>
        </w:tc>
        <w:tc>
          <w:tcPr>
            <w:tcW w:w="947" w:type="dxa"/>
            <w:tcBorders>
              <w:top w:val="single" w:sz="4" w:space="0" w:color="auto"/>
              <w:bottom w:val="single" w:sz="4" w:space="0" w:color="auto"/>
            </w:tcBorders>
            <w:shd w:val="clear" w:color="auto" w:fill="auto"/>
            <w:noWrap/>
            <w:vAlign w:val="bottom"/>
            <w:hideMark/>
          </w:tcPr>
          <w:p w14:paraId="23669722"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w:t>
            </w:r>
          </w:p>
        </w:tc>
      </w:tr>
      <w:tr w:rsidR="001C739E" w:rsidRPr="001C739E" w14:paraId="451A7E5A" w14:textId="77777777" w:rsidTr="004605E3">
        <w:trPr>
          <w:trHeight w:val="320"/>
        </w:trPr>
        <w:tc>
          <w:tcPr>
            <w:tcW w:w="5215" w:type="dxa"/>
            <w:tcBorders>
              <w:top w:val="single" w:sz="4" w:space="0" w:color="auto"/>
            </w:tcBorders>
            <w:shd w:val="clear" w:color="auto" w:fill="auto"/>
            <w:noWrap/>
            <w:vAlign w:val="bottom"/>
            <w:hideMark/>
          </w:tcPr>
          <w:p w14:paraId="49F4A059" w14:textId="77777777" w:rsidR="001C739E" w:rsidRPr="001C739E" w:rsidRDefault="001C739E" w:rsidP="001C739E">
            <w:pPr>
              <w:rPr>
                <w:rFonts w:eastAsia="Times New Roman" w:cs="Times New Roman"/>
                <w:color w:val="000000"/>
                <w:sz w:val="22"/>
                <w:szCs w:val="22"/>
              </w:rPr>
            </w:pPr>
            <w:r w:rsidRPr="001C739E">
              <w:rPr>
                <w:rFonts w:eastAsia="Times New Roman" w:cs="Times New Roman" w:hint="cs"/>
                <w:color w:val="000000"/>
                <w:sz w:val="22"/>
                <w:szCs w:val="22"/>
                <w:rtl/>
                <w:lang w:bidi="ar-YE"/>
              </w:rPr>
              <w:t> </w:t>
            </w:r>
            <w:r w:rsidRPr="001C739E">
              <w:rPr>
                <w:rFonts w:eastAsia="Times New Roman" w:cs="Times New Roman" w:hint="cs"/>
                <w:color w:val="000000"/>
                <w:sz w:val="22"/>
                <w:szCs w:val="22"/>
                <w:lang w:bidi="ar-YE"/>
              </w:rPr>
              <w:t>Age</w:t>
            </w:r>
          </w:p>
        </w:tc>
        <w:tc>
          <w:tcPr>
            <w:tcW w:w="946" w:type="dxa"/>
            <w:tcBorders>
              <w:top w:val="single" w:sz="4" w:space="0" w:color="auto"/>
            </w:tcBorders>
            <w:shd w:val="clear" w:color="auto" w:fill="auto"/>
            <w:noWrap/>
            <w:vAlign w:val="bottom"/>
            <w:hideMark/>
          </w:tcPr>
          <w:p w14:paraId="48B8489A" w14:textId="77777777" w:rsidR="001C739E" w:rsidRPr="001C739E" w:rsidRDefault="001C739E" w:rsidP="001C739E">
            <w:pPr>
              <w:jc w:val="center"/>
              <w:rPr>
                <w:rFonts w:eastAsia="Times New Roman" w:cs="Times New Roman"/>
                <w:color w:val="000000"/>
                <w:sz w:val="22"/>
                <w:szCs w:val="22"/>
              </w:rPr>
            </w:pPr>
          </w:p>
        </w:tc>
        <w:tc>
          <w:tcPr>
            <w:tcW w:w="946" w:type="dxa"/>
            <w:tcBorders>
              <w:top w:val="single" w:sz="4" w:space="0" w:color="auto"/>
            </w:tcBorders>
            <w:shd w:val="clear" w:color="auto" w:fill="auto"/>
            <w:noWrap/>
            <w:vAlign w:val="bottom"/>
            <w:hideMark/>
          </w:tcPr>
          <w:p w14:paraId="60C626B7" w14:textId="77777777" w:rsidR="001C739E" w:rsidRPr="001C739E" w:rsidRDefault="001C739E" w:rsidP="001C739E">
            <w:pPr>
              <w:jc w:val="center"/>
              <w:rPr>
                <w:rFonts w:eastAsia="Times New Roman" w:cs="Times New Roman"/>
                <w:sz w:val="20"/>
                <w:szCs w:val="20"/>
              </w:rPr>
            </w:pPr>
          </w:p>
        </w:tc>
        <w:tc>
          <w:tcPr>
            <w:tcW w:w="946" w:type="dxa"/>
            <w:tcBorders>
              <w:top w:val="single" w:sz="4" w:space="0" w:color="auto"/>
            </w:tcBorders>
            <w:shd w:val="clear" w:color="auto" w:fill="auto"/>
            <w:noWrap/>
            <w:vAlign w:val="bottom"/>
            <w:hideMark/>
          </w:tcPr>
          <w:p w14:paraId="2CC83477" w14:textId="77777777" w:rsidR="001C739E" w:rsidRPr="001C739E" w:rsidRDefault="001C739E" w:rsidP="001C739E">
            <w:pPr>
              <w:jc w:val="center"/>
              <w:rPr>
                <w:rFonts w:eastAsia="Times New Roman" w:cs="Times New Roman"/>
                <w:sz w:val="20"/>
                <w:szCs w:val="20"/>
              </w:rPr>
            </w:pPr>
          </w:p>
        </w:tc>
        <w:tc>
          <w:tcPr>
            <w:tcW w:w="947" w:type="dxa"/>
            <w:tcBorders>
              <w:top w:val="single" w:sz="4" w:space="0" w:color="auto"/>
            </w:tcBorders>
            <w:shd w:val="clear" w:color="auto" w:fill="auto"/>
            <w:noWrap/>
            <w:vAlign w:val="bottom"/>
            <w:hideMark/>
          </w:tcPr>
          <w:p w14:paraId="179187FC" w14:textId="77777777" w:rsidR="001C739E" w:rsidRPr="001C739E" w:rsidRDefault="001C739E" w:rsidP="001C739E">
            <w:pPr>
              <w:jc w:val="center"/>
              <w:rPr>
                <w:rFonts w:eastAsia="Times New Roman" w:cs="Times New Roman"/>
                <w:sz w:val="20"/>
                <w:szCs w:val="20"/>
              </w:rPr>
            </w:pPr>
          </w:p>
        </w:tc>
      </w:tr>
      <w:tr w:rsidR="004605E3" w:rsidRPr="001C739E" w14:paraId="3B33D344" w14:textId="77777777" w:rsidTr="00A728D2">
        <w:trPr>
          <w:trHeight w:val="320"/>
        </w:trPr>
        <w:tc>
          <w:tcPr>
            <w:tcW w:w="5215" w:type="dxa"/>
            <w:shd w:val="clear" w:color="auto" w:fill="auto"/>
            <w:noWrap/>
            <w:vAlign w:val="bottom"/>
            <w:hideMark/>
          </w:tcPr>
          <w:p w14:paraId="246E1831" w14:textId="77777777" w:rsidR="004605E3" w:rsidRPr="001C739E" w:rsidRDefault="004605E3" w:rsidP="004605E3">
            <w:pPr>
              <w:ind w:left="336"/>
              <w:rPr>
                <w:rFonts w:eastAsia="Times New Roman" w:cs="Times New Roman"/>
                <w:color w:val="000000"/>
                <w:sz w:val="22"/>
                <w:szCs w:val="22"/>
              </w:rPr>
            </w:pPr>
            <w:r w:rsidRPr="001C739E">
              <w:rPr>
                <w:rFonts w:eastAsia="Times New Roman" w:cs="Times New Roman"/>
                <w:color w:val="000000"/>
                <w:sz w:val="22"/>
                <w:szCs w:val="22"/>
              </w:rPr>
              <w:t>Mean</w:t>
            </w:r>
          </w:p>
        </w:tc>
        <w:tc>
          <w:tcPr>
            <w:tcW w:w="1892" w:type="dxa"/>
            <w:gridSpan w:val="2"/>
            <w:shd w:val="clear" w:color="auto" w:fill="auto"/>
            <w:noWrap/>
            <w:vAlign w:val="bottom"/>
            <w:hideMark/>
          </w:tcPr>
          <w:p w14:paraId="369D1BC8" w14:textId="5D209BCC" w:rsidR="004605E3" w:rsidRPr="001C739E" w:rsidRDefault="004605E3" w:rsidP="001C739E">
            <w:pPr>
              <w:jc w:val="center"/>
              <w:rPr>
                <w:rFonts w:eastAsia="Times New Roman" w:cs="Times New Roman"/>
                <w:color w:val="000000"/>
                <w:sz w:val="22"/>
                <w:szCs w:val="22"/>
              </w:rPr>
            </w:pPr>
            <w:r w:rsidRPr="001C739E">
              <w:rPr>
                <w:rFonts w:eastAsia="Times New Roman" w:cs="Times New Roman"/>
                <w:color w:val="000000"/>
                <w:sz w:val="22"/>
                <w:szCs w:val="22"/>
              </w:rPr>
              <w:t>28.12</w:t>
            </w:r>
          </w:p>
        </w:tc>
        <w:tc>
          <w:tcPr>
            <w:tcW w:w="1893" w:type="dxa"/>
            <w:gridSpan w:val="2"/>
            <w:shd w:val="clear" w:color="auto" w:fill="auto"/>
            <w:noWrap/>
            <w:vAlign w:val="bottom"/>
            <w:hideMark/>
          </w:tcPr>
          <w:p w14:paraId="58E3EE24" w14:textId="32A519A1" w:rsidR="004605E3" w:rsidRPr="001C739E" w:rsidRDefault="004605E3" w:rsidP="001C739E">
            <w:pPr>
              <w:jc w:val="center"/>
              <w:rPr>
                <w:rFonts w:eastAsia="Times New Roman" w:cs="Times New Roman"/>
                <w:color w:val="000000"/>
                <w:sz w:val="22"/>
                <w:szCs w:val="22"/>
              </w:rPr>
            </w:pPr>
            <w:r w:rsidRPr="001C739E">
              <w:rPr>
                <w:rFonts w:eastAsia="Times New Roman" w:cs="Times New Roman"/>
                <w:color w:val="000000"/>
                <w:sz w:val="22"/>
                <w:szCs w:val="22"/>
              </w:rPr>
              <w:t>27.76</w:t>
            </w:r>
          </w:p>
        </w:tc>
      </w:tr>
      <w:tr w:rsidR="004605E3" w:rsidRPr="001C739E" w14:paraId="70C9A1BF" w14:textId="77777777" w:rsidTr="004B7928">
        <w:trPr>
          <w:trHeight w:val="320"/>
        </w:trPr>
        <w:tc>
          <w:tcPr>
            <w:tcW w:w="5215" w:type="dxa"/>
            <w:shd w:val="clear" w:color="auto" w:fill="auto"/>
            <w:noWrap/>
            <w:vAlign w:val="bottom"/>
            <w:hideMark/>
          </w:tcPr>
          <w:p w14:paraId="4E3C98AA" w14:textId="77777777" w:rsidR="004605E3" w:rsidRPr="001C739E" w:rsidRDefault="004605E3" w:rsidP="004605E3">
            <w:pPr>
              <w:ind w:left="336"/>
              <w:rPr>
                <w:rFonts w:eastAsia="Times New Roman" w:cs="Times New Roman"/>
                <w:color w:val="000000"/>
                <w:sz w:val="22"/>
                <w:szCs w:val="22"/>
              </w:rPr>
            </w:pPr>
            <w:r w:rsidRPr="001C739E">
              <w:rPr>
                <w:rFonts w:eastAsia="Times New Roman" w:cs="Times New Roman"/>
                <w:color w:val="000000"/>
                <w:sz w:val="22"/>
                <w:szCs w:val="22"/>
              </w:rPr>
              <w:t>Range</w:t>
            </w:r>
          </w:p>
        </w:tc>
        <w:tc>
          <w:tcPr>
            <w:tcW w:w="1892" w:type="dxa"/>
            <w:gridSpan w:val="2"/>
            <w:shd w:val="clear" w:color="auto" w:fill="auto"/>
            <w:noWrap/>
            <w:vAlign w:val="bottom"/>
            <w:hideMark/>
          </w:tcPr>
          <w:p w14:paraId="3CF33E50" w14:textId="345F8FC4" w:rsidR="004605E3" w:rsidRPr="001C739E" w:rsidRDefault="004605E3" w:rsidP="001C739E">
            <w:pPr>
              <w:jc w:val="center"/>
              <w:rPr>
                <w:rFonts w:eastAsia="Times New Roman" w:cs="Times New Roman"/>
                <w:color w:val="000000"/>
                <w:sz w:val="22"/>
                <w:szCs w:val="22"/>
              </w:rPr>
            </w:pPr>
            <w:r w:rsidRPr="001C739E">
              <w:rPr>
                <w:rFonts w:eastAsia="Times New Roman" w:cs="Times New Roman"/>
                <w:color w:val="000000"/>
                <w:sz w:val="22"/>
                <w:szCs w:val="22"/>
              </w:rPr>
              <w:t>18–59</w:t>
            </w:r>
          </w:p>
        </w:tc>
        <w:tc>
          <w:tcPr>
            <w:tcW w:w="1893" w:type="dxa"/>
            <w:gridSpan w:val="2"/>
            <w:shd w:val="clear" w:color="auto" w:fill="auto"/>
            <w:noWrap/>
            <w:vAlign w:val="bottom"/>
            <w:hideMark/>
          </w:tcPr>
          <w:p w14:paraId="5198DFAC" w14:textId="3B04DD3F" w:rsidR="004605E3" w:rsidRPr="001C739E" w:rsidRDefault="004605E3" w:rsidP="001C739E">
            <w:pPr>
              <w:jc w:val="center"/>
              <w:rPr>
                <w:rFonts w:eastAsia="Times New Roman" w:cs="Times New Roman"/>
                <w:color w:val="000000"/>
                <w:sz w:val="22"/>
                <w:szCs w:val="22"/>
              </w:rPr>
            </w:pPr>
            <w:r w:rsidRPr="001C739E">
              <w:rPr>
                <w:rFonts w:eastAsia="Times New Roman" w:cs="Times New Roman"/>
                <w:color w:val="000000"/>
                <w:sz w:val="22"/>
                <w:szCs w:val="22"/>
              </w:rPr>
              <w:t>18–72</w:t>
            </w:r>
          </w:p>
        </w:tc>
      </w:tr>
      <w:tr w:rsidR="001C739E" w:rsidRPr="001C739E" w14:paraId="2EB47BE9" w14:textId="77777777" w:rsidTr="004605E3">
        <w:trPr>
          <w:trHeight w:val="320"/>
        </w:trPr>
        <w:tc>
          <w:tcPr>
            <w:tcW w:w="5215" w:type="dxa"/>
            <w:shd w:val="clear" w:color="auto" w:fill="auto"/>
            <w:noWrap/>
            <w:vAlign w:val="bottom"/>
            <w:hideMark/>
          </w:tcPr>
          <w:p w14:paraId="024F1B8B" w14:textId="77777777" w:rsidR="001C739E" w:rsidRPr="001C739E" w:rsidRDefault="001C739E" w:rsidP="001C739E">
            <w:pPr>
              <w:rPr>
                <w:rFonts w:eastAsia="Times New Roman" w:cs="Times New Roman"/>
                <w:color w:val="000000"/>
                <w:sz w:val="22"/>
                <w:szCs w:val="22"/>
              </w:rPr>
            </w:pPr>
            <w:r w:rsidRPr="001C739E">
              <w:rPr>
                <w:rFonts w:eastAsia="Times New Roman" w:cs="Times New Roman" w:hint="cs"/>
                <w:color w:val="000000"/>
                <w:sz w:val="22"/>
                <w:szCs w:val="22"/>
                <w:rtl/>
                <w:lang w:bidi="ar-YE"/>
              </w:rPr>
              <w:t> </w:t>
            </w:r>
            <w:r w:rsidRPr="001C739E">
              <w:rPr>
                <w:rFonts w:eastAsia="Times New Roman" w:cs="Times New Roman" w:hint="cs"/>
                <w:color w:val="000000"/>
                <w:sz w:val="22"/>
                <w:szCs w:val="22"/>
                <w:lang w:bidi="ar-YE"/>
              </w:rPr>
              <w:t>Gender</w:t>
            </w:r>
          </w:p>
        </w:tc>
        <w:tc>
          <w:tcPr>
            <w:tcW w:w="946" w:type="dxa"/>
            <w:shd w:val="clear" w:color="auto" w:fill="auto"/>
            <w:noWrap/>
            <w:vAlign w:val="bottom"/>
            <w:hideMark/>
          </w:tcPr>
          <w:p w14:paraId="2FE0606A" w14:textId="77777777" w:rsidR="001C739E" w:rsidRPr="001C739E" w:rsidRDefault="001C739E" w:rsidP="001C739E">
            <w:pPr>
              <w:jc w:val="center"/>
              <w:rPr>
                <w:rFonts w:eastAsia="Times New Roman" w:cs="Times New Roman"/>
                <w:color w:val="000000"/>
                <w:sz w:val="22"/>
                <w:szCs w:val="22"/>
              </w:rPr>
            </w:pPr>
          </w:p>
        </w:tc>
        <w:tc>
          <w:tcPr>
            <w:tcW w:w="946" w:type="dxa"/>
            <w:shd w:val="clear" w:color="auto" w:fill="auto"/>
            <w:noWrap/>
            <w:vAlign w:val="bottom"/>
            <w:hideMark/>
          </w:tcPr>
          <w:p w14:paraId="4DDF8FD6" w14:textId="77777777" w:rsidR="001C739E" w:rsidRPr="001C739E" w:rsidRDefault="001C739E" w:rsidP="001C739E">
            <w:pPr>
              <w:jc w:val="center"/>
              <w:rPr>
                <w:rFonts w:eastAsia="Times New Roman" w:cs="Times New Roman"/>
                <w:sz w:val="20"/>
                <w:szCs w:val="20"/>
              </w:rPr>
            </w:pPr>
          </w:p>
        </w:tc>
        <w:tc>
          <w:tcPr>
            <w:tcW w:w="946" w:type="dxa"/>
            <w:shd w:val="clear" w:color="auto" w:fill="auto"/>
            <w:noWrap/>
            <w:vAlign w:val="bottom"/>
            <w:hideMark/>
          </w:tcPr>
          <w:p w14:paraId="149DE09B" w14:textId="77777777" w:rsidR="001C739E" w:rsidRPr="001C739E" w:rsidRDefault="001C739E" w:rsidP="001C739E">
            <w:pPr>
              <w:jc w:val="center"/>
              <w:rPr>
                <w:rFonts w:eastAsia="Times New Roman" w:cs="Times New Roman"/>
                <w:sz w:val="20"/>
                <w:szCs w:val="20"/>
              </w:rPr>
            </w:pPr>
          </w:p>
        </w:tc>
        <w:tc>
          <w:tcPr>
            <w:tcW w:w="947" w:type="dxa"/>
            <w:shd w:val="clear" w:color="auto" w:fill="auto"/>
            <w:noWrap/>
            <w:vAlign w:val="bottom"/>
            <w:hideMark/>
          </w:tcPr>
          <w:p w14:paraId="07BE6850" w14:textId="77777777" w:rsidR="001C739E" w:rsidRPr="001C739E" w:rsidRDefault="001C739E" w:rsidP="001C739E">
            <w:pPr>
              <w:jc w:val="center"/>
              <w:rPr>
                <w:rFonts w:eastAsia="Times New Roman" w:cs="Times New Roman"/>
                <w:sz w:val="20"/>
                <w:szCs w:val="20"/>
              </w:rPr>
            </w:pPr>
          </w:p>
        </w:tc>
      </w:tr>
      <w:tr w:rsidR="001C739E" w:rsidRPr="001C739E" w14:paraId="17BAB4AD" w14:textId="77777777" w:rsidTr="004605E3">
        <w:trPr>
          <w:trHeight w:val="320"/>
        </w:trPr>
        <w:tc>
          <w:tcPr>
            <w:tcW w:w="5215" w:type="dxa"/>
            <w:shd w:val="clear" w:color="auto" w:fill="auto"/>
            <w:noWrap/>
            <w:vAlign w:val="bottom"/>
            <w:hideMark/>
          </w:tcPr>
          <w:p w14:paraId="5D0271FC" w14:textId="77777777" w:rsidR="001C739E" w:rsidRPr="001C739E" w:rsidRDefault="001C739E" w:rsidP="004605E3">
            <w:pPr>
              <w:ind w:left="336"/>
              <w:rPr>
                <w:rFonts w:eastAsia="Times New Roman" w:cs="Times New Roman"/>
                <w:color w:val="000000"/>
                <w:sz w:val="22"/>
                <w:szCs w:val="22"/>
              </w:rPr>
            </w:pPr>
            <w:r w:rsidRPr="001C739E">
              <w:rPr>
                <w:rFonts w:eastAsia="Times New Roman" w:cs="Times New Roman"/>
                <w:color w:val="000000"/>
                <w:sz w:val="22"/>
                <w:szCs w:val="22"/>
              </w:rPr>
              <w:t>Transgender woman</w:t>
            </w:r>
          </w:p>
        </w:tc>
        <w:tc>
          <w:tcPr>
            <w:tcW w:w="946" w:type="dxa"/>
            <w:shd w:val="clear" w:color="auto" w:fill="auto"/>
            <w:noWrap/>
            <w:vAlign w:val="bottom"/>
            <w:hideMark/>
          </w:tcPr>
          <w:p w14:paraId="41DBB04E"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23</w:t>
            </w:r>
          </w:p>
        </w:tc>
        <w:tc>
          <w:tcPr>
            <w:tcW w:w="946" w:type="dxa"/>
            <w:shd w:val="clear" w:color="auto" w:fill="auto"/>
            <w:noWrap/>
            <w:vAlign w:val="bottom"/>
            <w:hideMark/>
          </w:tcPr>
          <w:p w14:paraId="24077F6C"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16.70%</w:t>
            </w:r>
          </w:p>
        </w:tc>
        <w:tc>
          <w:tcPr>
            <w:tcW w:w="946" w:type="dxa"/>
            <w:shd w:val="clear" w:color="auto" w:fill="auto"/>
            <w:noWrap/>
            <w:vAlign w:val="bottom"/>
            <w:hideMark/>
          </w:tcPr>
          <w:p w14:paraId="4EB018F7"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51</w:t>
            </w:r>
          </w:p>
        </w:tc>
        <w:tc>
          <w:tcPr>
            <w:tcW w:w="947" w:type="dxa"/>
            <w:shd w:val="clear" w:color="auto" w:fill="auto"/>
            <w:noWrap/>
            <w:vAlign w:val="bottom"/>
            <w:hideMark/>
          </w:tcPr>
          <w:p w14:paraId="54BAA78D"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22.60%</w:t>
            </w:r>
          </w:p>
        </w:tc>
      </w:tr>
      <w:tr w:rsidR="001C739E" w:rsidRPr="001C739E" w14:paraId="595F07F7" w14:textId="77777777" w:rsidTr="004605E3">
        <w:trPr>
          <w:trHeight w:val="320"/>
        </w:trPr>
        <w:tc>
          <w:tcPr>
            <w:tcW w:w="5215" w:type="dxa"/>
            <w:shd w:val="clear" w:color="auto" w:fill="auto"/>
            <w:noWrap/>
            <w:vAlign w:val="bottom"/>
            <w:hideMark/>
          </w:tcPr>
          <w:p w14:paraId="70B20C43" w14:textId="77777777" w:rsidR="001C739E" w:rsidRPr="001C739E" w:rsidRDefault="001C739E" w:rsidP="004605E3">
            <w:pPr>
              <w:ind w:left="336"/>
              <w:rPr>
                <w:rFonts w:eastAsia="Times New Roman" w:cs="Times New Roman"/>
                <w:color w:val="000000"/>
                <w:sz w:val="22"/>
                <w:szCs w:val="22"/>
              </w:rPr>
            </w:pPr>
            <w:r w:rsidRPr="001C739E">
              <w:rPr>
                <w:rFonts w:eastAsia="Times New Roman" w:cs="Times New Roman"/>
                <w:color w:val="000000"/>
                <w:sz w:val="22"/>
                <w:szCs w:val="22"/>
              </w:rPr>
              <w:t>Transgender man</w:t>
            </w:r>
          </w:p>
        </w:tc>
        <w:tc>
          <w:tcPr>
            <w:tcW w:w="946" w:type="dxa"/>
            <w:shd w:val="clear" w:color="auto" w:fill="auto"/>
            <w:noWrap/>
            <w:vAlign w:val="bottom"/>
            <w:hideMark/>
          </w:tcPr>
          <w:p w14:paraId="798D681D"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31</w:t>
            </w:r>
          </w:p>
        </w:tc>
        <w:tc>
          <w:tcPr>
            <w:tcW w:w="946" w:type="dxa"/>
            <w:shd w:val="clear" w:color="auto" w:fill="auto"/>
            <w:noWrap/>
            <w:vAlign w:val="bottom"/>
            <w:hideMark/>
          </w:tcPr>
          <w:p w14:paraId="40E01174"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22.50%</w:t>
            </w:r>
          </w:p>
        </w:tc>
        <w:tc>
          <w:tcPr>
            <w:tcW w:w="946" w:type="dxa"/>
            <w:shd w:val="clear" w:color="auto" w:fill="auto"/>
            <w:noWrap/>
            <w:vAlign w:val="bottom"/>
            <w:hideMark/>
          </w:tcPr>
          <w:p w14:paraId="6F0A5EC9"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49</w:t>
            </w:r>
          </w:p>
        </w:tc>
        <w:tc>
          <w:tcPr>
            <w:tcW w:w="947" w:type="dxa"/>
            <w:shd w:val="clear" w:color="auto" w:fill="auto"/>
            <w:noWrap/>
            <w:vAlign w:val="bottom"/>
            <w:hideMark/>
          </w:tcPr>
          <w:p w14:paraId="7BE34871"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21.70%</w:t>
            </w:r>
          </w:p>
        </w:tc>
      </w:tr>
      <w:tr w:rsidR="001C739E" w:rsidRPr="001C739E" w14:paraId="2BE9AAE2" w14:textId="77777777" w:rsidTr="004605E3">
        <w:trPr>
          <w:trHeight w:val="320"/>
        </w:trPr>
        <w:tc>
          <w:tcPr>
            <w:tcW w:w="5215" w:type="dxa"/>
            <w:shd w:val="clear" w:color="auto" w:fill="auto"/>
            <w:noWrap/>
            <w:vAlign w:val="bottom"/>
            <w:hideMark/>
          </w:tcPr>
          <w:p w14:paraId="2DC184BE" w14:textId="77777777" w:rsidR="001C739E" w:rsidRPr="001C739E" w:rsidRDefault="001C739E" w:rsidP="004605E3">
            <w:pPr>
              <w:ind w:left="336"/>
              <w:rPr>
                <w:rFonts w:eastAsia="Times New Roman" w:cs="Times New Roman"/>
                <w:color w:val="000000"/>
                <w:sz w:val="22"/>
                <w:szCs w:val="22"/>
              </w:rPr>
            </w:pPr>
            <w:r w:rsidRPr="001C739E">
              <w:rPr>
                <w:rFonts w:eastAsia="Times New Roman" w:cs="Times New Roman"/>
                <w:color w:val="000000"/>
                <w:sz w:val="22"/>
                <w:szCs w:val="22"/>
              </w:rPr>
              <w:t>Nonbinary</w:t>
            </w:r>
          </w:p>
        </w:tc>
        <w:tc>
          <w:tcPr>
            <w:tcW w:w="946" w:type="dxa"/>
            <w:shd w:val="clear" w:color="auto" w:fill="auto"/>
            <w:noWrap/>
            <w:vAlign w:val="bottom"/>
            <w:hideMark/>
          </w:tcPr>
          <w:p w14:paraId="740E4A15"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71</w:t>
            </w:r>
          </w:p>
        </w:tc>
        <w:tc>
          <w:tcPr>
            <w:tcW w:w="946" w:type="dxa"/>
            <w:shd w:val="clear" w:color="auto" w:fill="auto"/>
            <w:noWrap/>
            <w:vAlign w:val="bottom"/>
            <w:hideMark/>
          </w:tcPr>
          <w:p w14:paraId="633CF865"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51.40%</w:t>
            </w:r>
          </w:p>
        </w:tc>
        <w:tc>
          <w:tcPr>
            <w:tcW w:w="946" w:type="dxa"/>
            <w:shd w:val="clear" w:color="auto" w:fill="auto"/>
            <w:noWrap/>
            <w:vAlign w:val="bottom"/>
            <w:hideMark/>
          </w:tcPr>
          <w:p w14:paraId="351222C5"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140</w:t>
            </w:r>
          </w:p>
        </w:tc>
        <w:tc>
          <w:tcPr>
            <w:tcW w:w="947" w:type="dxa"/>
            <w:shd w:val="clear" w:color="auto" w:fill="auto"/>
            <w:noWrap/>
            <w:vAlign w:val="bottom"/>
            <w:hideMark/>
          </w:tcPr>
          <w:p w14:paraId="13CC9E82"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61.90%</w:t>
            </w:r>
          </w:p>
        </w:tc>
      </w:tr>
      <w:tr w:rsidR="001C739E" w:rsidRPr="001C739E" w14:paraId="3FF9DB7D" w14:textId="77777777" w:rsidTr="004605E3">
        <w:trPr>
          <w:trHeight w:val="320"/>
        </w:trPr>
        <w:tc>
          <w:tcPr>
            <w:tcW w:w="5215" w:type="dxa"/>
            <w:shd w:val="clear" w:color="auto" w:fill="auto"/>
            <w:noWrap/>
            <w:vAlign w:val="bottom"/>
            <w:hideMark/>
          </w:tcPr>
          <w:p w14:paraId="3E4D68C8" w14:textId="77777777" w:rsidR="001C739E" w:rsidRPr="001C739E" w:rsidRDefault="001C739E" w:rsidP="004605E3">
            <w:pPr>
              <w:ind w:left="336"/>
              <w:rPr>
                <w:rFonts w:eastAsia="Times New Roman" w:cs="Times New Roman"/>
                <w:color w:val="000000"/>
                <w:sz w:val="22"/>
                <w:szCs w:val="22"/>
              </w:rPr>
            </w:pPr>
            <w:r w:rsidRPr="001C739E">
              <w:rPr>
                <w:rFonts w:eastAsia="Times New Roman" w:cs="Times New Roman"/>
                <w:color w:val="000000"/>
                <w:sz w:val="22"/>
                <w:szCs w:val="22"/>
              </w:rPr>
              <w:t>Self-identify</w:t>
            </w:r>
          </w:p>
        </w:tc>
        <w:tc>
          <w:tcPr>
            <w:tcW w:w="946" w:type="dxa"/>
            <w:shd w:val="clear" w:color="auto" w:fill="auto"/>
            <w:noWrap/>
            <w:vAlign w:val="bottom"/>
            <w:hideMark/>
          </w:tcPr>
          <w:p w14:paraId="3AB9A1D7"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13</w:t>
            </w:r>
          </w:p>
        </w:tc>
        <w:tc>
          <w:tcPr>
            <w:tcW w:w="946" w:type="dxa"/>
            <w:shd w:val="clear" w:color="auto" w:fill="auto"/>
            <w:noWrap/>
            <w:vAlign w:val="bottom"/>
            <w:hideMark/>
          </w:tcPr>
          <w:p w14:paraId="7E827F22"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9.40%</w:t>
            </w:r>
          </w:p>
        </w:tc>
        <w:tc>
          <w:tcPr>
            <w:tcW w:w="946" w:type="dxa"/>
            <w:shd w:val="clear" w:color="auto" w:fill="auto"/>
            <w:noWrap/>
            <w:vAlign w:val="bottom"/>
            <w:hideMark/>
          </w:tcPr>
          <w:p w14:paraId="6F5426DF"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20</w:t>
            </w:r>
          </w:p>
        </w:tc>
        <w:tc>
          <w:tcPr>
            <w:tcW w:w="947" w:type="dxa"/>
            <w:shd w:val="clear" w:color="auto" w:fill="auto"/>
            <w:noWrap/>
            <w:vAlign w:val="bottom"/>
            <w:hideMark/>
          </w:tcPr>
          <w:p w14:paraId="0A642C08"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8.80%</w:t>
            </w:r>
          </w:p>
        </w:tc>
      </w:tr>
      <w:tr w:rsidR="001C739E" w:rsidRPr="001C739E" w14:paraId="6FEB05CE" w14:textId="77777777" w:rsidTr="004605E3">
        <w:trPr>
          <w:trHeight w:val="320"/>
        </w:trPr>
        <w:tc>
          <w:tcPr>
            <w:tcW w:w="5215" w:type="dxa"/>
            <w:shd w:val="clear" w:color="auto" w:fill="auto"/>
            <w:noWrap/>
            <w:vAlign w:val="bottom"/>
            <w:hideMark/>
          </w:tcPr>
          <w:p w14:paraId="6F66272B" w14:textId="77777777" w:rsidR="001C739E" w:rsidRPr="001C739E" w:rsidRDefault="001C739E" w:rsidP="001C739E">
            <w:pPr>
              <w:rPr>
                <w:rFonts w:eastAsia="Times New Roman" w:cs="Times New Roman"/>
                <w:color w:val="000000"/>
                <w:sz w:val="22"/>
                <w:szCs w:val="22"/>
              </w:rPr>
            </w:pPr>
            <w:r w:rsidRPr="001C739E">
              <w:rPr>
                <w:rFonts w:eastAsia="Times New Roman" w:cs="Times New Roman"/>
                <w:color w:val="000000"/>
                <w:sz w:val="22"/>
                <w:szCs w:val="22"/>
              </w:rPr>
              <w:t>Sex Assigned at Birth</w:t>
            </w:r>
          </w:p>
        </w:tc>
        <w:tc>
          <w:tcPr>
            <w:tcW w:w="946" w:type="dxa"/>
            <w:shd w:val="clear" w:color="auto" w:fill="auto"/>
            <w:noWrap/>
            <w:vAlign w:val="bottom"/>
            <w:hideMark/>
          </w:tcPr>
          <w:p w14:paraId="3CF997E1" w14:textId="77777777" w:rsidR="001C739E" w:rsidRPr="001C739E" w:rsidRDefault="001C739E" w:rsidP="001C739E">
            <w:pPr>
              <w:jc w:val="center"/>
              <w:rPr>
                <w:rFonts w:eastAsia="Times New Roman" w:cs="Times New Roman"/>
                <w:color w:val="000000"/>
                <w:sz w:val="22"/>
                <w:szCs w:val="22"/>
              </w:rPr>
            </w:pPr>
          </w:p>
        </w:tc>
        <w:tc>
          <w:tcPr>
            <w:tcW w:w="946" w:type="dxa"/>
            <w:shd w:val="clear" w:color="auto" w:fill="auto"/>
            <w:noWrap/>
            <w:vAlign w:val="bottom"/>
            <w:hideMark/>
          </w:tcPr>
          <w:p w14:paraId="4E4464EF" w14:textId="77777777" w:rsidR="001C739E" w:rsidRPr="001C739E" w:rsidRDefault="001C739E" w:rsidP="001C739E">
            <w:pPr>
              <w:jc w:val="center"/>
              <w:rPr>
                <w:rFonts w:eastAsia="Times New Roman" w:cs="Times New Roman"/>
                <w:sz w:val="20"/>
                <w:szCs w:val="20"/>
              </w:rPr>
            </w:pPr>
          </w:p>
        </w:tc>
        <w:tc>
          <w:tcPr>
            <w:tcW w:w="946" w:type="dxa"/>
            <w:shd w:val="clear" w:color="auto" w:fill="auto"/>
            <w:noWrap/>
            <w:vAlign w:val="bottom"/>
            <w:hideMark/>
          </w:tcPr>
          <w:p w14:paraId="30E108A1" w14:textId="77777777" w:rsidR="001C739E" w:rsidRPr="001C739E" w:rsidRDefault="001C739E" w:rsidP="001C739E">
            <w:pPr>
              <w:jc w:val="center"/>
              <w:rPr>
                <w:rFonts w:eastAsia="Times New Roman" w:cs="Times New Roman"/>
                <w:sz w:val="20"/>
                <w:szCs w:val="20"/>
              </w:rPr>
            </w:pPr>
          </w:p>
        </w:tc>
        <w:tc>
          <w:tcPr>
            <w:tcW w:w="947" w:type="dxa"/>
            <w:shd w:val="clear" w:color="auto" w:fill="auto"/>
            <w:noWrap/>
            <w:vAlign w:val="bottom"/>
            <w:hideMark/>
          </w:tcPr>
          <w:p w14:paraId="4414E03B" w14:textId="77777777" w:rsidR="001C739E" w:rsidRPr="001C739E" w:rsidRDefault="001C739E" w:rsidP="001C739E">
            <w:pPr>
              <w:jc w:val="center"/>
              <w:rPr>
                <w:rFonts w:eastAsia="Times New Roman" w:cs="Times New Roman"/>
                <w:sz w:val="20"/>
                <w:szCs w:val="20"/>
              </w:rPr>
            </w:pPr>
          </w:p>
        </w:tc>
      </w:tr>
      <w:tr w:rsidR="001C739E" w:rsidRPr="001C739E" w14:paraId="506897D1" w14:textId="77777777" w:rsidTr="004605E3">
        <w:trPr>
          <w:trHeight w:val="320"/>
        </w:trPr>
        <w:tc>
          <w:tcPr>
            <w:tcW w:w="5215" w:type="dxa"/>
            <w:shd w:val="clear" w:color="auto" w:fill="auto"/>
            <w:noWrap/>
            <w:vAlign w:val="bottom"/>
            <w:hideMark/>
          </w:tcPr>
          <w:p w14:paraId="264AAFE4" w14:textId="77777777" w:rsidR="001C739E" w:rsidRPr="001C739E" w:rsidRDefault="001C739E" w:rsidP="004605E3">
            <w:pPr>
              <w:ind w:left="336"/>
              <w:rPr>
                <w:rFonts w:eastAsia="Times New Roman" w:cs="Times New Roman"/>
                <w:color w:val="000000"/>
                <w:sz w:val="22"/>
                <w:szCs w:val="22"/>
              </w:rPr>
            </w:pPr>
            <w:r w:rsidRPr="001C739E">
              <w:rPr>
                <w:rFonts w:eastAsia="Times New Roman" w:cs="Times New Roman"/>
                <w:color w:val="000000"/>
                <w:sz w:val="22"/>
                <w:szCs w:val="22"/>
              </w:rPr>
              <w:t>Male</w:t>
            </w:r>
          </w:p>
        </w:tc>
        <w:tc>
          <w:tcPr>
            <w:tcW w:w="946" w:type="dxa"/>
            <w:shd w:val="clear" w:color="auto" w:fill="auto"/>
            <w:noWrap/>
            <w:vAlign w:val="bottom"/>
            <w:hideMark/>
          </w:tcPr>
          <w:p w14:paraId="1A4A81A4"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30</w:t>
            </w:r>
          </w:p>
        </w:tc>
        <w:tc>
          <w:tcPr>
            <w:tcW w:w="946" w:type="dxa"/>
            <w:shd w:val="clear" w:color="auto" w:fill="auto"/>
            <w:noWrap/>
            <w:vAlign w:val="bottom"/>
            <w:hideMark/>
          </w:tcPr>
          <w:p w14:paraId="375C32D1"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21.70%</w:t>
            </w:r>
          </w:p>
        </w:tc>
        <w:tc>
          <w:tcPr>
            <w:tcW w:w="946" w:type="dxa"/>
            <w:shd w:val="clear" w:color="auto" w:fill="auto"/>
            <w:noWrap/>
            <w:vAlign w:val="bottom"/>
            <w:hideMark/>
          </w:tcPr>
          <w:p w14:paraId="67164547"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77</w:t>
            </w:r>
          </w:p>
        </w:tc>
        <w:tc>
          <w:tcPr>
            <w:tcW w:w="947" w:type="dxa"/>
            <w:shd w:val="clear" w:color="auto" w:fill="auto"/>
            <w:noWrap/>
            <w:vAlign w:val="bottom"/>
            <w:hideMark/>
          </w:tcPr>
          <w:p w14:paraId="5C6CAE53"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34.10%</w:t>
            </w:r>
          </w:p>
        </w:tc>
      </w:tr>
      <w:tr w:rsidR="001C739E" w:rsidRPr="001C739E" w14:paraId="38C2992B" w14:textId="77777777" w:rsidTr="004605E3">
        <w:trPr>
          <w:trHeight w:val="320"/>
        </w:trPr>
        <w:tc>
          <w:tcPr>
            <w:tcW w:w="5215" w:type="dxa"/>
            <w:shd w:val="clear" w:color="auto" w:fill="auto"/>
            <w:noWrap/>
            <w:vAlign w:val="bottom"/>
            <w:hideMark/>
          </w:tcPr>
          <w:p w14:paraId="57951BD2" w14:textId="77777777" w:rsidR="001C739E" w:rsidRPr="001C739E" w:rsidRDefault="001C739E" w:rsidP="004605E3">
            <w:pPr>
              <w:ind w:left="336"/>
              <w:rPr>
                <w:rFonts w:eastAsia="Times New Roman" w:cs="Times New Roman"/>
                <w:color w:val="000000"/>
                <w:sz w:val="22"/>
                <w:szCs w:val="22"/>
              </w:rPr>
            </w:pPr>
            <w:r w:rsidRPr="001C739E">
              <w:rPr>
                <w:rFonts w:eastAsia="Times New Roman" w:cs="Times New Roman"/>
                <w:color w:val="000000"/>
                <w:sz w:val="22"/>
                <w:szCs w:val="22"/>
              </w:rPr>
              <w:t>Female</w:t>
            </w:r>
          </w:p>
        </w:tc>
        <w:tc>
          <w:tcPr>
            <w:tcW w:w="946" w:type="dxa"/>
            <w:shd w:val="clear" w:color="auto" w:fill="auto"/>
            <w:noWrap/>
            <w:vAlign w:val="bottom"/>
            <w:hideMark/>
          </w:tcPr>
          <w:p w14:paraId="0E591A8A"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102</w:t>
            </w:r>
          </w:p>
        </w:tc>
        <w:tc>
          <w:tcPr>
            <w:tcW w:w="946" w:type="dxa"/>
            <w:shd w:val="clear" w:color="auto" w:fill="auto"/>
            <w:noWrap/>
            <w:vAlign w:val="bottom"/>
            <w:hideMark/>
          </w:tcPr>
          <w:p w14:paraId="0B5BCC0B"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73.90%</w:t>
            </w:r>
          </w:p>
        </w:tc>
        <w:tc>
          <w:tcPr>
            <w:tcW w:w="946" w:type="dxa"/>
            <w:shd w:val="clear" w:color="auto" w:fill="auto"/>
            <w:noWrap/>
            <w:vAlign w:val="bottom"/>
            <w:hideMark/>
          </w:tcPr>
          <w:p w14:paraId="5BAF8667"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139</w:t>
            </w:r>
          </w:p>
        </w:tc>
        <w:tc>
          <w:tcPr>
            <w:tcW w:w="947" w:type="dxa"/>
            <w:shd w:val="clear" w:color="auto" w:fill="auto"/>
            <w:noWrap/>
            <w:vAlign w:val="bottom"/>
            <w:hideMark/>
          </w:tcPr>
          <w:p w14:paraId="77C41766"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61.50%</w:t>
            </w:r>
          </w:p>
        </w:tc>
      </w:tr>
      <w:tr w:rsidR="001C739E" w:rsidRPr="001C739E" w14:paraId="6AFBF5BD" w14:textId="77777777" w:rsidTr="004605E3">
        <w:trPr>
          <w:trHeight w:val="320"/>
        </w:trPr>
        <w:tc>
          <w:tcPr>
            <w:tcW w:w="5215" w:type="dxa"/>
            <w:shd w:val="clear" w:color="auto" w:fill="auto"/>
            <w:noWrap/>
            <w:vAlign w:val="bottom"/>
            <w:hideMark/>
          </w:tcPr>
          <w:p w14:paraId="1C7ADCDE" w14:textId="77777777" w:rsidR="001C739E" w:rsidRPr="001C739E" w:rsidRDefault="001C739E" w:rsidP="004605E3">
            <w:pPr>
              <w:ind w:left="336"/>
              <w:rPr>
                <w:rFonts w:eastAsia="Times New Roman" w:cs="Times New Roman"/>
                <w:color w:val="000000"/>
                <w:sz w:val="22"/>
                <w:szCs w:val="22"/>
              </w:rPr>
            </w:pPr>
            <w:r w:rsidRPr="001C739E">
              <w:rPr>
                <w:rFonts w:eastAsia="Times New Roman" w:cs="Times New Roman"/>
                <w:color w:val="000000"/>
                <w:sz w:val="22"/>
                <w:szCs w:val="22"/>
              </w:rPr>
              <w:t>Intersex</w:t>
            </w:r>
          </w:p>
        </w:tc>
        <w:tc>
          <w:tcPr>
            <w:tcW w:w="946" w:type="dxa"/>
            <w:shd w:val="clear" w:color="auto" w:fill="auto"/>
            <w:noWrap/>
            <w:vAlign w:val="bottom"/>
            <w:hideMark/>
          </w:tcPr>
          <w:p w14:paraId="3077E6BF"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0</w:t>
            </w:r>
          </w:p>
        </w:tc>
        <w:tc>
          <w:tcPr>
            <w:tcW w:w="946" w:type="dxa"/>
            <w:shd w:val="clear" w:color="auto" w:fill="auto"/>
            <w:noWrap/>
            <w:vAlign w:val="bottom"/>
            <w:hideMark/>
          </w:tcPr>
          <w:p w14:paraId="02DC0CC6"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0.00%</w:t>
            </w:r>
          </w:p>
        </w:tc>
        <w:tc>
          <w:tcPr>
            <w:tcW w:w="946" w:type="dxa"/>
            <w:shd w:val="clear" w:color="auto" w:fill="auto"/>
            <w:noWrap/>
            <w:vAlign w:val="bottom"/>
            <w:hideMark/>
          </w:tcPr>
          <w:p w14:paraId="4EE2C42C"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0</w:t>
            </w:r>
          </w:p>
        </w:tc>
        <w:tc>
          <w:tcPr>
            <w:tcW w:w="947" w:type="dxa"/>
            <w:shd w:val="clear" w:color="auto" w:fill="auto"/>
            <w:noWrap/>
            <w:vAlign w:val="bottom"/>
            <w:hideMark/>
          </w:tcPr>
          <w:p w14:paraId="6C8CA752"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0.00%</w:t>
            </w:r>
          </w:p>
        </w:tc>
      </w:tr>
      <w:tr w:rsidR="001C739E" w:rsidRPr="001C739E" w14:paraId="2348F106" w14:textId="77777777" w:rsidTr="004605E3">
        <w:trPr>
          <w:trHeight w:val="320"/>
        </w:trPr>
        <w:tc>
          <w:tcPr>
            <w:tcW w:w="5215" w:type="dxa"/>
            <w:shd w:val="clear" w:color="auto" w:fill="auto"/>
            <w:noWrap/>
            <w:vAlign w:val="bottom"/>
            <w:hideMark/>
          </w:tcPr>
          <w:p w14:paraId="5F0F44BA" w14:textId="77777777" w:rsidR="001C739E" w:rsidRPr="001C739E" w:rsidRDefault="001C739E" w:rsidP="004605E3">
            <w:pPr>
              <w:ind w:left="336"/>
              <w:rPr>
                <w:rFonts w:eastAsia="Times New Roman" w:cs="Times New Roman"/>
                <w:color w:val="000000"/>
                <w:sz w:val="22"/>
                <w:szCs w:val="22"/>
              </w:rPr>
            </w:pPr>
            <w:r w:rsidRPr="001C739E">
              <w:rPr>
                <w:rFonts w:eastAsia="Times New Roman" w:cs="Times New Roman"/>
                <w:color w:val="000000"/>
                <w:sz w:val="22"/>
                <w:szCs w:val="22"/>
              </w:rPr>
              <w:t>Self-identify</w:t>
            </w:r>
          </w:p>
        </w:tc>
        <w:tc>
          <w:tcPr>
            <w:tcW w:w="946" w:type="dxa"/>
            <w:shd w:val="clear" w:color="auto" w:fill="auto"/>
            <w:noWrap/>
            <w:vAlign w:val="bottom"/>
            <w:hideMark/>
          </w:tcPr>
          <w:p w14:paraId="67CC7127"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6</w:t>
            </w:r>
          </w:p>
        </w:tc>
        <w:tc>
          <w:tcPr>
            <w:tcW w:w="946" w:type="dxa"/>
            <w:shd w:val="clear" w:color="auto" w:fill="auto"/>
            <w:noWrap/>
            <w:vAlign w:val="bottom"/>
            <w:hideMark/>
          </w:tcPr>
          <w:p w14:paraId="291DE05A"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4.30%</w:t>
            </w:r>
          </w:p>
        </w:tc>
        <w:tc>
          <w:tcPr>
            <w:tcW w:w="946" w:type="dxa"/>
            <w:shd w:val="clear" w:color="auto" w:fill="auto"/>
            <w:noWrap/>
            <w:vAlign w:val="bottom"/>
            <w:hideMark/>
          </w:tcPr>
          <w:p w14:paraId="7A34A7D8"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3</w:t>
            </w:r>
          </w:p>
        </w:tc>
        <w:tc>
          <w:tcPr>
            <w:tcW w:w="947" w:type="dxa"/>
            <w:shd w:val="clear" w:color="auto" w:fill="auto"/>
            <w:noWrap/>
            <w:vAlign w:val="bottom"/>
            <w:hideMark/>
          </w:tcPr>
          <w:p w14:paraId="511810CA"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1.30%</w:t>
            </w:r>
          </w:p>
        </w:tc>
      </w:tr>
      <w:tr w:rsidR="001C739E" w:rsidRPr="001C739E" w14:paraId="1EDFB885" w14:textId="77777777" w:rsidTr="004605E3">
        <w:trPr>
          <w:trHeight w:val="320"/>
        </w:trPr>
        <w:tc>
          <w:tcPr>
            <w:tcW w:w="5215" w:type="dxa"/>
            <w:shd w:val="clear" w:color="auto" w:fill="auto"/>
            <w:noWrap/>
            <w:vAlign w:val="bottom"/>
            <w:hideMark/>
          </w:tcPr>
          <w:p w14:paraId="40532C46" w14:textId="77777777" w:rsidR="001C739E" w:rsidRPr="001C739E" w:rsidRDefault="001C739E" w:rsidP="001C739E">
            <w:pPr>
              <w:rPr>
                <w:rFonts w:eastAsia="Times New Roman" w:cs="Times New Roman"/>
                <w:color w:val="000000"/>
                <w:sz w:val="22"/>
                <w:szCs w:val="22"/>
              </w:rPr>
            </w:pPr>
            <w:r w:rsidRPr="001C739E">
              <w:rPr>
                <w:rFonts w:eastAsia="Times New Roman" w:cs="Times New Roman"/>
                <w:color w:val="000000"/>
                <w:sz w:val="22"/>
                <w:szCs w:val="22"/>
              </w:rPr>
              <w:t>Sexual Orientation</w:t>
            </w:r>
          </w:p>
        </w:tc>
        <w:tc>
          <w:tcPr>
            <w:tcW w:w="946" w:type="dxa"/>
            <w:shd w:val="clear" w:color="auto" w:fill="auto"/>
            <w:noWrap/>
            <w:vAlign w:val="bottom"/>
            <w:hideMark/>
          </w:tcPr>
          <w:p w14:paraId="51D66301" w14:textId="77777777" w:rsidR="001C739E" w:rsidRPr="001C739E" w:rsidRDefault="001C739E" w:rsidP="001C739E">
            <w:pPr>
              <w:jc w:val="center"/>
              <w:rPr>
                <w:rFonts w:eastAsia="Times New Roman" w:cs="Times New Roman"/>
                <w:color w:val="000000"/>
                <w:sz w:val="22"/>
                <w:szCs w:val="22"/>
              </w:rPr>
            </w:pPr>
          </w:p>
        </w:tc>
        <w:tc>
          <w:tcPr>
            <w:tcW w:w="946" w:type="dxa"/>
            <w:shd w:val="clear" w:color="auto" w:fill="auto"/>
            <w:noWrap/>
            <w:vAlign w:val="bottom"/>
            <w:hideMark/>
          </w:tcPr>
          <w:p w14:paraId="28A0F495" w14:textId="77777777" w:rsidR="001C739E" w:rsidRPr="001C739E" w:rsidRDefault="001C739E" w:rsidP="001C739E">
            <w:pPr>
              <w:jc w:val="center"/>
              <w:rPr>
                <w:rFonts w:eastAsia="Times New Roman" w:cs="Times New Roman"/>
                <w:sz w:val="20"/>
                <w:szCs w:val="20"/>
              </w:rPr>
            </w:pPr>
          </w:p>
        </w:tc>
        <w:tc>
          <w:tcPr>
            <w:tcW w:w="946" w:type="dxa"/>
            <w:shd w:val="clear" w:color="auto" w:fill="auto"/>
            <w:noWrap/>
            <w:vAlign w:val="bottom"/>
            <w:hideMark/>
          </w:tcPr>
          <w:p w14:paraId="41D3BC17" w14:textId="77777777" w:rsidR="001C739E" w:rsidRPr="001C739E" w:rsidRDefault="001C739E" w:rsidP="001C739E">
            <w:pPr>
              <w:jc w:val="center"/>
              <w:rPr>
                <w:rFonts w:eastAsia="Times New Roman" w:cs="Times New Roman"/>
                <w:sz w:val="20"/>
                <w:szCs w:val="20"/>
              </w:rPr>
            </w:pPr>
          </w:p>
        </w:tc>
        <w:tc>
          <w:tcPr>
            <w:tcW w:w="947" w:type="dxa"/>
            <w:shd w:val="clear" w:color="auto" w:fill="auto"/>
            <w:noWrap/>
            <w:vAlign w:val="bottom"/>
            <w:hideMark/>
          </w:tcPr>
          <w:p w14:paraId="72E38E87" w14:textId="77777777" w:rsidR="001C739E" w:rsidRPr="001C739E" w:rsidRDefault="001C739E" w:rsidP="001C739E">
            <w:pPr>
              <w:jc w:val="center"/>
              <w:rPr>
                <w:rFonts w:eastAsia="Times New Roman" w:cs="Times New Roman"/>
                <w:sz w:val="20"/>
                <w:szCs w:val="20"/>
              </w:rPr>
            </w:pPr>
          </w:p>
        </w:tc>
      </w:tr>
      <w:tr w:rsidR="001C739E" w:rsidRPr="001C739E" w14:paraId="1685AFA2" w14:textId="77777777" w:rsidTr="004605E3">
        <w:trPr>
          <w:trHeight w:val="320"/>
        </w:trPr>
        <w:tc>
          <w:tcPr>
            <w:tcW w:w="5215" w:type="dxa"/>
            <w:shd w:val="clear" w:color="auto" w:fill="auto"/>
            <w:noWrap/>
            <w:vAlign w:val="bottom"/>
            <w:hideMark/>
          </w:tcPr>
          <w:p w14:paraId="07B69A51" w14:textId="77777777" w:rsidR="001C739E" w:rsidRPr="001C739E" w:rsidRDefault="001C739E" w:rsidP="004605E3">
            <w:pPr>
              <w:ind w:left="336"/>
              <w:rPr>
                <w:rFonts w:eastAsia="Times New Roman" w:cs="Times New Roman"/>
                <w:color w:val="000000"/>
                <w:sz w:val="22"/>
                <w:szCs w:val="22"/>
              </w:rPr>
            </w:pPr>
            <w:r w:rsidRPr="001C739E">
              <w:rPr>
                <w:rFonts w:eastAsia="Times New Roman" w:cs="Times New Roman"/>
                <w:color w:val="000000"/>
                <w:sz w:val="22"/>
                <w:szCs w:val="22"/>
              </w:rPr>
              <w:t>Lesbian</w:t>
            </w:r>
          </w:p>
        </w:tc>
        <w:tc>
          <w:tcPr>
            <w:tcW w:w="946" w:type="dxa"/>
            <w:shd w:val="clear" w:color="auto" w:fill="auto"/>
            <w:noWrap/>
            <w:vAlign w:val="bottom"/>
            <w:hideMark/>
          </w:tcPr>
          <w:p w14:paraId="034ABA4B"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16</w:t>
            </w:r>
          </w:p>
        </w:tc>
        <w:tc>
          <w:tcPr>
            <w:tcW w:w="946" w:type="dxa"/>
            <w:shd w:val="clear" w:color="auto" w:fill="auto"/>
            <w:noWrap/>
            <w:vAlign w:val="bottom"/>
            <w:hideMark/>
          </w:tcPr>
          <w:p w14:paraId="64D990CE"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11.60%</w:t>
            </w:r>
          </w:p>
        </w:tc>
        <w:tc>
          <w:tcPr>
            <w:tcW w:w="946" w:type="dxa"/>
            <w:shd w:val="clear" w:color="auto" w:fill="auto"/>
            <w:noWrap/>
            <w:vAlign w:val="bottom"/>
            <w:hideMark/>
          </w:tcPr>
          <w:p w14:paraId="09952C92"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41</w:t>
            </w:r>
          </w:p>
        </w:tc>
        <w:tc>
          <w:tcPr>
            <w:tcW w:w="947" w:type="dxa"/>
            <w:shd w:val="clear" w:color="auto" w:fill="auto"/>
            <w:noWrap/>
            <w:vAlign w:val="bottom"/>
            <w:hideMark/>
          </w:tcPr>
          <w:p w14:paraId="3ADB9F93"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18.10%</w:t>
            </w:r>
          </w:p>
        </w:tc>
      </w:tr>
      <w:tr w:rsidR="001C739E" w:rsidRPr="001C739E" w14:paraId="44DD69A6" w14:textId="77777777" w:rsidTr="004605E3">
        <w:trPr>
          <w:trHeight w:val="320"/>
        </w:trPr>
        <w:tc>
          <w:tcPr>
            <w:tcW w:w="5215" w:type="dxa"/>
            <w:shd w:val="clear" w:color="auto" w:fill="auto"/>
            <w:noWrap/>
            <w:vAlign w:val="bottom"/>
            <w:hideMark/>
          </w:tcPr>
          <w:p w14:paraId="21AF9C8A" w14:textId="77777777" w:rsidR="001C739E" w:rsidRPr="001C739E" w:rsidRDefault="001C739E" w:rsidP="004605E3">
            <w:pPr>
              <w:ind w:left="336"/>
              <w:rPr>
                <w:rFonts w:eastAsia="Times New Roman" w:cs="Times New Roman"/>
                <w:color w:val="000000"/>
                <w:sz w:val="22"/>
                <w:szCs w:val="22"/>
              </w:rPr>
            </w:pPr>
            <w:r w:rsidRPr="001C739E">
              <w:rPr>
                <w:rFonts w:eastAsia="Times New Roman" w:cs="Times New Roman"/>
                <w:color w:val="000000"/>
                <w:sz w:val="22"/>
                <w:szCs w:val="22"/>
              </w:rPr>
              <w:t>Gay</w:t>
            </w:r>
          </w:p>
        </w:tc>
        <w:tc>
          <w:tcPr>
            <w:tcW w:w="946" w:type="dxa"/>
            <w:shd w:val="clear" w:color="auto" w:fill="auto"/>
            <w:noWrap/>
            <w:vAlign w:val="bottom"/>
            <w:hideMark/>
          </w:tcPr>
          <w:p w14:paraId="691526EF"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5</w:t>
            </w:r>
          </w:p>
        </w:tc>
        <w:tc>
          <w:tcPr>
            <w:tcW w:w="946" w:type="dxa"/>
            <w:shd w:val="clear" w:color="auto" w:fill="auto"/>
            <w:noWrap/>
            <w:vAlign w:val="bottom"/>
            <w:hideMark/>
          </w:tcPr>
          <w:p w14:paraId="6B837FA1"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3.60%</w:t>
            </w:r>
          </w:p>
        </w:tc>
        <w:tc>
          <w:tcPr>
            <w:tcW w:w="946" w:type="dxa"/>
            <w:shd w:val="clear" w:color="auto" w:fill="auto"/>
            <w:noWrap/>
            <w:vAlign w:val="bottom"/>
            <w:hideMark/>
          </w:tcPr>
          <w:p w14:paraId="2EC43767"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18</w:t>
            </w:r>
          </w:p>
        </w:tc>
        <w:tc>
          <w:tcPr>
            <w:tcW w:w="947" w:type="dxa"/>
            <w:shd w:val="clear" w:color="auto" w:fill="auto"/>
            <w:noWrap/>
            <w:vAlign w:val="bottom"/>
            <w:hideMark/>
          </w:tcPr>
          <w:p w14:paraId="388E4442"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8.00%</w:t>
            </w:r>
          </w:p>
        </w:tc>
      </w:tr>
      <w:tr w:rsidR="001C739E" w:rsidRPr="001C739E" w14:paraId="05F28EB7" w14:textId="77777777" w:rsidTr="004605E3">
        <w:trPr>
          <w:trHeight w:val="320"/>
        </w:trPr>
        <w:tc>
          <w:tcPr>
            <w:tcW w:w="5215" w:type="dxa"/>
            <w:shd w:val="clear" w:color="auto" w:fill="auto"/>
            <w:noWrap/>
            <w:vAlign w:val="bottom"/>
            <w:hideMark/>
          </w:tcPr>
          <w:p w14:paraId="7D2ADEB1" w14:textId="77777777" w:rsidR="001C739E" w:rsidRPr="001C739E" w:rsidRDefault="001C739E" w:rsidP="004605E3">
            <w:pPr>
              <w:ind w:left="336"/>
              <w:rPr>
                <w:rFonts w:eastAsia="Times New Roman" w:cs="Times New Roman"/>
                <w:color w:val="000000"/>
                <w:sz w:val="22"/>
                <w:szCs w:val="22"/>
              </w:rPr>
            </w:pPr>
            <w:r w:rsidRPr="001C739E">
              <w:rPr>
                <w:rFonts w:eastAsia="Times New Roman" w:cs="Times New Roman"/>
                <w:color w:val="000000"/>
                <w:sz w:val="22"/>
                <w:szCs w:val="22"/>
              </w:rPr>
              <w:t>Bisexual</w:t>
            </w:r>
          </w:p>
        </w:tc>
        <w:tc>
          <w:tcPr>
            <w:tcW w:w="946" w:type="dxa"/>
            <w:shd w:val="clear" w:color="auto" w:fill="auto"/>
            <w:noWrap/>
            <w:vAlign w:val="bottom"/>
            <w:hideMark/>
          </w:tcPr>
          <w:p w14:paraId="70AE20E3"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28</w:t>
            </w:r>
          </w:p>
        </w:tc>
        <w:tc>
          <w:tcPr>
            <w:tcW w:w="946" w:type="dxa"/>
            <w:shd w:val="clear" w:color="auto" w:fill="auto"/>
            <w:noWrap/>
            <w:vAlign w:val="bottom"/>
            <w:hideMark/>
          </w:tcPr>
          <w:p w14:paraId="63309694"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20.30%</w:t>
            </w:r>
          </w:p>
        </w:tc>
        <w:tc>
          <w:tcPr>
            <w:tcW w:w="946" w:type="dxa"/>
            <w:shd w:val="clear" w:color="auto" w:fill="auto"/>
            <w:noWrap/>
            <w:vAlign w:val="bottom"/>
            <w:hideMark/>
          </w:tcPr>
          <w:p w14:paraId="5A0D9E2E"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87</w:t>
            </w:r>
          </w:p>
        </w:tc>
        <w:tc>
          <w:tcPr>
            <w:tcW w:w="947" w:type="dxa"/>
            <w:shd w:val="clear" w:color="auto" w:fill="auto"/>
            <w:noWrap/>
            <w:vAlign w:val="bottom"/>
            <w:hideMark/>
          </w:tcPr>
          <w:p w14:paraId="577A328F"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38.50%</w:t>
            </w:r>
          </w:p>
        </w:tc>
      </w:tr>
      <w:tr w:rsidR="001C739E" w:rsidRPr="001C739E" w14:paraId="68300097" w14:textId="77777777" w:rsidTr="004605E3">
        <w:trPr>
          <w:trHeight w:val="320"/>
        </w:trPr>
        <w:tc>
          <w:tcPr>
            <w:tcW w:w="5215" w:type="dxa"/>
            <w:shd w:val="clear" w:color="auto" w:fill="auto"/>
            <w:noWrap/>
            <w:vAlign w:val="bottom"/>
            <w:hideMark/>
          </w:tcPr>
          <w:p w14:paraId="4559B223" w14:textId="77777777" w:rsidR="001C739E" w:rsidRPr="001C739E" w:rsidRDefault="001C739E" w:rsidP="004605E3">
            <w:pPr>
              <w:ind w:left="336"/>
              <w:rPr>
                <w:rFonts w:eastAsia="Times New Roman" w:cs="Times New Roman"/>
                <w:color w:val="000000"/>
                <w:sz w:val="22"/>
                <w:szCs w:val="22"/>
              </w:rPr>
            </w:pPr>
            <w:r w:rsidRPr="001C739E">
              <w:rPr>
                <w:rFonts w:eastAsia="Times New Roman" w:cs="Times New Roman"/>
                <w:color w:val="000000"/>
                <w:sz w:val="22"/>
                <w:szCs w:val="22"/>
              </w:rPr>
              <w:t>Queer</w:t>
            </w:r>
          </w:p>
        </w:tc>
        <w:tc>
          <w:tcPr>
            <w:tcW w:w="946" w:type="dxa"/>
            <w:shd w:val="clear" w:color="auto" w:fill="auto"/>
            <w:noWrap/>
            <w:vAlign w:val="bottom"/>
            <w:hideMark/>
          </w:tcPr>
          <w:p w14:paraId="1D13B046"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46</w:t>
            </w:r>
          </w:p>
        </w:tc>
        <w:tc>
          <w:tcPr>
            <w:tcW w:w="946" w:type="dxa"/>
            <w:shd w:val="clear" w:color="auto" w:fill="auto"/>
            <w:noWrap/>
            <w:vAlign w:val="bottom"/>
            <w:hideMark/>
          </w:tcPr>
          <w:p w14:paraId="175E32D1"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33.30%</w:t>
            </w:r>
          </w:p>
        </w:tc>
        <w:tc>
          <w:tcPr>
            <w:tcW w:w="946" w:type="dxa"/>
            <w:shd w:val="clear" w:color="auto" w:fill="auto"/>
            <w:noWrap/>
            <w:vAlign w:val="bottom"/>
            <w:hideMark/>
          </w:tcPr>
          <w:p w14:paraId="13D0370C"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77</w:t>
            </w:r>
          </w:p>
        </w:tc>
        <w:tc>
          <w:tcPr>
            <w:tcW w:w="947" w:type="dxa"/>
            <w:shd w:val="clear" w:color="auto" w:fill="auto"/>
            <w:noWrap/>
            <w:vAlign w:val="bottom"/>
            <w:hideMark/>
          </w:tcPr>
          <w:p w14:paraId="35DC86E6"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34.10%</w:t>
            </w:r>
          </w:p>
        </w:tc>
      </w:tr>
      <w:tr w:rsidR="001C739E" w:rsidRPr="001C739E" w14:paraId="34CA0B95" w14:textId="77777777" w:rsidTr="004605E3">
        <w:trPr>
          <w:trHeight w:val="320"/>
        </w:trPr>
        <w:tc>
          <w:tcPr>
            <w:tcW w:w="5215" w:type="dxa"/>
            <w:shd w:val="clear" w:color="auto" w:fill="auto"/>
            <w:noWrap/>
            <w:vAlign w:val="bottom"/>
            <w:hideMark/>
          </w:tcPr>
          <w:p w14:paraId="1493954C" w14:textId="77777777" w:rsidR="001C739E" w:rsidRPr="001C739E" w:rsidRDefault="001C739E" w:rsidP="004605E3">
            <w:pPr>
              <w:ind w:left="336"/>
              <w:rPr>
                <w:rFonts w:eastAsia="Times New Roman" w:cs="Times New Roman"/>
                <w:color w:val="000000"/>
                <w:sz w:val="22"/>
                <w:szCs w:val="22"/>
              </w:rPr>
            </w:pPr>
            <w:r w:rsidRPr="001C739E">
              <w:rPr>
                <w:rFonts w:eastAsia="Times New Roman" w:cs="Times New Roman"/>
                <w:color w:val="000000"/>
                <w:sz w:val="22"/>
                <w:szCs w:val="22"/>
              </w:rPr>
              <w:t>Heterosexual</w:t>
            </w:r>
          </w:p>
        </w:tc>
        <w:tc>
          <w:tcPr>
            <w:tcW w:w="946" w:type="dxa"/>
            <w:shd w:val="clear" w:color="auto" w:fill="auto"/>
            <w:noWrap/>
            <w:vAlign w:val="bottom"/>
            <w:hideMark/>
          </w:tcPr>
          <w:p w14:paraId="7CD3426C"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4</w:t>
            </w:r>
          </w:p>
        </w:tc>
        <w:tc>
          <w:tcPr>
            <w:tcW w:w="946" w:type="dxa"/>
            <w:shd w:val="clear" w:color="auto" w:fill="auto"/>
            <w:noWrap/>
            <w:vAlign w:val="bottom"/>
            <w:hideMark/>
          </w:tcPr>
          <w:p w14:paraId="4FA823D1"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2.90%</w:t>
            </w:r>
          </w:p>
        </w:tc>
        <w:tc>
          <w:tcPr>
            <w:tcW w:w="946" w:type="dxa"/>
            <w:shd w:val="clear" w:color="auto" w:fill="auto"/>
            <w:noWrap/>
            <w:vAlign w:val="bottom"/>
            <w:hideMark/>
          </w:tcPr>
          <w:p w14:paraId="0072E910"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0</w:t>
            </w:r>
          </w:p>
        </w:tc>
        <w:tc>
          <w:tcPr>
            <w:tcW w:w="947" w:type="dxa"/>
            <w:shd w:val="clear" w:color="auto" w:fill="auto"/>
            <w:noWrap/>
            <w:vAlign w:val="bottom"/>
            <w:hideMark/>
          </w:tcPr>
          <w:p w14:paraId="5363C003"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0.00%</w:t>
            </w:r>
          </w:p>
        </w:tc>
      </w:tr>
      <w:tr w:rsidR="001C739E" w:rsidRPr="001C739E" w14:paraId="7D860C8F" w14:textId="77777777" w:rsidTr="004605E3">
        <w:trPr>
          <w:trHeight w:val="320"/>
        </w:trPr>
        <w:tc>
          <w:tcPr>
            <w:tcW w:w="5215" w:type="dxa"/>
            <w:shd w:val="clear" w:color="auto" w:fill="auto"/>
            <w:noWrap/>
            <w:vAlign w:val="bottom"/>
            <w:hideMark/>
          </w:tcPr>
          <w:p w14:paraId="462B25ED" w14:textId="77777777" w:rsidR="001C739E" w:rsidRPr="001C739E" w:rsidRDefault="001C739E" w:rsidP="004605E3">
            <w:pPr>
              <w:ind w:left="336"/>
              <w:rPr>
                <w:rFonts w:eastAsia="Times New Roman" w:cs="Times New Roman"/>
                <w:color w:val="000000"/>
                <w:sz w:val="22"/>
                <w:szCs w:val="22"/>
              </w:rPr>
            </w:pPr>
            <w:r w:rsidRPr="001C739E">
              <w:rPr>
                <w:rFonts w:eastAsia="Times New Roman" w:cs="Times New Roman"/>
                <w:color w:val="000000"/>
                <w:sz w:val="22"/>
                <w:szCs w:val="22"/>
              </w:rPr>
              <w:t>Asexual</w:t>
            </w:r>
          </w:p>
        </w:tc>
        <w:tc>
          <w:tcPr>
            <w:tcW w:w="946" w:type="dxa"/>
            <w:shd w:val="clear" w:color="auto" w:fill="auto"/>
            <w:noWrap/>
            <w:vAlign w:val="bottom"/>
            <w:hideMark/>
          </w:tcPr>
          <w:p w14:paraId="005AC3ED"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10</w:t>
            </w:r>
          </w:p>
        </w:tc>
        <w:tc>
          <w:tcPr>
            <w:tcW w:w="946" w:type="dxa"/>
            <w:shd w:val="clear" w:color="auto" w:fill="auto"/>
            <w:noWrap/>
            <w:vAlign w:val="bottom"/>
            <w:hideMark/>
          </w:tcPr>
          <w:p w14:paraId="351B11DF"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7.20%</w:t>
            </w:r>
          </w:p>
        </w:tc>
        <w:tc>
          <w:tcPr>
            <w:tcW w:w="946" w:type="dxa"/>
            <w:shd w:val="clear" w:color="auto" w:fill="auto"/>
            <w:noWrap/>
            <w:vAlign w:val="bottom"/>
            <w:hideMark/>
          </w:tcPr>
          <w:p w14:paraId="6A896962"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31</w:t>
            </w:r>
          </w:p>
        </w:tc>
        <w:tc>
          <w:tcPr>
            <w:tcW w:w="947" w:type="dxa"/>
            <w:shd w:val="clear" w:color="auto" w:fill="auto"/>
            <w:noWrap/>
            <w:vAlign w:val="bottom"/>
            <w:hideMark/>
          </w:tcPr>
          <w:p w14:paraId="349CC6DE"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13.70%</w:t>
            </w:r>
          </w:p>
        </w:tc>
      </w:tr>
      <w:tr w:rsidR="001C739E" w:rsidRPr="001C739E" w14:paraId="72B667F9" w14:textId="77777777" w:rsidTr="004605E3">
        <w:trPr>
          <w:trHeight w:val="320"/>
        </w:trPr>
        <w:tc>
          <w:tcPr>
            <w:tcW w:w="5215" w:type="dxa"/>
            <w:shd w:val="clear" w:color="auto" w:fill="auto"/>
            <w:noWrap/>
            <w:vAlign w:val="bottom"/>
            <w:hideMark/>
          </w:tcPr>
          <w:p w14:paraId="1A9CC8F5" w14:textId="77777777" w:rsidR="001C739E" w:rsidRPr="001C739E" w:rsidRDefault="001C739E" w:rsidP="004605E3">
            <w:pPr>
              <w:ind w:left="336"/>
              <w:rPr>
                <w:rFonts w:eastAsia="Times New Roman" w:cs="Times New Roman"/>
                <w:color w:val="000000"/>
                <w:sz w:val="22"/>
                <w:szCs w:val="22"/>
              </w:rPr>
            </w:pPr>
            <w:r w:rsidRPr="001C739E">
              <w:rPr>
                <w:rFonts w:eastAsia="Times New Roman" w:cs="Times New Roman"/>
                <w:color w:val="000000"/>
                <w:sz w:val="22"/>
                <w:szCs w:val="22"/>
              </w:rPr>
              <w:t>Pansexual</w:t>
            </w:r>
          </w:p>
        </w:tc>
        <w:tc>
          <w:tcPr>
            <w:tcW w:w="946" w:type="dxa"/>
            <w:shd w:val="clear" w:color="auto" w:fill="auto"/>
            <w:noWrap/>
            <w:vAlign w:val="bottom"/>
            <w:hideMark/>
          </w:tcPr>
          <w:p w14:paraId="0BD60DFD"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16</w:t>
            </w:r>
          </w:p>
        </w:tc>
        <w:tc>
          <w:tcPr>
            <w:tcW w:w="946" w:type="dxa"/>
            <w:shd w:val="clear" w:color="auto" w:fill="auto"/>
            <w:noWrap/>
            <w:vAlign w:val="bottom"/>
            <w:hideMark/>
          </w:tcPr>
          <w:p w14:paraId="2DE3521E"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11.60%</w:t>
            </w:r>
          </w:p>
        </w:tc>
        <w:tc>
          <w:tcPr>
            <w:tcW w:w="946" w:type="dxa"/>
            <w:shd w:val="clear" w:color="auto" w:fill="auto"/>
            <w:noWrap/>
            <w:vAlign w:val="bottom"/>
            <w:hideMark/>
          </w:tcPr>
          <w:p w14:paraId="04D20D03"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70</w:t>
            </w:r>
          </w:p>
        </w:tc>
        <w:tc>
          <w:tcPr>
            <w:tcW w:w="947" w:type="dxa"/>
            <w:shd w:val="clear" w:color="auto" w:fill="auto"/>
            <w:noWrap/>
            <w:vAlign w:val="bottom"/>
            <w:hideMark/>
          </w:tcPr>
          <w:p w14:paraId="0949E3D7"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31.00%</w:t>
            </w:r>
          </w:p>
        </w:tc>
      </w:tr>
      <w:tr w:rsidR="001C739E" w:rsidRPr="001C739E" w14:paraId="2E3C72A8" w14:textId="77777777" w:rsidTr="004605E3">
        <w:trPr>
          <w:trHeight w:val="320"/>
        </w:trPr>
        <w:tc>
          <w:tcPr>
            <w:tcW w:w="5215" w:type="dxa"/>
            <w:shd w:val="clear" w:color="auto" w:fill="auto"/>
            <w:noWrap/>
            <w:vAlign w:val="bottom"/>
            <w:hideMark/>
          </w:tcPr>
          <w:p w14:paraId="5ABFB67D" w14:textId="77777777" w:rsidR="001C739E" w:rsidRPr="001C739E" w:rsidRDefault="001C739E" w:rsidP="004605E3">
            <w:pPr>
              <w:ind w:left="336"/>
              <w:rPr>
                <w:rFonts w:eastAsia="Times New Roman" w:cs="Times New Roman"/>
                <w:color w:val="000000"/>
                <w:sz w:val="22"/>
                <w:szCs w:val="22"/>
              </w:rPr>
            </w:pPr>
            <w:r w:rsidRPr="001C739E">
              <w:rPr>
                <w:rFonts w:eastAsia="Times New Roman" w:cs="Times New Roman"/>
                <w:color w:val="000000"/>
                <w:sz w:val="22"/>
                <w:szCs w:val="22"/>
              </w:rPr>
              <w:t>Self-identify</w:t>
            </w:r>
          </w:p>
        </w:tc>
        <w:tc>
          <w:tcPr>
            <w:tcW w:w="946" w:type="dxa"/>
            <w:shd w:val="clear" w:color="auto" w:fill="auto"/>
            <w:noWrap/>
            <w:vAlign w:val="bottom"/>
            <w:hideMark/>
          </w:tcPr>
          <w:p w14:paraId="07C8BD25"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13</w:t>
            </w:r>
          </w:p>
        </w:tc>
        <w:tc>
          <w:tcPr>
            <w:tcW w:w="946" w:type="dxa"/>
            <w:shd w:val="clear" w:color="auto" w:fill="auto"/>
            <w:noWrap/>
            <w:vAlign w:val="bottom"/>
            <w:hideMark/>
          </w:tcPr>
          <w:p w14:paraId="3B0CDEDA"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9.40%</w:t>
            </w:r>
          </w:p>
        </w:tc>
        <w:tc>
          <w:tcPr>
            <w:tcW w:w="946" w:type="dxa"/>
            <w:shd w:val="clear" w:color="auto" w:fill="auto"/>
            <w:noWrap/>
            <w:vAlign w:val="bottom"/>
            <w:hideMark/>
          </w:tcPr>
          <w:p w14:paraId="77CE23B0"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21</w:t>
            </w:r>
          </w:p>
        </w:tc>
        <w:tc>
          <w:tcPr>
            <w:tcW w:w="947" w:type="dxa"/>
            <w:shd w:val="clear" w:color="auto" w:fill="auto"/>
            <w:noWrap/>
            <w:vAlign w:val="bottom"/>
            <w:hideMark/>
          </w:tcPr>
          <w:p w14:paraId="3A3C169E"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9.30%</w:t>
            </w:r>
          </w:p>
        </w:tc>
      </w:tr>
      <w:tr w:rsidR="001C739E" w:rsidRPr="001C739E" w14:paraId="7494805C" w14:textId="77777777" w:rsidTr="004605E3">
        <w:trPr>
          <w:trHeight w:val="320"/>
        </w:trPr>
        <w:tc>
          <w:tcPr>
            <w:tcW w:w="5215" w:type="dxa"/>
            <w:shd w:val="clear" w:color="auto" w:fill="auto"/>
            <w:noWrap/>
            <w:vAlign w:val="bottom"/>
            <w:hideMark/>
          </w:tcPr>
          <w:p w14:paraId="600766E7" w14:textId="77777777" w:rsidR="001C739E" w:rsidRPr="001C739E" w:rsidRDefault="001C739E" w:rsidP="001C739E">
            <w:pPr>
              <w:rPr>
                <w:rFonts w:eastAsia="Times New Roman" w:cs="Times New Roman"/>
                <w:color w:val="000000"/>
                <w:sz w:val="22"/>
                <w:szCs w:val="22"/>
              </w:rPr>
            </w:pPr>
            <w:r w:rsidRPr="001C739E">
              <w:rPr>
                <w:rFonts w:eastAsia="Times New Roman" w:cs="Times New Roman"/>
                <w:color w:val="000000"/>
                <w:sz w:val="22"/>
                <w:szCs w:val="22"/>
              </w:rPr>
              <w:t>Race/Ethnicity</w:t>
            </w:r>
          </w:p>
        </w:tc>
        <w:tc>
          <w:tcPr>
            <w:tcW w:w="946" w:type="dxa"/>
            <w:shd w:val="clear" w:color="auto" w:fill="auto"/>
            <w:noWrap/>
            <w:vAlign w:val="bottom"/>
            <w:hideMark/>
          </w:tcPr>
          <w:p w14:paraId="17039DE3" w14:textId="77777777" w:rsidR="001C739E" w:rsidRPr="001C739E" w:rsidRDefault="001C739E" w:rsidP="001C739E">
            <w:pPr>
              <w:jc w:val="center"/>
              <w:rPr>
                <w:rFonts w:eastAsia="Times New Roman" w:cs="Times New Roman"/>
                <w:color w:val="000000"/>
                <w:sz w:val="22"/>
                <w:szCs w:val="22"/>
              </w:rPr>
            </w:pPr>
          </w:p>
        </w:tc>
        <w:tc>
          <w:tcPr>
            <w:tcW w:w="946" w:type="dxa"/>
            <w:shd w:val="clear" w:color="auto" w:fill="auto"/>
            <w:noWrap/>
            <w:vAlign w:val="bottom"/>
            <w:hideMark/>
          </w:tcPr>
          <w:p w14:paraId="00CCCB82" w14:textId="77777777" w:rsidR="001C739E" w:rsidRPr="001C739E" w:rsidRDefault="001C739E" w:rsidP="001C739E">
            <w:pPr>
              <w:jc w:val="center"/>
              <w:rPr>
                <w:rFonts w:eastAsia="Times New Roman" w:cs="Times New Roman"/>
                <w:sz w:val="20"/>
                <w:szCs w:val="20"/>
              </w:rPr>
            </w:pPr>
          </w:p>
        </w:tc>
        <w:tc>
          <w:tcPr>
            <w:tcW w:w="946" w:type="dxa"/>
            <w:shd w:val="clear" w:color="auto" w:fill="auto"/>
            <w:noWrap/>
            <w:vAlign w:val="bottom"/>
            <w:hideMark/>
          </w:tcPr>
          <w:p w14:paraId="4BA7FCFD" w14:textId="77777777" w:rsidR="001C739E" w:rsidRPr="001C739E" w:rsidRDefault="001C739E" w:rsidP="001C739E">
            <w:pPr>
              <w:jc w:val="center"/>
              <w:rPr>
                <w:rFonts w:eastAsia="Times New Roman" w:cs="Times New Roman"/>
                <w:sz w:val="20"/>
                <w:szCs w:val="20"/>
              </w:rPr>
            </w:pPr>
          </w:p>
        </w:tc>
        <w:tc>
          <w:tcPr>
            <w:tcW w:w="947" w:type="dxa"/>
            <w:shd w:val="clear" w:color="auto" w:fill="auto"/>
            <w:noWrap/>
            <w:vAlign w:val="bottom"/>
            <w:hideMark/>
          </w:tcPr>
          <w:p w14:paraId="06A149AF" w14:textId="77777777" w:rsidR="001C739E" w:rsidRPr="001C739E" w:rsidRDefault="001C739E" w:rsidP="001C739E">
            <w:pPr>
              <w:jc w:val="center"/>
              <w:rPr>
                <w:rFonts w:eastAsia="Times New Roman" w:cs="Times New Roman"/>
                <w:sz w:val="20"/>
                <w:szCs w:val="20"/>
              </w:rPr>
            </w:pPr>
          </w:p>
        </w:tc>
      </w:tr>
      <w:tr w:rsidR="001C739E" w:rsidRPr="001C739E" w14:paraId="247A1AFE" w14:textId="77777777" w:rsidTr="004605E3">
        <w:trPr>
          <w:trHeight w:val="320"/>
        </w:trPr>
        <w:tc>
          <w:tcPr>
            <w:tcW w:w="5215" w:type="dxa"/>
            <w:shd w:val="clear" w:color="auto" w:fill="auto"/>
            <w:noWrap/>
            <w:vAlign w:val="bottom"/>
            <w:hideMark/>
          </w:tcPr>
          <w:p w14:paraId="000D35B3" w14:textId="77777777" w:rsidR="001C739E" w:rsidRPr="001C739E" w:rsidRDefault="001C739E" w:rsidP="004605E3">
            <w:pPr>
              <w:ind w:left="336"/>
              <w:rPr>
                <w:rFonts w:eastAsia="Times New Roman" w:cs="Times New Roman"/>
                <w:color w:val="000000"/>
                <w:sz w:val="22"/>
                <w:szCs w:val="22"/>
              </w:rPr>
            </w:pPr>
            <w:r w:rsidRPr="001C739E">
              <w:rPr>
                <w:rFonts w:eastAsia="Times New Roman" w:cs="Times New Roman"/>
                <w:color w:val="000000"/>
                <w:sz w:val="22"/>
                <w:szCs w:val="22"/>
              </w:rPr>
              <w:t>American Indian or Alaskan Native</w:t>
            </w:r>
          </w:p>
        </w:tc>
        <w:tc>
          <w:tcPr>
            <w:tcW w:w="946" w:type="dxa"/>
            <w:shd w:val="clear" w:color="auto" w:fill="auto"/>
            <w:noWrap/>
            <w:vAlign w:val="bottom"/>
            <w:hideMark/>
          </w:tcPr>
          <w:p w14:paraId="15D1B346"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1</w:t>
            </w:r>
          </w:p>
        </w:tc>
        <w:tc>
          <w:tcPr>
            <w:tcW w:w="946" w:type="dxa"/>
            <w:shd w:val="clear" w:color="auto" w:fill="auto"/>
            <w:noWrap/>
            <w:vAlign w:val="bottom"/>
            <w:hideMark/>
          </w:tcPr>
          <w:p w14:paraId="28D75475"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0.70%</w:t>
            </w:r>
          </w:p>
        </w:tc>
        <w:tc>
          <w:tcPr>
            <w:tcW w:w="946" w:type="dxa"/>
            <w:shd w:val="clear" w:color="auto" w:fill="auto"/>
            <w:noWrap/>
            <w:vAlign w:val="bottom"/>
            <w:hideMark/>
          </w:tcPr>
          <w:p w14:paraId="67CFCD55"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4</w:t>
            </w:r>
          </w:p>
        </w:tc>
        <w:tc>
          <w:tcPr>
            <w:tcW w:w="947" w:type="dxa"/>
            <w:shd w:val="clear" w:color="auto" w:fill="auto"/>
            <w:noWrap/>
            <w:vAlign w:val="bottom"/>
            <w:hideMark/>
          </w:tcPr>
          <w:p w14:paraId="2A0532C9"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1.80%</w:t>
            </w:r>
          </w:p>
        </w:tc>
      </w:tr>
      <w:tr w:rsidR="001C739E" w:rsidRPr="001C739E" w14:paraId="68DC5F83" w14:textId="77777777" w:rsidTr="004605E3">
        <w:trPr>
          <w:trHeight w:val="320"/>
        </w:trPr>
        <w:tc>
          <w:tcPr>
            <w:tcW w:w="5215" w:type="dxa"/>
            <w:shd w:val="clear" w:color="auto" w:fill="auto"/>
            <w:noWrap/>
            <w:vAlign w:val="bottom"/>
            <w:hideMark/>
          </w:tcPr>
          <w:p w14:paraId="7B6A512B" w14:textId="77777777" w:rsidR="001C739E" w:rsidRPr="001C739E" w:rsidRDefault="001C739E" w:rsidP="004605E3">
            <w:pPr>
              <w:ind w:left="336"/>
              <w:rPr>
                <w:rFonts w:eastAsia="Times New Roman" w:cs="Times New Roman"/>
                <w:color w:val="000000"/>
                <w:sz w:val="22"/>
                <w:szCs w:val="22"/>
              </w:rPr>
            </w:pPr>
            <w:r w:rsidRPr="001C739E">
              <w:rPr>
                <w:rFonts w:eastAsia="Times New Roman" w:cs="Times New Roman"/>
                <w:color w:val="000000"/>
                <w:sz w:val="22"/>
                <w:szCs w:val="22"/>
              </w:rPr>
              <w:t>Asian American</w:t>
            </w:r>
          </w:p>
        </w:tc>
        <w:tc>
          <w:tcPr>
            <w:tcW w:w="946" w:type="dxa"/>
            <w:shd w:val="clear" w:color="auto" w:fill="auto"/>
            <w:noWrap/>
            <w:vAlign w:val="bottom"/>
            <w:hideMark/>
          </w:tcPr>
          <w:p w14:paraId="38B8E917"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4</w:t>
            </w:r>
          </w:p>
        </w:tc>
        <w:tc>
          <w:tcPr>
            <w:tcW w:w="946" w:type="dxa"/>
            <w:shd w:val="clear" w:color="auto" w:fill="auto"/>
            <w:noWrap/>
            <w:vAlign w:val="bottom"/>
            <w:hideMark/>
          </w:tcPr>
          <w:p w14:paraId="28D2E49C"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2.90%</w:t>
            </w:r>
          </w:p>
        </w:tc>
        <w:tc>
          <w:tcPr>
            <w:tcW w:w="946" w:type="dxa"/>
            <w:shd w:val="clear" w:color="auto" w:fill="auto"/>
            <w:noWrap/>
            <w:vAlign w:val="bottom"/>
            <w:hideMark/>
          </w:tcPr>
          <w:p w14:paraId="3D98F290"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10</w:t>
            </w:r>
          </w:p>
        </w:tc>
        <w:tc>
          <w:tcPr>
            <w:tcW w:w="947" w:type="dxa"/>
            <w:shd w:val="clear" w:color="auto" w:fill="auto"/>
            <w:noWrap/>
            <w:vAlign w:val="bottom"/>
            <w:hideMark/>
          </w:tcPr>
          <w:p w14:paraId="2F9E5980"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4.40%</w:t>
            </w:r>
          </w:p>
        </w:tc>
      </w:tr>
      <w:tr w:rsidR="001C739E" w:rsidRPr="001C739E" w14:paraId="38BB9A39" w14:textId="77777777" w:rsidTr="004605E3">
        <w:trPr>
          <w:trHeight w:val="320"/>
        </w:trPr>
        <w:tc>
          <w:tcPr>
            <w:tcW w:w="5215" w:type="dxa"/>
            <w:shd w:val="clear" w:color="auto" w:fill="auto"/>
            <w:noWrap/>
            <w:vAlign w:val="bottom"/>
            <w:hideMark/>
          </w:tcPr>
          <w:p w14:paraId="69490086" w14:textId="77777777" w:rsidR="001C739E" w:rsidRPr="001C739E" w:rsidRDefault="001C739E" w:rsidP="004605E3">
            <w:pPr>
              <w:ind w:left="336"/>
              <w:rPr>
                <w:rFonts w:eastAsia="Times New Roman" w:cs="Times New Roman"/>
                <w:color w:val="000000"/>
                <w:sz w:val="22"/>
                <w:szCs w:val="22"/>
              </w:rPr>
            </w:pPr>
            <w:r w:rsidRPr="001C739E">
              <w:rPr>
                <w:rFonts w:eastAsia="Times New Roman" w:cs="Times New Roman"/>
                <w:color w:val="000000"/>
                <w:sz w:val="22"/>
                <w:szCs w:val="22"/>
              </w:rPr>
              <w:t>Black or African American</w:t>
            </w:r>
          </w:p>
        </w:tc>
        <w:tc>
          <w:tcPr>
            <w:tcW w:w="946" w:type="dxa"/>
            <w:shd w:val="clear" w:color="auto" w:fill="auto"/>
            <w:noWrap/>
            <w:vAlign w:val="bottom"/>
            <w:hideMark/>
          </w:tcPr>
          <w:p w14:paraId="30A61003"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3</w:t>
            </w:r>
          </w:p>
        </w:tc>
        <w:tc>
          <w:tcPr>
            <w:tcW w:w="946" w:type="dxa"/>
            <w:shd w:val="clear" w:color="auto" w:fill="auto"/>
            <w:noWrap/>
            <w:vAlign w:val="bottom"/>
            <w:hideMark/>
          </w:tcPr>
          <w:p w14:paraId="6DC11C2D"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2.20%</w:t>
            </w:r>
          </w:p>
        </w:tc>
        <w:tc>
          <w:tcPr>
            <w:tcW w:w="946" w:type="dxa"/>
            <w:shd w:val="clear" w:color="auto" w:fill="auto"/>
            <w:noWrap/>
            <w:vAlign w:val="bottom"/>
            <w:hideMark/>
          </w:tcPr>
          <w:p w14:paraId="2462E96E"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8</w:t>
            </w:r>
          </w:p>
        </w:tc>
        <w:tc>
          <w:tcPr>
            <w:tcW w:w="947" w:type="dxa"/>
            <w:shd w:val="clear" w:color="auto" w:fill="auto"/>
            <w:noWrap/>
            <w:vAlign w:val="bottom"/>
            <w:hideMark/>
          </w:tcPr>
          <w:p w14:paraId="01A1D6D7"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3.50%</w:t>
            </w:r>
          </w:p>
        </w:tc>
      </w:tr>
      <w:tr w:rsidR="001C739E" w:rsidRPr="001C739E" w14:paraId="6CDB7F96" w14:textId="77777777" w:rsidTr="004605E3">
        <w:trPr>
          <w:trHeight w:val="320"/>
        </w:trPr>
        <w:tc>
          <w:tcPr>
            <w:tcW w:w="5215" w:type="dxa"/>
            <w:shd w:val="clear" w:color="auto" w:fill="auto"/>
            <w:noWrap/>
            <w:vAlign w:val="bottom"/>
            <w:hideMark/>
          </w:tcPr>
          <w:p w14:paraId="10184551" w14:textId="77777777" w:rsidR="001C739E" w:rsidRPr="001C739E" w:rsidRDefault="001C739E" w:rsidP="004605E3">
            <w:pPr>
              <w:ind w:left="336"/>
              <w:rPr>
                <w:rFonts w:eastAsia="Times New Roman" w:cs="Times New Roman"/>
                <w:color w:val="000000"/>
                <w:sz w:val="22"/>
                <w:szCs w:val="22"/>
              </w:rPr>
            </w:pPr>
            <w:r w:rsidRPr="001C739E">
              <w:rPr>
                <w:rFonts w:eastAsia="Times New Roman" w:cs="Times New Roman"/>
                <w:color w:val="000000"/>
                <w:sz w:val="22"/>
                <w:szCs w:val="22"/>
              </w:rPr>
              <w:t>Middle Eastern or North African American</w:t>
            </w:r>
          </w:p>
        </w:tc>
        <w:tc>
          <w:tcPr>
            <w:tcW w:w="946" w:type="dxa"/>
            <w:shd w:val="clear" w:color="auto" w:fill="auto"/>
            <w:noWrap/>
            <w:vAlign w:val="bottom"/>
            <w:hideMark/>
          </w:tcPr>
          <w:p w14:paraId="0E27F3BE"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2</w:t>
            </w:r>
          </w:p>
        </w:tc>
        <w:tc>
          <w:tcPr>
            <w:tcW w:w="946" w:type="dxa"/>
            <w:shd w:val="clear" w:color="auto" w:fill="auto"/>
            <w:noWrap/>
            <w:vAlign w:val="bottom"/>
            <w:hideMark/>
          </w:tcPr>
          <w:p w14:paraId="2DBE8628"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1.40%</w:t>
            </w:r>
          </w:p>
        </w:tc>
        <w:tc>
          <w:tcPr>
            <w:tcW w:w="946" w:type="dxa"/>
            <w:shd w:val="clear" w:color="auto" w:fill="auto"/>
            <w:noWrap/>
            <w:vAlign w:val="bottom"/>
            <w:hideMark/>
          </w:tcPr>
          <w:p w14:paraId="012D86F9"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0</w:t>
            </w:r>
          </w:p>
        </w:tc>
        <w:tc>
          <w:tcPr>
            <w:tcW w:w="947" w:type="dxa"/>
            <w:shd w:val="clear" w:color="auto" w:fill="auto"/>
            <w:noWrap/>
            <w:vAlign w:val="bottom"/>
            <w:hideMark/>
          </w:tcPr>
          <w:p w14:paraId="4A9FBB26"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0.00%</w:t>
            </w:r>
          </w:p>
        </w:tc>
      </w:tr>
      <w:tr w:rsidR="001C739E" w:rsidRPr="001C739E" w14:paraId="5F2BBAEA" w14:textId="77777777" w:rsidTr="004605E3">
        <w:trPr>
          <w:trHeight w:val="320"/>
        </w:trPr>
        <w:tc>
          <w:tcPr>
            <w:tcW w:w="5215" w:type="dxa"/>
            <w:shd w:val="clear" w:color="auto" w:fill="auto"/>
            <w:noWrap/>
            <w:vAlign w:val="bottom"/>
            <w:hideMark/>
          </w:tcPr>
          <w:p w14:paraId="3BBAA08B" w14:textId="77777777" w:rsidR="001C739E" w:rsidRPr="001C739E" w:rsidRDefault="001C739E" w:rsidP="004605E3">
            <w:pPr>
              <w:ind w:left="336"/>
              <w:rPr>
                <w:rFonts w:eastAsia="Times New Roman" w:cs="Times New Roman"/>
                <w:color w:val="000000"/>
                <w:sz w:val="22"/>
                <w:szCs w:val="22"/>
              </w:rPr>
            </w:pPr>
            <w:r w:rsidRPr="001C739E">
              <w:rPr>
                <w:rFonts w:eastAsia="Times New Roman" w:cs="Times New Roman"/>
                <w:color w:val="000000"/>
                <w:sz w:val="22"/>
                <w:szCs w:val="22"/>
              </w:rPr>
              <w:t>Native Hawaiian or Other Pacific Islander</w:t>
            </w:r>
          </w:p>
        </w:tc>
        <w:tc>
          <w:tcPr>
            <w:tcW w:w="946" w:type="dxa"/>
            <w:shd w:val="clear" w:color="auto" w:fill="auto"/>
            <w:noWrap/>
            <w:vAlign w:val="bottom"/>
            <w:hideMark/>
          </w:tcPr>
          <w:p w14:paraId="01ADC280"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0</w:t>
            </w:r>
          </w:p>
        </w:tc>
        <w:tc>
          <w:tcPr>
            <w:tcW w:w="946" w:type="dxa"/>
            <w:shd w:val="clear" w:color="auto" w:fill="auto"/>
            <w:noWrap/>
            <w:vAlign w:val="bottom"/>
            <w:hideMark/>
          </w:tcPr>
          <w:p w14:paraId="020B5F5A"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0.00%</w:t>
            </w:r>
          </w:p>
        </w:tc>
        <w:tc>
          <w:tcPr>
            <w:tcW w:w="946" w:type="dxa"/>
            <w:shd w:val="clear" w:color="auto" w:fill="auto"/>
            <w:noWrap/>
            <w:vAlign w:val="bottom"/>
            <w:hideMark/>
          </w:tcPr>
          <w:p w14:paraId="0955B1AE"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0</w:t>
            </w:r>
          </w:p>
        </w:tc>
        <w:tc>
          <w:tcPr>
            <w:tcW w:w="947" w:type="dxa"/>
            <w:shd w:val="clear" w:color="auto" w:fill="auto"/>
            <w:noWrap/>
            <w:vAlign w:val="bottom"/>
            <w:hideMark/>
          </w:tcPr>
          <w:p w14:paraId="378E0A3E"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0.00%</w:t>
            </w:r>
          </w:p>
        </w:tc>
      </w:tr>
      <w:tr w:rsidR="001C739E" w:rsidRPr="001C739E" w14:paraId="6FDABF01" w14:textId="77777777" w:rsidTr="004605E3">
        <w:trPr>
          <w:trHeight w:val="320"/>
        </w:trPr>
        <w:tc>
          <w:tcPr>
            <w:tcW w:w="5215" w:type="dxa"/>
            <w:shd w:val="clear" w:color="auto" w:fill="auto"/>
            <w:noWrap/>
            <w:vAlign w:val="bottom"/>
            <w:hideMark/>
          </w:tcPr>
          <w:p w14:paraId="2BAE9B32" w14:textId="77777777" w:rsidR="001C739E" w:rsidRPr="001C739E" w:rsidRDefault="001C739E" w:rsidP="004605E3">
            <w:pPr>
              <w:ind w:left="336"/>
              <w:rPr>
                <w:rFonts w:eastAsia="Times New Roman" w:cs="Times New Roman"/>
                <w:color w:val="000000"/>
                <w:sz w:val="22"/>
                <w:szCs w:val="22"/>
              </w:rPr>
            </w:pPr>
            <w:r w:rsidRPr="001C739E">
              <w:rPr>
                <w:rFonts w:eastAsia="Times New Roman" w:cs="Times New Roman"/>
                <w:color w:val="000000"/>
                <w:sz w:val="22"/>
                <w:szCs w:val="22"/>
              </w:rPr>
              <w:t>White</w:t>
            </w:r>
          </w:p>
        </w:tc>
        <w:tc>
          <w:tcPr>
            <w:tcW w:w="946" w:type="dxa"/>
            <w:shd w:val="clear" w:color="auto" w:fill="auto"/>
            <w:noWrap/>
            <w:vAlign w:val="bottom"/>
            <w:hideMark/>
          </w:tcPr>
          <w:p w14:paraId="64848E20"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112</w:t>
            </w:r>
          </w:p>
        </w:tc>
        <w:tc>
          <w:tcPr>
            <w:tcW w:w="946" w:type="dxa"/>
            <w:shd w:val="clear" w:color="auto" w:fill="auto"/>
            <w:noWrap/>
            <w:vAlign w:val="bottom"/>
            <w:hideMark/>
          </w:tcPr>
          <w:p w14:paraId="4C4D4DF9"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81.20%</w:t>
            </w:r>
          </w:p>
        </w:tc>
        <w:tc>
          <w:tcPr>
            <w:tcW w:w="946" w:type="dxa"/>
            <w:shd w:val="clear" w:color="auto" w:fill="auto"/>
            <w:noWrap/>
            <w:vAlign w:val="bottom"/>
            <w:hideMark/>
          </w:tcPr>
          <w:p w14:paraId="4CB515F5"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191</w:t>
            </w:r>
          </w:p>
        </w:tc>
        <w:tc>
          <w:tcPr>
            <w:tcW w:w="947" w:type="dxa"/>
            <w:shd w:val="clear" w:color="auto" w:fill="auto"/>
            <w:noWrap/>
            <w:vAlign w:val="bottom"/>
            <w:hideMark/>
          </w:tcPr>
          <w:p w14:paraId="5A18434D"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84.50%</w:t>
            </w:r>
          </w:p>
        </w:tc>
      </w:tr>
      <w:tr w:rsidR="001C739E" w:rsidRPr="001C739E" w14:paraId="17D3FDF3" w14:textId="77777777" w:rsidTr="004605E3">
        <w:trPr>
          <w:trHeight w:val="320"/>
        </w:trPr>
        <w:tc>
          <w:tcPr>
            <w:tcW w:w="5215" w:type="dxa"/>
            <w:shd w:val="clear" w:color="auto" w:fill="auto"/>
            <w:noWrap/>
            <w:vAlign w:val="bottom"/>
            <w:hideMark/>
          </w:tcPr>
          <w:p w14:paraId="35DE87FE" w14:textId="77777777" w:rsidR="001C739E" w:rsidRPr="001C739E" w:rsidRDefault="001C739E" w:rsidP="004605E3">
            <w:pPr>
              <w:ind w:left="336"/>
              <w:rPr>
                <w:rFonts w:eastAsia="Times New Roman" w:cs="Times New Roman"/>
                <w:color w:val="000000"/>
                <w:sz w:val="22"/>
                <w:szCs w:val="22"/>
              </w:rPr>
            </w:pPr>
            <w:r w:rsidRPr="001C739E">
              <w:rPr>
                <w:rFonts w:eastAsia="Times New Roman" w:cs="Times New Roman"/>
                <w:color w:val="000000"/>
                <w:sz w:val="22"/>
                <w:szCs w:val="22"/>
              </w:rPr>
              <w:t>Multi-racial</w:t>
            </w:r>
          </w:p>
        </w:tc>
        <w:tc>
          <w:tcPr>
            <w:tcW w:w="946" w:type="dxa"/>
            <w:shd w:val="clear" w:color="auto" w:fill="auto"/>
            <w:noWrap/>
            <w:vAlign w:val="bottom"/>
            <w:hideMark/>
          </w:tcPr>
          <w:p w14:paraId="3513F437"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16</w:t>
            </w:r>
          </w:p>
        </w:tc>
        <w:tc>
          <w:tcPr>
            <w:tcW w:w="946" w:type="dxa"/>
            <w:shd w:val="clear" w:color="auto" w:fill="auto"/>
            <w:noWrap/>
            <w:vAlign w:val="bottom"/>
            <w:hideMark/>
          </w:tcPr>
          <w:p w14:paraId="598CACC2"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11.60%</w:t>
            </w:r>
          </w:p>
        </w:tc>
        <w:tc>
          <w:tcPr>
            <w:tcW w:w="946" w:type="dxa"/>
            <w:shd w:val="clear" w:color="auto" w:fill="auto"/>
            <w:noWrap/>
            <w:vAlign w:val="bottom"/>
            <w:hideMark/>
          </w:tcPr>
          <w:p w14:paraId="04CC72F6"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19</w:t>
            </w:r>
          </w:p>
        </w:tc>
        <w:tc>
          <w:tcPr>
            <w:tcW w:w="947" w:type="dxa"/>
            <w:shd w:val="clear" w:color="auto" w:fill="auto"/>
            <w:noWrap/>
            <w:vAlign w:val="bottom"/>
            <w:hideMark/>
          </w:tcPr>
          <w:p w14:paraId="3262EABC"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8.40%</w:t>
            </w:r>
          </w:p>
        </w:tc>
      </w:tr>
      <w:tr w:rsidR="001C739E" w:rsidRPr="001C739E" w14:paraId="014D2EA9" w14:textId="77777777" w:rsidTr="004605E3">
        <w:trPr>
          <w:trHeight w:val="320"/>
        </w:trPr>
        <w:tc>
          <w:tcPr>
            <w:tcW w:w="5215" w:type="dxa"/>
            <w:shd w:val="clear" w:color="auto" w:fill="auto"/>
            <w:noWrap/>
            <w:vAlign w:val="bottom"/>
            <w:hideMark/>
          </w:tcPr>
          <w:p w14:paraId="3AC209FA" w14:textId="77777777" w:rsidR="001C739E" w:rsidRPr="001C739E" w:rsidRDefault="001C739E" w:rsidP="001C739E">
            <w:pPr>
              <w:rPr>
                <w:rFonts w:eastAsia="Times New Roman" w:cs="Times New Roman"/>
                <w:color w:val="000000"/>
                <w:sz w:val="22"/>
                <w:szCs w:val="22"/>
              </w:rPr>
            </w:pPr>
            <w:r w:rsidRPr="001C739E">
              <w:rPr>
                <w:rFonts w:eastAsia="Times New Roman" w:cs="Times New Roman"/>
                <w:color w:val="000000"/>
                <w:sz w:val="22"/>
                <w:szCs w:val="22"/>
              </w:rPr>
              <w:t>Education Level</w:t>
            </w:r>
          </w:p>
        </w:tc>
        <w:tc>
          <w:tcPr>
            <w:tcW w:w="946" w:type="dxa"/>
            <w:shd w:val="clear" w:color="auto" w:fill="auto"/>
            <w:noWrap/>
            <w:vAlign w:val="bottom"/>
            <w:hideMark/>
          </w:tcPr>
          <w:p w14:paraId="41058639" w14:textId="77777777" w:rsidR="001C739E" w:rsidRPr="001C739E" w:rsidRDefault="001C739E" w:rsidP="001C739E">
            <w:pPr>
              <w:jc w:val="center"/>
              <w:rPr>
                <w:rFonts w:eastAsia="Times New Roman" w:cs="Times New Roman"/>
                <w:color w:val="000000"/>
                <w:sz w:val="22"/>
                <w:szCs w:val="22"/>
              </w:rPr>
            </w:pPr>
          </w:p>
        </w:tc>
        <w:tc>
          <w:tcPr>
            <w:tcW w:w="946" w:type="dxa"/>
            <w:shd w:val="clear" w:color="auto" w:fill="auto"/>
            <w:noWrap/>
            <w:vAlign w:val="bottom"/>
            <w:hideMark/>
          </w:tcPr>
          <w:p w14:paraId="0BFB20B6" w14:textId="77777777" w:rsidR="001C739E" w:rsidRPr="001C739E" w:rsidRDefault="001C739E" w:rsidP="001C739E">
            <w:pPr>
              <w:jc w:val="center"/>
              <w:rPr>
                <w:rFonts w:eastAsia="Times New Roman" w:cs="Times New Roman"/>
                <w:sz w:val="20"/>
                <w:szCs w:val="20"/>
              </w:rPr>
            </w:pPr>
          </w:p>
        </w:tc>
        <w:tc>
          <w:tcPr>
            <w:tcW w:w="946" w:type="dxa"/>
            <w:shd w:val="clear" w:color="auto" w:fill="auto"/>
            <w:noWrap/>
            <w:vAlign w:val="bottom"/>
            <w:hideMark/>
          </w:tcPr>
          <w:p w14:paraId="3C229E17" w14:textId="77777777" w:rsidR="001C739E" w:rsidRPr="001C739E" w:rsidRDefault="001C739E" w:rsidP="001C739E">
            <w:pPr>
              <w:jc w:val="center"/>
              <w:rPr>
                <w:rFonts w:eastAsia="Times New Roman" w:cs="Times New Roman"/>
                <w:sz w:val="20"/>
                <w:szCs w:val="20"/>
              </w:rPr>
            </w:pPr>
          </w:p>
        </w:tc>
        <w:tc>
          <w:tcPr>
            <w:tcW w:w="947" w:type="dxa"/>
            <w:shd w:val="clear" w:color="auto" w:fill="auto"/>
            <w:noWrap/>
            <w:vAlign w:val="bottom"/>
            <w:hideMark/>
          </w:tcPr>
          <w:p w14:paraId="1717A622" w14:textId="77777777" w:rsidR="001C739E" w:rsidRPr="001C739E" w:rsidRDefault="001C739E" w:rsidP="001C739E">
            <w:pPr>
              <w:jc w:val="center"/>
              <w:rPr>
                <w:rFonts w:eastAsia="Times New Roman" w:cs="Times New Roman"/>
                <w:sz w:val="20"/>
                <w:szCs w:val="20"/>
              </w:rPr>
            </w:pPr>
          </w:p>
        </w:tc>
      </w:tr>
      <w:tr w:rsidR="001C739E" w:rsidRPr="001C739E" w14:paraId="6668C4F5" w14:textId="77777777" w:rsidTr="004605E3">
        <w:trPr>
          <w:trHeight w:val="320"/>
        </w:trPr>
        <w:tc>
          <w:tcPr>
            <w:tcW w:w="5215" w:type="dxa"/>
            <w:shd w:val="clear" w:color="auto" w:fill="auto"/>
            <w:noWrap/>
            <w:vAlign w:val="bottom"/>
            <w:hideMark/>
          </w:tcPr>
          <w:p w14:paraId="0903C7BD" w14:textId="77777777" w:rsidR="001C739E" w:rsidRPr="001C739E" w:rsidRDefault="001C739E" w:rsidP="004605E3">
            <w:pPr>
              <w:ind w:left="336"/>
              <w:rPr>
                <w:rFonts w:eastAsia="Times New Roman" w:cs="Times New Roman"/>
                <w:color w:val="000000"/>
                <w:sz w:val="22"/>
                <w:szCs w:val="22"/>
              </w:rPr>
            </w:pPr>
            <w:r w:rsidRPr="001C739E">
              <w:rPr>
                <w:rFonts w:eastAsia="Times New Roman" w:cs="Times New Roman"/>
                <w:color w:val="000000"/>
                <w:sz w:val="22"/>
                <w:szCs w:val="22"/>
              </w:rPr>
              <w:t>Some high school</w:t>
            </w:r>
          </w:p>
        </w:tc>
        <w:tc>
          <w:tcPr>
            <w:tcW w:w="946" w:type="dxa"/>
            <w:shd w:val="clear" w:color="auto" w:fill="auto"/>
            <w:noWrap/>
            <w:vAlign w:val="bottom"/>
            <w:hideMark/>
          </w:tcPr>
          <w:p w14:paraId="711255EE"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2</w:t>
            </w:r>
          </w:p>
        </w:tc>
        <w:tc>
          <w:tcPr>
            <w:tcW w:w="946" w:type="dxa"/>
            <w:shd w:val="clear" w:color="auto" w:fill="auto"/>
            <w:noWrap/>
            <w:vAlign w:val="bottom"/>
            <w:hideMark/>
          </w:tcPr>
          <w:p w14:paraId="6777809C"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1.40%</w:t>
            </w:r>
          </w:p>
        </w:tc>
        <w:tc>
          <w:tcPr>
            <w:tcW w:w="946" w:type="dxa"/>
            <w:shd w:val="clear" w:color="auto" w:fill="auto"/>
            <w:noWrap/>
            <w:vAlign w:val="bottom"/>
            <w:hideMark/>
          </w:tcPr>
          <w:p w14:paraId="6E8DCD8A"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6</w:t>
            </w:r>
          </w:p>
        </w:tc>
        <w:tc>
          <w:tcPr>
            <w:tcW w:w="947" w:type="dxa"/>
            <w:shd w:val="clear" w:color="auto" w:fill="auto"/>
            <w:noWrap/>
            <w:vAlign w:val="bottom"/>
            <w:hideMark/>
          </w:tcPr>
          <w:p w14:paraId="5113246A"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2.70%</w:t>
            </w:r>
          </w:p>
        </w:tc>
      </w:tr>
      <w:tr w:rsidR="001C739E" w:rsidRPr="001C739E" w14:paraId="6B429975" w14:textId="77777777" w:rsidTr="004605E3">
        <w:trPr>
          <w:trHeight w:val="320"/>
        </w:trPr>
        <w:tc>
          <w:tcPr>
            <w:tcW w:w="5215" w:type="dxa"/>
            <w:shd w:val="clear" w:color="auto" w:fill="auto"/>
            <w:noWrap/>
            <w:vAlign w:val="bottom"/>
            <w:hideMark/>
          </w:tcPr>
          <w:p w14:paraId="5C58CBA9" w14:textId="77777777" w:rsidR="001C739E" w:rsidRPr="001C739E" w:rsidRDefault="001C739E" w:rsidP="004605E3">
            <w:pPr>
              <w:ind w:left="336"/>
              <w:rPr>
                <w:rFonts w:eastAsia="Times New Roman" w:cs="Times New Roman"/>
                <w:color w:val="000000"/>
                <w:sz w:val="22"/>
                <w:szCs w:val="22"/>
              </w:rPr>
            </w:pPr>
            <w:r w:rsidRPr="001C739E">
              <w:rPr>
                <w:rFonts w:eastAsia="Times New Roman" w:cs="Times New Roman"/>
                <w:color w:val="000000"/>
                <w:sz w:val="22"/>
                <w:szCs w:val="22"/>
              </w:rPr>
              <w:t>High school diploma or GED</w:t>
            </w:r>
          </w:p>
        </w:tc>
        <w:tc>
          <w:tcPr>
            <w:tcW w:w="946" w:type="dxa"/>
            <w:shd w:val="clear" w:color="auto" w:fill="auto"/>
            <w:noWrap/>
            <w:vAlign w:val="bottom"/>
            <w:hideMark/>
          </w:tcPr>
          <w:p w14:paraId="5589F85F"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10</w:t>
            </w:r>
          </w:p>
        </w:tc>
        <w:tc>
          <w:tcPr>
            <w:tcW w:w="946" w:type="dxa"/>
            <w:shd w:val="clear" w:color="auto" w:fill="auto"/>
            <w:noWrap/>
            <w:vAlign w:val="bottom"/>
            <w:hideMark/>
          </w:tcPr>
          <w:p w14:paraId="290A3685"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7.20%</w:t>
            </w:r>
          </w:p>
        </w:tc>
        <w:tc>
          <w:tcPr>
            <w:tcW w:w="946" w:type="dxa"/>
            <w:shd w:val="clear" w:color="auto" w:fill="auto"/>
            <w:noWrap/>
            <w:vAlign w:val="bottom"/>
            <w:hideMark/>
          </w:tcPr>
          <w:p w14:paraId="07DA5646"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27</w:t>
            </w:r>
          </w:p>
        </w:tc>
        <w:tc>
          <w:tcPr>
            <w:tcW w:w="947" w:type="dxa"/>
            <w:shd w:val="clear" w:color="auto" w:fill="auto"/>
            <w:noWrap/>
            <w:vAlign w:val="bottom"/>
            <w:hideMark/>
          </w:tcPr>
          <w:p w14:paraId="5E2C799E"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11.90%</w:t>
            </w:r>
          </w:p>
        </w:tc>
      </w:tr>
      <w:tr w:rsidR="001C739E" w:rsidRPr="001C739E" w14:paraId="56DCC6A4" w14:textId="77777777" w:rsidTr="004605E3">
        <w:trPr>
          <w:trHeight w:val="320"/>
        </w:trPr>
        <w:tc>
          <w:tcPr>
            <w:tcW w:w="5215" w:type="dxa"/>
            <w:shd w:val="clear" w:color="auto" w:fill="auto"/>
            <w:noWrap/>
            <w:vAlign w:val="bottom"/>
            <w:hideMark/>
          </w:tcPr>
          <w:p w14:paraId="75060F64" w14:textId="77777777" w:rsidR="001C739E" w:rsidRPr="001C739E" w:rsidRDefault="001C739E" w:rsidP="004605E3">
            <w:pPr>
              <w:ind w:left="336"/>
              <w:rPr>
                <w:rFonts w:eastAsia="Times New Roman" w:cs="Times New Roman"/>
                <w:color w:val="000000"/>
                <w:sz w:val="22"/>
                <w:szCs w:val="22"/>
              </w:rPr>
            </w:pPr>
            <w:r w:rsidRPr="001C739E">
              <w:rPr>
                <w:rFonts w:eastAsia="Times New Roman" w:cs="Times New Roman"/>
                <w:color w:val="000000"/>
                <w:sz w:val="22"/>
                <w:szCs w:val="22"/>
              </w:rPr>
              <w:t>Some college</w:t>
            </w:r>
          </w:p>
        </w:tc>
        <w:tc>
          <w:tcPr>
            <w:tcW w:w="946" w:type="dxa"/>
            <w:shd w:val="clear" w:color="auto" w:fill="auto"/>
            <w:noWrap/>
            <w:vAlign w:val="bottom"/>
            <w:hideMark/>
          </w:tcPr>
          <w:p w14:paraId="04897322"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39</w:t>
            </w:r>
          </w:p>
        </w:tc>
        <w:tc>
          <w:tcPr>
            <w:tcW w:w="946" w:type="dxa"/>
            <w:shd w:val="clear" w:color="auto" w:fill="auto"/>
            <w:noWrap/>
            <w:vAlign w:val="bottom"/>
            <w:hideMark/>
          </w:tcPr>
          <w:p w14:paraId="28127FF2"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28.30%</w:t>
            </w:r>
          </w:p>
        </w:tc>
        <w:tc>
          <w:tcPr>
            <w:tcW w:w="946" w:type="dxa"/>
            <w:shd w:val="clear" w:color="auto" w:fill="auto"/>
            <w:noWrap/>
            <w:vAlign w:val="bottom"/>
            <w:hideMark/>
          </w:tcPr>
          <w:p w14:paraId="68C34147"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67</w:t>
            </w:r>
          </w:p>
        </w:tc>
        <w:tc>
          <w:tcPr>
            <w:tcW w:w="947" w:type="dxa"/>
            <w:shd w:val="clear" w:color="auto" w:fill="auto"/>
            <w:noWrap/>
            <w:vAlign w:val="bottom"/>
            <w:hideMark/>
          </w:tcPr>
          <w:p w14:paraId="25AC1CE2"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29.60%</w:t>
            </w:r>
          </w:p>
        </w:tc>
      </w:tr>
      <w:tr w:rsidR="001C739E" w:rsidRPr="001C739E" w14:paraId="10FBA8B0" w14:textId="77777777" w:rsidTr="004605E3">
        <w:trPr>
          <w:trHeight w:val="320"/>
        </w:trPr>
        <w:tc>
          <w:tcPr>
            <w:tcW w:w="5215" w:type="dxa"/>
            <w:shd w:val="clear" w:color="auto" w:fill="auto"/>
            <w:noWrap/>
            <w:vAlign w:val="bottom"/>
            <w:hideMark/>
          </w:tcPr>
          <w:p w14:paraId="6EBD78C9" w14:textId="77777777" w:rsidR="001C739E" w:rsidRPr="001C739E" w:rsidRDefault="001C739E" w:rsidP="004605E3">
            <w:pPr>
              <w:ind w:left="336"/>
              <w:rPr>
                <w:rFonts w:eastAsia="Times New Roman" w:cs="Times New Roman"/>
                <w:color w:val="000000"/>
                <w:sz w:val="22"/>
                <w:szCs w:val="22"/>
              </w:rPr>
            </w:pPr>
            <w:r w:rsidRPr="001C739E">
              <w:rPr>
                <w:rFonts w:eastAsia="Times New Roman" w:cs="Times New Roman"/>
                <w:color w:val="000000"/>
                <w:sz w:val="22"/>
                <w:szCs w:val="22"/>
              </w:rPr>
              <w:t>2-year college degree</w:t>
            </w:r>
          </w:p>
        </w:tc>
        <w:tc>
          <w:tcPr>
            <w:tcW w:w="946" w:type="dxa"/>
            <w:shd w:val="clear" w:color="auto" w:fill="auto"/>
            <w:noWrap/>
            <w:vAlign w:val="bottom"/>
            <w:hideMark/>
          </w:tcPr>
          <w:p w14:paraId="75CFB6D8"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11</w:t>
            </w:r>
          </w:p>
        </w:tc>
        <w:tc>
          <w:tcPr>
            <w:tcW w:w="946" w:type="dxa"/>
            <w:shd w:val="clear" w:color="auto" w:fill="auto"/>
            <w:noWrap/>
            <w:vAlign w:val="bottom"/>
            <w:hideMark/>
          </w:tcPr>
          <w:p w14:paraId="3CA6782D"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8.00%</w:t>
            </w:r>
          </w:p>
        </w:tc>
        <w:tc>
          <w:tcPr>
            <w:tcW w:w="946" w:type="dxa"/>
            <w:shd w:val="clear" w:color="auto" w:fill="auto"/>
            <w:noWrap/>
            <w:vAlign w:val="bottom"/>
            <w:hideMark/>
          </w:tcPr>
          <w:p w14:paraId="595D2BFD"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15</w:t>
            </w:r>
          </w:p>
        </w:tc>
        <w:tc>
          <w:tcPr>
            <w:tcW w:w="947" w:type="dxa"/>
            <w:shd w:val="clear" w:color="auto" w:fill="auto"/>
            <w:noWrap/>
            <w:vAlign w:val="bottom"/>
            <w:hideMark/>
          </w:tcPr>
          <w:p w14:paraId="666D7A59"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6.60%</w:t>
            </w:r>
          </w:p>
        </w:tc>
      </w:tr>
      <w:tr w:rsidR="001C739E" w:rsidRPr="001C739E" w14:paraId="7EAC4DEE" w14:textId="77777777" w:rsidTr="004605E3">
        <w:trPr>
          <w:trHeight w:val="320"/>
        </w:trPr>
        <w:tc>
          <w:tcPr>
            <w:tcW w:w="5215" w:type="dxa"/>
            <w:shd w:val="clear" w:color="auto" w:fill="auto"/>
            <w:noWrap/>
            <w:vAlign w:val="bottom"/>
            <w:hideMark/>
          </w:tcPr>
          <w:p w14:paraId="2183212F" w14:textId="77777777" w:rsidR="001C739E" w:rsidRPr="001C739E" w:rsidRDefault="001C739E" w:rsidP="004605E3">
            <w:pPr>
              <w:ind w:left="336"/>
              <w:rPr>
                <w:rFonts w:eastAsia="Times New Roman" w:cs="Times New Roman"/>
                <w:color w:val="000000"/>
                <w:sz w:val="22"/>
                <w:szCs w:val="22"/>
              </w:rPr>
            </w:pPr>
            <w:r w:rsidRPr="001C739E">
              <w:rPr>
                <w:rFonts w:eastAsia="Times New Roman" w:cs="Times New Roman"/>
                <w:color w:val="000000"/>
                <w:sz w:val="22"/>
                <w:szCs w:val="22"/>
              </w:rPr>
              <w:t>4-year college degree</w:t>
            </w:r>
          </w:p>
        </w:tc>
        <w:tc>
          <w:tcPr>
            <w:tcW w:w="946" w:type="dxa"/>
            <w:shd w:val="clear" w:color="auto" w:fill="auto"/>
            <w:noWrap/>
            <w:vAlign w:val="bottom"/>
            <w:hideMark/>
          </w:tcPr>
          <w:p w14:paraId="3E9CD939"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37</w:t>
            </w:r>
          </w:p>
        </w:tc>
        <w:tc>
          <w:tcPr>
            <w:tcW w:w="946" w:type="dxa"/>
            <w:shd w:val="clear" w:color="auto" w:fill="auto"/>
            <w:noWrap/>
            <w:vAlign w:val="bottom"/>
            <w:hideMark/>
          </w:tcPr>
          <w:p w14:paraId="22462EAF"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26.80%</w:t>
            </w:r>
          </w:p>
        </w:tc>
        <w:tc>
          <w:tcPr>
            <w:tcW w:w="946" w:type="dxa"/>
            <w:shd w:val="clear" w:color="auto" w:fill="auto"/>
            <w:noWrap/>
            <w:vAlign w:val="bottom"/>
            <w:hideMark/>
          </w:tcPr>
          <w:p w14:paraId="7979B448"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59</w:t>
            </w:r>
          </w:p>
        </w:tc>
        <w:tc>
          <w:tcPr>
            <w:tcW w:w="947" w:type="dxa"/>
            <w:shd w:val="clear" w:color="auto" w:fill="auto"/>
            <w:noWrap/>
            <w:vAlign w:val="bottom"/>
            <w:hideMark/>
          </w:tcPr>
          <w:p w14:paraId="4D061DA6"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26.10%</w:t>
            </w:r>
          </w:p>
        </w:tc>
      </w:tr>
      <w:tr w:rsidR="001C739E" w:rsidRPr="001C739E" w14:paraId="285A6BD7" w14:textId="77777777" w:rsidTr="004605E3">
        <w:trPr>
          <w:trHeight w:val="320"/>
        </w:trPr>
        <w:tc>
          <w:tcPr>
            <w:tcW w:w="5215" w:type="dxa"/>
            <w:shd w:val="clear" w:color="auto" w:fill="auto"/>
            <w:noWrap/>
            <w:vAlign w:val="bottom"/>
            <w:hideMark/>
          </w:tcPr>
          <w:p w14:paraId="3336A17E" w14:textId="77777777" w:rsidR="001C739E" w:rsidRPr="001C739E" w:rsidRDefault="001C739E" w:rsidP="004605E3">
            <w:pPr>
              <w:ind w:left="336"/>
              <w:rPr>
                <w:rFonts w:eastAsia="Times New Roman" w:cs="Times New Roman"/>
                <w:color w:val="000000"/>
                <w:sz w:val="22"/>
                <w:szCs w:val="22"/>
              </w:rPr>
            </w:pPr>
            <w:r w:rsidRPr="001C739E">
              <w:rPr>
                <w:rFonts w:eastAsia="Times New Roman" w:cs="Times New Roman"/>
                <w:color w:val="000000"/>
                <w:sz w:val="22"/>
                <w:szCs w:val="22"/>
              </w:rPr>
              <w:t>Graduate degree</w:t>
            </w:r>
          </w:p>
        </w:tc>
        <w:tc>
          <w:tcPr>
            <w:tcW w:w="946" w:type="dxa"/>
            <w:shd w:val="clear" w:color="auto" w:fill="auto"/>
            <w:noWrap/>
            <w:vAlign w:val="bottom"/>
            <w:hideMark/>
          </w:tcPr>
          <w:p w14:paraId="51DE2654"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39</w:t>
            </w:r>
          </w:p>
        </w:tc>
        <w:tc>
          <w:tcPr>
            <w:tcW w:w="946" w:type="dxa"/>
            <w:shd w:val="clear" w:color="auto" w:fill="auto"/>
            <w:noWrap/>
            <w:vAlign w:val="bottom"/>
            <w:hideMark/>
          </w:tcPr>
          <w:p w14:paraId="52715043"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28.30%</w:t>
            </w:r>
          </w:p>
        </w:tc>
        <w:tc>
          <w:tcPr>
            <w:tcW w:w="946" w:type="dxa"/>
            <w:shd w:val="clear" w:color="auto" w:fill="auto"/>
            <w:noWrap/>
            <w:vAlign w:val="bottom"/>
            <w:hideMark/>
          </w:tcPr>
          <w:p w14:paraId="6020FBD2"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45</w:t>
            </w:r>
          </w:p>
        </w:tc>
        <w:tc>
          <w:tcPr>
            <w:tcW w:w="947" w:type="dxa"/>
            <w:shd w:val="clear" w:color="auto" w:fill="auto"/>
            <w:noWrap/>
            <w:vAlign w:val="bottom"/>
            <w:hideMark/>
          </w:tcPr>
          <w:p w14:paraId="6C698D30"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19.90%</w:t>
            </w:r>
          </w:p>
        </w:tc>
      </w:tr>
      <w:tr w:rsidR="001C739E" w:rsidRPr="001C739E" w14:paraId="127C4167" w14:textId="77777777" w:rsidTr="004605E3">
        <w:trPr>
          <w:trHeight w:val="320"/>
        </w:trPr>
        <w:tc>
          <w:tcPr>
            <w:tcW w:w="5215" w:type="dxa"/>
            <w:shd w:val="clear" w:color="auto" w:fill="auto"/>
            <w:noWrap/>
            <w:vAlign w:val="bottom"/>
            <w:hideMark/>
          </w:tcPr>
          <w:p w14:paraId="2FE7E542" w14:textId="77777777" w:rsidR="001C739E" w:rsidRPr="001C739E" w:rsidRDefault="001C739E" w:rsidP="001C739E">
            <w:pPr>
              <w:rPr>
                <w:rFonts w:eastAsia="Times New Roman" w:cs="Times New Roman"/>
                <w:color w:val="000000"/>
                <w:sz w:val="22"/>
                <w:szCs w:val="22"/>
              </w:rPr>
            </w:pPr>
            <w:r w:rsidRPr="001C739E">
              <w:rPr>
                <w:rFonts w:eastAsia="Times New Roman" w:cs="Times New Roman"/>
                <w:color w:val="000000"/>
                <w:sz w:val="22"/>
                <w:szCs w:val="22"/>
              </w:rPr>
              <w:lastRenderedPageBreak/>
              <w:t>Income Level</w:t>
            </w:r>
          </w:p>
        </w:tc>
        <w:tc>
          <w:tcPr>
            <w:tcW w:w="946" w:type="dxa"/>
            <w:shd w:val="clear" w:color="auto" w:fill="auto"/>
            <w:noWrap/>
            <w:vAlign w:val="bottom"/>
            <w:hideMark/>
          </w:tcPr>
          <w:p w14:paraId="6E52D9C2" w14:textId="77777777" w:rsidR="001C739E" w:rsidRPr="001C739E" w:rsidRDefault="001C739E" w:rsidP="001C739E">
            <w:pPr>
              <w:jc w:val="center"/>
              <w:rPr>
                <w:rFonts w:eastAsia="Times New Roman" w:cs="Times New Roman"/>
                <w:color w:val="000000"/>
                <w:sz w:val="22"/>
                <w:szCs w:val="22"/>
              </w:rPr>
            </w:pPr>
          </w:p>
        </w:tc>
        <w:tc>
          <w:tcPr>
            <w:tcW w:w="946" w:type="dxa"/>
            <w:shd w:val="clear" w:color="auto" w:fill="auto"/>
            <w:noWrap/>
            <w:vAlign w:val="bottom"/>
            <w:hideMark/>
          </w:tcPr>
          <w:p w14:paraId="7B78DDEF" w14:textId="77777777" w:rsidR="001C739E" w:rsidRPr="001C739E" w:rsidRDefault="001C739E" w:rsidP="001C739E">
            <w:pPr>
              <w:jc w:val="center"/>
              <w:rPr>
                <w:rFonts w:eastAsia="Times New Roman" w:cs="Times New Roman"/>
                <w:sz w:val="20"/>
                <w:szCs w:val="20"/>
              </w:rPr>
            </w:pPr>
          </w:p>
        </w:tc>
        <w:tc>
          <w:tcPr>
            <w:tcW w:w="946" w:type="dxa"/>
            <w:shd w:val="clear" w:color="auto" w:fill="auto"/>
            <w:noWrap/>
            <w:vAlign w:val="bottom"/>
            <w:hideMark/>
          </w:tcPr>
          <w:p w14:paraId="66E720C5" w14:textId="77777777" w:rsidR="001C739E" w:rsidRPr="001C739E" w:rsidRDefault="001C739E" w:rsidP="001C739E">
            <w:pPr>
              <w:jc w:val="center"/>
              <w:rPr>
                <w:rFonts w:eastAsia="Times New Roman" w:cs="Times New Roman"/>
                <w:sz w:val="20"/>
                <w:szCs w:val="20"/>
              </w:rPr>
            </w:pPr>
          </w:p>
        </w:tc>
        <w:tc>
          <w:tcPr>
            <w:tcW w:w="947" w:type="dxa"/>
            <w:shd w:val="clear" w:color="auto" w:fill="auto"/>
            <w:noWrap/>
            <w:vAlign w:val="bottom"/>
            <w:hideMark/>
          </w:tcPr>
          <w:p w14:paraId="4BE104A6" w14:textId="77777777" w:rsidR="001C739E" w:rsidRPr="001C739E" w:rsidRDefault="001C739E" w:rsidP="001C739E">
            <w:pPr>
              <w:jc w:val="center"/>
              <w:rPr>
                <w:rFonts w:eastAsia="Times New Roman" w:cs="Times New Roman"/>
                <w:sz w:val="20"/>
                <w:szCs w:val="20"/>
              </w:rPr>
            </w:pPr>
          </w:p>
        </w:tc>
      </w:tr>
      <w:tr w:rsidR="001C739E" w:rsidRPr="001C739E" w14:paraId="647F818D" w14:textId="77777777" w:rsidTr="004605E3">
        <w:trPr>
          <w:trHeight w:val="320"/>
        </w:trPr>
        <w:tc>
          <w:tcPr>
            <w:tcW w:w="5215" w:type="dxa"/>
            <w:shd w:val="clear" w:color="auto" w:fill="auto"/>
            <w:noWrap/>
            <w:vAlign w:val="bottom"/>
            <w:hideMark/>
          </w:tcPr>
          <w:p w14:paraId="43E5D1E0" w14:textId="77777777" w:rsidR="001C739E" w:rsidRPr="001C739E" w:rsidRDefault="001C739E" w:rsidP="004605E3">
            <w:pPr>
              <w:ind w:left="336"/>
              <w:rPr>
                <w:rFonts w:eastAsia="Times New Roman" w:cs="Times New Roman"/>
                <w:color w:val="000000"/>
                <w:sz w:val="22"/>
                <w:szCs w:val="22"/>
              </w:rPr>
            </w:pPr>
            <w:r w:rsidRPr="001C739E">
              <w:rPr>
                <w:rFonts w:eastAsia="Times New Roman" w:cs="Times New Roman"/>
                <w:color w:val="000000"/>
                <w:sz w:val="22"/>
                <w:szCs w:val="22"/>
              </w:rPr>
              <w:t>Less than $20,000</w:t>
            </w:r>
          </w:p>
        </w:tc>
        <w:tc>
          <w:tcPr>
            <w:tcW w:w="946" w:type="dxa"/>
            <w:shd w:val="clear" w:color="auto" w:fill="auto"/>
            <w:noWrap/>
            <w:vAlign w:val="bottom"/>
            <w:hideMark/>
          </w:tcPr>
          <w:p w14:paraId="62B166D3"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72</w:t>
            </w:r>
          </w:p>
        </w:tc>
        <w:tc>
          <w:tcPr>
            <w:tcW w:w="946" w:type="dxa"/>
            <w:shd w:val="clear" w:color="auto" w:fill="auto"/>
            <w:noWrap/>
            <w:vAlign w:val="bottom"/>
            <w:hideMark/>
          </w:tcPr>
          <w:p w14:paraId="4AC28E6F"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52.20%</w:t>
            </w:r>
          </w:p>
        </w:tc>
        <w:tc>
          <w:tcPr>
            <w:tcW w:w="946" w:type="dxa"/>
            <w:shd w:val="clear" w:color="auto" w:fill="auto"/>
            <w:noWrap/>
            <w:vAlign w:val="bottom"/>
            <w:hideMark/>
          </w:tcPr>
          <w:p w14:paraId="24DF13BD"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115</w:t>
            </w:r>
          </w:p>
        </w:tc>
        <w:tc>
          <w:tcPr>
            <w:tcW w:w="947" w:type="dxa"/>
            <w:shd w:val="clear" w:color="auto" w:fill="auto"/>
            <w:noWrap/>
            <w:vAlign w:val="bottom"/>
            <w:hideMark/>
          </w:tcPr>
          <w:p w14:paraId="1D050437"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50.90%</w:t>
            </w:r>
          </w:p>
        </w:tc>
      </w:tr>
      <w:tr w:rsidR="001C739E" w:rsidRPr="001C739E" w14:paraId="3BE17A98" w14:textId="77777777" w:rsidTr="004605E3">
        <w:trPr>
          <w:trHeight w:val="320"/>
        </w:trPr>
        <w:tc>
          <w:tcPr>
            <w:tcW w:w="5215" w:type="dxa"/>
            <w:shd w:val="clear" w:color="auto" w:fill="auto"/>
            <w:noWrap/>
            <w:vAlign w:val="bottom"/>
            <w:hideMark/>
          </w:tcPr>
          <w:p w14:paraId="0A99FAAF" w14:textId="77777777" w:rsidR="001C739E" w:rsidRPr="001C739E" w:rsidRDefault="001C739E" w:rsidP="004605E3">
            <w:pPr>
              <w:ind w:left="336"/>
              <w:rPr>
                <w:rFonts w:eastAsia="Times New Roman" w:cs="Times New Roman"/>
                <w:color w:val="000000"/>
                <w:sz w:val="22"/>
                <w:szCs w:val="22"/>
              </w:rPr>
            </w:pPr>
            <w:r w:rsidRPr="001C739E">
              <w:rPr>
                <w:rFonts w:eastAsia="Times New Roman" w:cs="Times New Roman"/>
                <w:color w:val="000000"/>
                <w:sz w:val="22"/>
                <w:szCs w:val="22"/>
              </w:rPr>
              <w:t>$20,000 to $34,999</w:t>
            </w:r>
          </w:p>
        </w:tc>
        <w:tc>
          <w:tcPr>
            <w:tcW w:w="946" w:type="dxa"/>
            <w:shd w:val="clear" w:color="auto" w:fill="auto"/>
            <w:noWrap/>
            <w:vAlign w:val="bottom"/>
            <w:hideMark/>
          </w:tcPr>
          <w:p w14:paraId="5032B3BC"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25</w:t>
            </w:r>
          </w:p>
        </w:tc>
        <w:tc>
          <w:tcPr>
            <w:tcW w:w="946" w:type="dxa"/>
            <w:shd w:val="clear" w:color="auto" w:fill="auto"/>
            <w:noWrap/>
            <w:vAlign w:val="bottom"/>
            <w:hideMark/>
          </w:tcPr>
          <w:p w14:paraId="44261AEC"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18.10%</w:t>
            </w:r>
          </w:p>
        </w:tc>
        <w:tc>
          <w:tcPr>
            <w:tcW w:w="946" w:type="dxa"/>
            <w:shd w:val="clear" w:color="auto" w:fill="auto"/>
            <w:noWrap/>
            <w:vAlign w:val="bottom"/>
            <w:hideMark/>
          </w:tcPr>
          <w:p w14:paraId="04E3B198"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42</w:t>
            </w:r>
          </w:p>
        </w:tc>
        <w:tc>
          <w:tcPr>
            <w:tcW w:w="947" w:type="dxa"/>
            <w:shd w:val="clear" w:color="auto" w:fill="auto"/>
            <w:noWrap/>
            <w:vAlign w:val="bottom"/>
            <w:hideMark/>
          </w:tcPr>
          <w:p w14:paraId="2E20D03D"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18.60%</w:t>
            </w:r>
          </w:p>
        </w:tc>
      </w:tr>
      <w:tr w:rsidR="001C739E" w:rsidRPr="001C739E" w14:paraId="083B7E3F" w14:textId="77777777" w:rsidTr="004605E3">
        <w:trPr>
          <w:trHeight w:val="320"/>
        </w:trPr>
        <w:tc>
          <w:tcPr>
            <w:tcW w:w="5215" w:type="dxa"/>
            <w:shd w:val="clear" w:color="auto" w:fill="auto"/>
            <w:noWrap/>
            <w:vAlign w:val="bottom"/>
            <w:hideMark/>
          </w:tcPr>
          <w:p w14:paraId="5428E92B" w14:textId="77777777" w:rsidR="001C739E" w:rsidRPr="001C739E" w:rsidRDefault="001C739E" w:rsidP="004605E3">
            <w:pPr>
              <w:ind w:left="336"/>
              <w:rPr>
                <w:rFonts w:eastAsia="Times New Roman" w:cs="Times New Roman"/>
                <w:color w:val="000000"/>
                <w:sz w:val="22"/>
                <w:szCs w:val="22"/>
              </w:rPr>
            </w:pPr>
            <w:r w:rsidRPr="001C739E">
              <w:rPr>
                <w:rFonts w:eastAsia="Times New Roman" w:cs="Times New Roman"/>
                <w:color w:val="000000"/>
                <w:sz w:val="22"/>
                <w:szCs w:val="22"/>
              </w:rPr>
              <w:t>$35,000 to $49,999</w:t>
            </w:r>
          </w:p>
        </w:tc>
        <w:tc>
          <w:tcPr>
            <w:tcW w:w="946" w:type="dxa"/>
            <w:shd w:val="clear" w:color="auto" w:fill="auto"/>
            <w:noWrap/>
            <w:vAlign w:val="bottom"/>
            <w:hideMark/>
          </w:tcPr>
          <w:p w14:paraId="4085E931"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18</w:t>
            </w:r>
          </w:p>
        </w:tc>
        <w:tc>
          <w:tcPr>
            <w:tcW w:w="946" w:type="dxa"/>
            <w:shd w:val="clear" w:color="auto" w:fill="auto"/>
            <w:noWrap/>
            <w:vAlign w:val="bottom"/>
            <w:hideMark/>
          </w:tcPr>
          <w:p w14:paraId="6C4FDD15"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13.00%</w:t>
            </w:r>
          </w:p>
        </w:tc>
        <w:tc>
          <w:tcPr>
            <w:tcW w:w="946" w:type="dxa"/>
            <w:shd w:val="clear" w:color="auto" w:fill="auto"/>
            <w:noWrap/>
            <w:vAlign w:val="bottom"/>
            <w:hideMark/>
          </w:tcPr>
          <w:p w14:paraId="4EE15821"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16</w:t>
            </w:r>
          </w:p>
        </w:tc>
        <w:tc>
          <w:tcPr>
            <w:tcW w:w="947" w:type="dxa"/>
            <w:shd w:val="clear" w:color="auto" w:fill="auto"/>
            <w:noWrap/>
            <w:vAlign w:val="bottom"/>
            <w:hideMark/>
          </w:tcPr>
          <w:p w14:paraId="35FEBA3D"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7.10%</w:t>
            </w:r>
          </w:p>
        </w:tc>
      </w:tr>
      <w:tr w:rsidR="001C739E" w:rsidRPr="001C739E" w14:paraId="3C6E33A4" w14:textId="77777777" w:rsidTr="004605E3">
        <w:trPr>
          <w:trHeight w:val="320"/>
        </w:trPr>
        <w:tc>
          <w:tcPr>
            <w:tcW w:w="5215" w:type="dxa"/>
            <w:shd w:val="clear" w:color="auto" w:fill="auto"/>
            <w:noWrap/>
            <w:vAlign w:val="bottom"/>
            <w:hideMark/>
          </w:tcPr>
          <w:p w14:paraId="6D66E052" w14:textId="77777777" w:rsidR="001C739E" w:rsidRPr="001C739E" w:rsidRDefault="001C739E" w:rsidP="004605E3">
            <w:pPr>
              <w:ind w:left="336"/>
              <w:rPr>
                <w:rFonts w:eastAsia="Times New Roman" w:cs="Times New Roman"/>
                <w:color w:val="000000"/>
                <w:sz w:val="22"/>
                <w:szCs w:val="22"/>
              </w:rPr>
            </w:pPr>
            <w:r w:rsidRPr="001C739E">
              <w:rPr>
                <w:rFonts w:eastAsia="Times New Roman" w:cs="Times New Roman"/>
                <w:color w:val="000000"/>
                <w:sz w:val="22"/>
                <w:szCs w:val="22"/>
              </w:rPr>
              <w:t>$50,000 to $74,999</w:t>
            </w:r>
          </w:p>
        </w:tc>
        <w:tc>
          <w:tcPr>
            <w:tcW w:w="946" w:type="dxa"/>
            <w:shd w:val="clear" w:color="auto" w:fill="auto"/>
            <w:noWrap/>
            <w:vAlign w:val="bottom"/>
            <w:hideMark/>
          </w:tcPr>
          <w:p w14:paraId="1EB894CA"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11</w:t>
            </w:r>
          </w:p>
        </w:tc>
        <w:tc>
          <w:tcPr>
            <w:tcW w:w="946" w:type="dxa"/>
            <w:shd w:val="clear" w:color="auto" w:fill="auto"/>
            <w:noWrap/>
            <w:vAlign w:val="bottom"/>
            <w:hideMark/>
          </w:tcPr>
          <w:p w14:paraId="2A30CB8C"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8.00%</w:t>
            </w:r>
          </w:p>
        </w:tc>
        <w:tc>
          <w:tcPr>
            <w:tcW w:w="946" w:type="dxa"/>
            <w:shd w:val="clear" w:color="auto" w:fill="auto"/>
            <w:noWrap/>
            <w:vAlign w:val="bottom"/>
            <w:hideMark/>
          </w:tcPr>
          <w:p w14:paraId="2CFD7C3F"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25</w:t>
            </w:r>
          </w:p>
        </w:tc>
        <w:tc>
          <w:tcPr>
            <w:tcW w:w="947" w:type="dxa"/>
            <w:shd w:val="clear" w:color="auto" w:fill="auto"/>
            <w:noWrap/>
            <w:vAlign w:val="bottom"/>
            <w:hideMark/>
          </w:tcPr>
          <w:p w14:paraId="1394542E"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11.10%</w:t>
            </w:r>
          </w:p>
        </w:tc>
      </w:tr>
      <w:tr w:rsidR="001C739E" w:rsidRPr="001C739E" w14:paraId="6AC9B95A" w14:textId="77777777" w:rsidTr="004605E3">
        <w:trPr>
          <w:trHeight w:val="320"/>
        </w:trPr>
        <w:tc>
          <w:tcPr>
            <w:tcW w:w="5215" w:type="dxa"/>
            <w:shd w:val="clear" w:color="auto" w:fill="auto"/>
            <w:noWrap/>
            <w:vAlign w:val="bottom"/>
            <w:hideMark/>
          </w:tcPr>
          <w:p w14:paraId="6ABFE6A1" w14:textId="77777777" w:rsidR="001C739E" w:rsidRPr="001C739E" w:rsidRDefault="001C739E" w:rsidP="004605E3">
            <w:pPr>
              <w:ind w:left="336"/>
              <w:rPr>
                <w:rFonts w:eastAsia="Times New Roman" w:cs="Times New Roman"/>
                <w:color w:val="000000"/>
                <w:sz w:val="22"/>
                <w:szCs w:val="22"/>
              </w:rPr>
            </w:pPr>
            <w:r w:rsidRPr="001C739E">
              <w:rPr>
                <w:rFonts w:eastAsia="Times New Roman" w:cs="Times New Roman"/>
                <w:color w:val="000000"/>
                <w:sz w:val="22"/>
                <w:szCs w:val="22"/>
              </w:rPr>
              <w:t>$75,000 to $99,999</w:t>
            </w:r>
          </w:p>
        </w:tc>
        <w:tc>
          <w:tcPr>
            <w:tcW w:w="946" w:type="dxa"/>
            <w:shd w:val="clear" w:color="auto" w:fill="auto"/>
            <w:noWrap/>
            <w:vAlign w:val="bottom"/>
            <w:hideMark/>
          </w:tcPr>
          <w:p w14:paraId="5EFF9656"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9</w:t>
            </w:r>
          </w:p>
        </w:tc>
        <w:tc>
          <w:tcPr>
            <w:tcW w:w="946" w:type="dxa"/>
            <w:shd w:val="clear" w:color="auto" w:fill="auto"/>
            <w:noWrap/>
            <w:vAlign w:val="bottom"/>
            <w:hideMark/>
          </w:tcPr>
          <w:p w14:paraId="0E375802"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6.50%</w:t>
            </w:r>
          </w:p>
        </w:tc>
        <w:tc>
          <w:tcPr>
            <w:tcW w:w="946" w:type="dxa"/>
            <w:shd w:val="clear" w:color="auto" w:fill="auto"/>
            <w:noWrap/>
            <w:vAlign w:val="bottom"/>
            <w:hideMark/>
          </w:tcPr>
          <w:p w14:paraId="7C37F461"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7</w:t>
            </w:r>
          </w:p>
        </w:tc>
        <w:tc>
          <w:tcPr>
            <w:tcW w:w="947" w:type="dxa"/>
            <w:shd w:val="clear" w:color="auto" w:fill="auto"/>
            <w:noWrap/>
            <w:vAlign w:val="bottom"/>
            <w:hideMark/>
          </w:tcPr>
          <w:p w14:paraId="09A71B29"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3.10%</w:t>
            </w:r>
          </w:p>
        </w:tc>
      </w:tr>
      <w:tr w:rsidR="001C739E" w:rsidRPr="001C739E" w14:paraId="0A954434" w14:textId="77777777" w:rsidTr="004605E3">
        <w:trPr>
          <w:trHeight w:val="320"/>
        </w:trPr>
        <w:tc>
          <w:tcPr>
            <w:tcW w:w="5215" w:type="dxa"/>
            <w:shd w:val="clear" w:color="auto" w:fill="auto"/>
            <w:noWrap/>
            <w:vAlign w:val="bottom"/>
            <w:hideMark/>
          </w:tcPr>
          <w:p w14:paraId="57D89A25" w14:textId="77777777" w:rsidR="001C739E" w:rsidRPr="001C739E" w:rsidRDefault="001C739E" w:rsidP="004605E3">
            <w:pPr>
              <w:ind w:left="336"/>
              <w:rPr>
                <w:rFonts w:eastAsia="Times New Roman" w:cs="Times New Roman"/>
                <w:color w:val="000000"/>
                <w:sz w:val="22"/>
                <w:szCs w:val="22"/>
              </w:rPr>
            </w:pPr>
            <w:r w:rsidRPr="001C739E">
              <w:rPr>
                <w:rFonts w:eastAsia="Times New Roman" w:cs="Times New Roman"/>
                <w:color w:val="000000"/>
                <w:sz w:val="22"/>
                <w:szCs w:val="22"/>
              </w:rPr>
              <w:t>Greater than $100,000</w:t>
            </w:r>
          </w:p>
        </w:tc>
        <w:tc>
          <w:tcPr>
            <w:tcW w:w="946" w:type="dxa"/>
            <w:shd w:val="clear" w:color="auto" w:fill="auto"/>
            <w:noWrap/>
            <w:vAlign w:val="bottom"/>
            <w:hideMark/>
          </w:tcPr>
          <w:p w14:paraId="2B9E5F60"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3</w:t>
            </w:r>
          </w:p>
        </w:tc>
        <w:tc>
          <w:tcPr>
            <w:tcW w:w="946" w:type="dxa"/>
            <w:shd w:val="clear" w:color="auto" w:fill="auto"/>
            <w:noWrap/>
            <w:vAlign w:val="bottom"/>
            <w:hideMark/>
          </w:tcPr>
          <w:p w14:paraId="75BDA8DC"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2.20%</w:t>
            </w:r>
          </w:p>
        </w:tc>
        <w:tc>
          <w:tcPr>
            <w:tcW w:w="946" w:type="dxa"/>
            <w:shd w:val="clear" w:color="auto" w:fill="auto"/>
            <w:noWrap/>
            <w:vAlign w:val="bottom"/>
            <w:hideMark/>
          </w:tcPr>
          <w:p w14:paraId="0803E89A"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12</w:t>
            </w:r>
          </w:p>
        </w:tc>
        <w:tc>
          <w:tcPr>
            <w:tcW w:w="947" w:type="dxa"/>
            <w:shd w:val="clear" w:color="auto" w:fill="auto"/>
            <w:noWrap/>
            <w:vAlign w:val="bottom"/>
            <w:hideMark/>
          </w:tcPr>
          <w:p w14:paraId="18FF05FC"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5.30%</w:t>
            </w:r>
          </w:p>
        </w:tc>
      </w:tr>
      <w:tr w:rsidR="001C739E" w:rsidRPr="001C739E" w14:paraId="2CE7A8F5" w14:textId="77777777" w:rsidTr="004605E3">
        <w:trPr>
          <w:trHeight w:val="320"/>
        </w:trPr>
        <w:tc>
          <w:tcPr>
            <w:tcW w:w="5215" w:type="dxa"/>
            <w:shd w:val="clear" w:color="auto" w:fill="auto"/>
            <w:noWrap/>
            <w:vAlign w:val="bottom"/>
            <w:hideMark/>
          </w:tcPr>
          <w:p w14:paraId="1B664673" w14:textId="77777777" w:rsidR="001C739E" w:rsidRPr="001C739E" w:rsidRDefault="001C739E" w:rsidP="001C739E">
            <w:pPr>
              <w:rPr>
                <w:rFonts w:eastAsia="Times New Roman" w:cs="Times New Roman"/>
                <w:color w:val="000000"/>
                <w:sz w:val="22"/>
                <w:szCs w:val="22"/>
              </w:rPr>
            </w:pPr>
            <w:r w:rsidRPr="001C739E">
              <w:rPr>
                <w:rFonts w:eastAsia="Times New Roman" w:cs="Times New Roman"/>
                <w:color w:val="000000"/>
                <w:sz w:val="22"/>
                <w:szCs w:val="22"/>
              </w:rPr>
              <w:t>Specific Transition Steps Taken</w:t>
            </w:r>
          </w:p>
        </w:tc>
        <w:tc>
          <w:tcPr>
            <w:tcW w:w="946" w:type="dxa"/>
            <w:shd w:val="clear" w:color="auto" w:fill="auto"/>
            <w:noWrap/>
            <w:vAlign w:val="bottom"/>
            <w:hideMark/>
          </w:tcPr>
          <w:p w14:paraId="3DA96F29" w14:textId="77777777" w:rsidR="001C739E" w:rsidRPr="001C739E" w:rsidRDefault="001C739E" w:rsidP="001C739E">
            <w:pPr>
              <w:jc w:val="center"/>
              <w:rPr>
                <w:rFonts w:eastAsia="Times New Roman" w:cs="Times New Roman"/>
                <w:color w:val="000000"/>
                <w:sz w:val="22"/>
                <w:szCs w:val="22"/>
              </w:rPr>
            </w:pPr>
          </w:p>
        </w:tc>
        <w:tc>
          <w:tcPr>
            <w:tcW w:w="946" w:type="dxa"/>
            <w:shd w:val="clear" w:color="auto" w:fill="auto"/>
            <w:noWrap/>
            <w:vAlign w:val="bottom"/>
            <w:hideMark/>
          </w:tcPr>
          <w:p w14:paraId="281A5961" w14:textId="77777777" w:rsidR="001C739E" w:rsidRPr="001C739E" w:rsidRDefault="001C739E" w:rsidP="001C739E">
            <w:pPr>
              <w:jc w:val="center"/>
              <w:rPr>
                <w:rFonts w:eastAsia="Times New Roman" w:cs="Times New Roman"/>
                <w:sz w:val="20"/>
                <w:szCs w:val="20"/>
              </w:rPr>
            </w:pPr>
          </w:p>
        </w:tc>
        <w:tc>
          <w:tcPr>
            <w:tcW w:w="946" w:type="dxa"/>
            <w:shd w:val="clear" w:color="auto" w:fill="auto"/>
            <w:noWrap/>
            <w:vAlign w:val="bottom"/>
            <w:hideMark/>
          </w:tcPr>
          <w:p w14:paraId="15E39DC8" w14:textId="77777777" w:rsidR="001C739E" w:rsidRPr="001C739E" w:rsidRDefault="001C739E" w:rsidP="001C739E">
            <w:pPr>
              <w:jc w:val="center"/>
              <w:rPr>
                <w:rFonts w:eastAsia="Times New Roman" w:cs="Times New Roman"/>
                <w:sz w:val="20"/>
                <w:szCs w:val="20"/>
              </w:rPr>
            </w:pPr>
          </w:p>
        </w:tc>
        <w:tc>
          <w:tcPr>
            <w:tcW w:w="947" w:type="dxa"/>
            <w:shd w:val="clear" w:color="auto" w:fill="auto"/>
            <w:noWrap/>
            <w:vAlign w:val="bottom"/>
            <w:hideMark/>
          </w:tcPr>
          <w:p w14:paraId="5828B654" w14:textId="77777777" w:rsidR="001C739E" w:rsidRPr="001C739E" w:rsidRDefault="001C739E" w:rsidP="001C739E">
            <w:pPr>
              <w:jc w:val="center"/>
              <w:rPr>
                <w:rFonts w:eastAsia="Times New Roman" w:cs="Times New Roman"/>
                <w:sz w:val="20"/>
                <w:szCs w:val="20"/>
              </w:rPr>
            </w:pPr>
          </w:p>
        </w:tc>
      </w:tr>
      <w:tr w:rsidR="001C739E" w:rsidRPr="001C739E" w14:paraId="476DBFDB" w14:textId="77777777" w:rsidTr="004605E3">
        <w:trPr>
          <w:trHeight w:val="320"/>
        </w:trPr>
        <w:tc>
          <w:tcPr>
            <w:tcW w:w="5215" w:type="dxa"/>
            <w:shd w:val="clear" w:color="auto" w:fill="auto"/>
            <w:noWrap/>
            <w:vAlign w:val="bottom"/>
            <w:hideMark/>
          </w:tcPr>
          <w:p w14:paraId="4E497CD2" w14:textId="77777777" w:rsidR="001C739E" w:rsidRPr="001C739E" w:rsidRDefault="001C739E" w:rsidP="001C739E">
            <w:pPr>
              <w:ind w:left="336"/>
              <w:rPr>
                <w:rFonts w:eastAsia="Times New Roman" w:cs="Times New Roman"/>
                <w:color w:val="000000"/>
                <w:sz w:val="22"/>
                <w:szCs w:val="22"/>
              </w:rPr>
            </w:pPr>
            <w:r w:rsidRPr="001C739E">
              <w:rPr>
                <w:rFonts w:eastAsia="Times New Roman" w:cs="Times New Roman"/>
                <w:color w:val="000000"/>
                <w:sz w:val="22"/>
                <w:szCs w:val="22"/>
              </w:rPr>
              <w:t>Came out as transgender to family</w:t>
            </w:r>
          </w:p>
        </w:tc>
        <w:tc>
          <w:tcPr>
            <w:tcW w:w="946" w:type="dxa"/>
            <w:shd w:val="clear" w:color="auto" w:fill="auto"/>
            <w:noWrap/>
            <w:vAlign w:val="bottom"/>
            <w:hideMark/>
          </w:tcPr>
          <w:p w14:paraId="74465881"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100</w:t>
            </w:r>
          </w:p>
        </w:tc>
        <w:tc>
          <w:tcPr>
            <w:tcW w:w="946" w:type="dxa"/>
            <w:shd w:val="clear" w:color="auto" w:fill="auto"/>
            <w:noWrap/>
            <w:vAlign w:val="bottom"/>
            <w:hideMark/>
          </w:tcPr>
          <w:p w14:paraId="49BE535C"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72.50%</w:t>
            </w:r>
          </w:p>
        </w:tc>
        <w:tc>
          <w:tcPr>
            <w:tcW w:w="946" w:type="dxa"/>
            <w:shd w:val="clear" w:color="auto" w:fill="auto"/>
            <w:noWrap/>
            <w:vAlign w:val="bottom"/>
            <w:hideMark/>
          </w:tcPr>
          <w:p w14:paraId="2590CC10"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170</w:t>
            </w:r>
          </w:p>
        </w:tc>
        <w:tc>
          <w:tcPr>
            <w:tcW w:w="947" w:type="dxa"/>
            <w:shd w:val="clear" w:color="auto" w:fill="auto"/>
            <w:noWrap/>
            <w:vAlign w:val="bottom"/>
            <w:hideMark/>
          </w:tcPr>
          <w:p w14:paraId="3EF13AE9"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75.20%</w:t>
            </w:r>
          </w:p>
        </w:tc>
      </w:tr>
      <w:tr w:rsidR="001C739E" w:rsidRPr="001C739E" w14:paraId="6FC30BB5" w14:textId="77777777" w:rsidTr="004605E3">
        <w:trPr>
          <w:trHeight w:val="320"/>
        </w:trPr>
        <w:tc>
          <w:tcPr>
            <w:tcW w:w="5215" w:type="dxa"/>
            <w:shd w:val="clear" w:color="auto" w:fill="auto"/>
            <w:noWrap/>
            <w:vAlign w:val="bottom"/>
            <w:hideMark/>
          </w:tcPr>
          <w:p w14:paraId="58660BC6" w14:textId="77777777" w:rsidR="001C739E" w:rsidRPr="001C739E" w:rsidRDefault="001C739E" w:rsidP="001C739E">
            <w:pPr>
              <w:ind w:left="336"/>
              <w:rPr>
                <w:rFonts w:eastAsia="Times New Roman" w:cs="Times New Roman"/>
                <w:color w:val="000000"/>
                <w:sz w:val="22"/>
                <w:szCs w:val="22"/>
              </w:rPr>
            </w:pPr>
            <w:r w:rsidRPr="001C739E">
              <w:rPr>
                <w:rFonts w:eastAsia="Times New Roman" w:cs="Times New Roman"/>
                <w:color w:val="000000"/>
                <w:sz w:val="22"/>
                <w:szCs w:val="22"/>
              </w:rPr>
              <w:t>Came out as transgender to friends</w:t>
            </w:r>
          </w:p>
        </w:tc>
        <w:tc>
          <w:tcPr>
            <w:tcW w:w="946" w:type="dxa"/>
            <w:shd w:val="clear" w:color="auto" w:fill="auto"/>
            <w:noWrap/>
            <w:vAlign w:val="bottom"/>
            <w:hideMark/>
          </w:tcPr>
          <w:p w14:paraId="5DDE9540"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134</w:t>
            </w:r>
          </w:p>
        </w:tc>
        <w:tc>
          <w:tcPr>
            <w:tcW w:w="946" w:type="dxa"/>
            <w:shd w:val="clear" w:color="auto" w:fill="auto"/>
            <w:noWrap/>
            <w:vAlign w:val="bottom"/>
            <w:hideMark/>
          </w:tcPr>
          <w:p w14:paraId="3F10AEC9"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97.10%</w:t>
            </w:r>
          </w:p>
        </w:tc>
        <w:tc>
          <w:tcPr>
            <w:tcW w:w="946" w:type="dxa"/>
            <w:shd w:val="clear" w:color="auto" w:fill="auto"/>
            <w:noWrap/>
            <w:vAlign w:val="bottom"/>
            <w:hideMark/>
          </w:tcPr>
          <w:p w14:paraId="7E0E3C7E"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203</w:t>
            </w:r>
          </w:p>
        </w:tc>
        <w:tc>
          <w:tcPr>
            <w:tcW w:w="947" w:type="dxa"/>
            <w:shd w:val="clear" w:color="auto" w:fill="auto"/>
            <w:noWrap/>
            <w:vAlign w:val="bottom"/>
            <w:hideMark/>
          </w:tcPr>
          <w:p w14:paraId="0333A80F"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89.80%</w:t>
            </w:r>
          </w:p>
        </w:tc>
      </w:tr>
      <w:tr w:rsidR="001C739E" w:rsidRPr="001C739E" w14:paraId="668A59A3" w14:textId="77777777" w:rsidTr="004605E3">
        <w:trPr>
          <w:trHeight w:val="320"/>
        </w:trPr>
        <w:tc>
          <w:tcPr>
            <w:tcW w:w="5215" w:type="dxa"/>
            <w:shd w:val="clear" w:color="auto" w:fill="auto"/>
            <w:noWrap/>
            <w:vAlign w:val="bottom"/>
            <w:hideMark/>
          </w:tcPr>
          <w:p w14:paraId="28A50ACE" w14:textId="77777777" w:rsidR="001C739E" w:rsidRPr="001C739E" w:rsidRDefault="001C739E" w:rsidP="001C739E">
            <w:pPr>
              <w:ind w:left="336"/>
              <w:rPr>
                <w:rFonts w:eastAsia="Times New Roman" w:cs="Times New Roman"/>
                <w:color w:val="000000"/>
                <w:sz w:val="22"/>
                <w:szCs w:val="22"/>
              </w:rPr>
            </w:pPr>
            <w:r w:rsidRPr="001C739E">
              <w:rPr>
                <w:rFonts w:eastAsia="Times New Roman" w:cs="Times New Roman"/>
                <w:color w:val="000000"/>
                <w:sz w:val="22"/>
                <w:szCs w:val="22"/>
              </w:rPr>
              <w:t>Came out as transgender to coworkers and/or classmates</w:t>
            </w:r>
          </w:p>
        </w:tc>
        <w:tc>
          <w:tcPr>
            <w:tcW w:w="946" w:type="dxa"/>
            <w:shd w:val="clear" w:color="auto" w:fill="auto"/>
            <w:noWrap/>
            <w:vAlign w:val="bottom"/>
            <w:hideMark/>
          </w:tcPr>
          <w:p w14:paraId="5E9C488A"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96</w:t>
            </w:r>
          </w:p>
        </w:tc>
        <w:tc>
          <w:tcPr>
            <w:tcW w:w="946" w:type="dxa"/>
            <w:shd w:val="clear" w:color="auto" w:fill="auto"/>
            <w:noWrap/>
            <w:vAlign w:val="bottom"/>
            <w:hideMark/>
          </w:tcPr>
          <w:p w14:paraId="2C97CFD1"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69.60%</w:t>
            </w:r>
          </w:p>
        </w:tc>
        <w:tc>
          <w:tcPr>
            <w:tcW w:w="946" w:type="dxa"/>
            <w:shd w:val="clear" w:color="auto" w:fill="auto"/>
            <w:noWrap/>
            <w:vAlign w:val="bottom"/>
            <w:hideMark/>
          </w:tcPr>
          <w:p w14:paraId="570C5E2A"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143</w:t>
            </w:r>
          </w:p>
        </w:tc>
        <w:tc>
          <w:tcPr>
            <w:tcW w:w="947" w:type="dxa"/>
            <w:shd w:val="clear" w:color="auto" w:fill="auto"/>
            <w:noWrap/>
            <w:vAlign w:val="bottom"/>
            <w:hideMark/>
          </w:tcPr>
          <w:p w14:paraId="108557EA"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63.30%</w:t>
            </w:r>
          </w:p>
        </w:tc>
      </w:tr>
      <w:tr w:rsidR="001C739E" w:rsidRPr="001C739E" w14:paraId="08076F2F" w14:textId="77777777" w:rsidTr="004605E3">
        <w:trPr>
          <w:trHeight w:val="320"/>
        </w:trPr>
        <w:tc>
          <w:tcPr>
            <w:tcW w:w="5215" w:type="dxa"/>
            <w:shd w:val="clear" w:color="auto" w:fill="auto"/>
            <w:noWrap/>
            <w:vAlign w:val="bottom"/>
            <w:hideMark/>
          </w:tcPr>
          <w:p w14:paraId="649DB3CE" w14:textId="77777777" w:rsidR="001C739E" w:rsidRPr="001C739E" w:rsidRDefault="001C739E" w:rsidP="001C739E">
            <w:pPr>
              <w:ind w:left="336"/>
              <w:rPr>
                <w:rFonts w:eastAsia="Times New Roman" w:cs="Times New Roman"/>
                <w:color w:val="000000"/>
                <w:sz w:val="22"/>
                <w:szCs w:val="22"/>
              </w:rPr>
            </w:pPr>
            <w:r w:rsidRPr="001C739E">
              <w:rPr>
                <w:rFonts w:eastAsia="Times New Roman" w:cs="Times New Roman"/>
                <w:color w:val="000000"/>
                <w:sz w:val="22"/>
                <w:szCs w:val="22"/>
              </w:rPr>
              <w:t>Adopted a name that is different from the one given at birth</w:t>
            </w:r>
          </w:p>
        </w:tc>
        <w:tc>
          <w:tcPr>
            <w:tcW w:w="946" w:type="dxa"/>
            <w:shd w:val="clear" w:color="auto" w:fill="auto"/>
            <w:noWrap/>
            <w:vAlign w:val="bottom"/>
            <w:hideMark/>
          </w:tcPr>
          <w:p w14:paraId="1107CDC4"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99</w:t>
            </w:r>
          </w:p>
        </w:tc>
        <w:tc>
          <w:tcPr>
            <w:tcW w:w="946" w:type="dxa"/>
            <w:shd w:val="clear" w:color="auto" w:fill="auto"/>
            <w:noWrap/>
            <w:vAlign w:val="bottom"/>
            <w:hideMark/>
          </w:tcPr>
          <w:p w14:paraId="736D8934"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71.70%</w:t>
            </w:r>
          </w:p>
        </w:tc>
        <w:tc>
          <w:tcPr>
            <w:tcW w:w="946" w:type="dxa"/>
            <w:shd w:val="clear" w:color="auto" w:fill="auto"/>
            <w:noWrap/>
            <w:vAlign w:val="bottom"/>
            <w:hideMark/>
          </w:tcPr>
          <w:p w14:paraId="4C358826"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162</w:t>
            </w:r>
          </w:p>
        </w:tc>
        <w:tc>
          <w:tcPr>
            <w:tcW w:w="947" w:type="dxa"/>
            <w:shd w:val="clear" w:color="auto" w:fill="auto"/>
            <w:noWrap/>
            <w:vAlign w:val="bottom"/>
            <w:hideMark/>
          </w:tcPr>
          <w:p w14:paraId="3CB5082D"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71.70%</w:t>
            </w:r>
          </w:p>
        </w:tc>
      </w:tr>
      <w:tr w:rsidR="001C739E" w:rsidRPr="001C739E" w14:paraId="308593C3" w14:textId="77777777" w:rsidTr="004605E3">
        <w:trPr>
          <w:trHeight w:val="320"/>
        </w:trPr>
        <w:tc>
          <w:tcPr>
            <w:tcW w:w="5215" w:type="dxa"/>
            <w:shd w:val="clear" w:color="auto" w:fill="auto"/>
            <w:noWrap/>
            <w:vAlign w:val="bottom"/>
            <w:hideMark/>
          </w:tcPr>
          <w:p w14:paraId="20410078" w14:textId="77777777" w:rsidR="001C739E" w:rsidRPr="001C739E" w:rsidRDefault="001C739E" w:rsidP="001C739E">
            <w:pPr>
              <w:ind w:left="336"/>
              <w:rPr>
                <w:rFonts w:eastAsia="Times New Roman" w:cs="Times New Roman"/>
                <w:color w:val="000000"/>
                <w:sz w:val="22"/>
                <w:szCs w:val="22"/>
              </w:rPr>
            </w:pPr>
            <w:r w:rsidRPr="001C739E">
              <w:rPr>
                <w:rFonts w:eastAsia="Times New Roman" w:cs="Times New Roman"/>
                <w:color w:val="000000"/>
                <w:sz w:val="22"/>
                <w:szCs w:val="22"/>
              </w:rPr>
              <w:t>Legally changed name to adopted name</w:t>
            </w:r>
          </w:p>
        </w:tc>
        <w:tc>
          <w:tcPr>
            <w:tcW w:w="946" w:type="dxa"/>
            <w:shd w:val="clear" w:color="auto" w:fill="auto"/>
            <w:noWrap/>
            <w:vAlign w:val="bottom"/>
            <w:hideMark/>
          </w:tcPr>
          <w:p w14:paraId="78BBBD61"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56</w:t>
            </w:r>
          </w:p>
        </w:tc>
        <w:tc>
          <w:tcPr>
            <w:tcW w:w="946" w:type="dxa"/>
            <w:shd w:val="clear" w:color="auto" w:fill="auto"/>
            <w:noWrap/>
            <w:vAlign w:val="bottom"/>
            <w:hideMark/>
          </w:tcPr>
          <w:p w14:paraId="555D1E82"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40.60%</w:t>
            </w:r>
          </w:p>
        </w:tc>
        <w:tc>
          <w:tcPr>
            <w:tcW w:w="946" w:type="dxa"/>
            <w:shd w:val="clear" w:color="auto" w:fill="auto"/>
            <w:noWrap/>
            <w:vAlign w:val="bottom"/>
            <w:hideMark/>
          </w:tcPr>
          <w:p w14:paraId="70684D32"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72</w:t>
            </w:r>
          </w:p>
        </w:tc>
        <w:tc>
          <w:tcPr>
            <w:tcW w:w="947" w:type="dxa"/>
            <w:shd w:val="clear" w:color="auto" w:fill="auto"/>
            <w:noWrap/>
            <w:vAlign w:val="bottom"/>
            <w:hideMark/>
          </w:tcPr>
          <w:p w14:paraId="6C666D8C"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31.90%</w:t>
            </w:r>
          </w:p>
        </w:tc>
      </w:tr>
      <w:tr w:rsidR="001C739E" w:rsidRPr="001C739E" w14:paraId="798EC02B" w14:textId="77777777" w:rsidTr="004605E3">
        <w:trPr>
          <w:trHeight w:val="320"/>
        </w:trPr>
        <w:tc>
          <w:tcPr>
            <w:tcW w:w="5215" w:type="dxa"/>
            <w:shd w:val="clear" w:color="auto" w:fill="auto"/>
            <w:noWrap/>
            <w:vAlign w:val="bottom"/>
            <w:hideMark/>
          </w:tcPr>
          <w:p w14:paraId="0F827C14" w14:textId="77777777" w:rsidR="001C739E" w:rsidRPr="001C739E" w:rsidRDefault="001C739E" w:rsidP="001C739E">
            <w:pPr>
              <w:ind w:left="336"/>
              <w:rPr>
                <w:rFonts w:eastAsia="Times New Roman" w:cs="Times New Roman"/>
                <w:color w:val="000000"/>
                <w:sz w:val="22"/>
                <w:szCs w:val="22"/>
              </w:rPr>
            </w:pPr>
            <w:r w:rsidRPr="001C739E">
              <w:rPr>
                <w:rFonts w:eastAsia="Times New Roman" w:cs="Times New Roman"/>
                <w:color w:val="000000"/>
                <w:sz w:val="22"/>
                <w:szCs w:val="22"/>
              </w:rPr>
              <w:t>Use different pronouns from the ones aligned with your sex assigned at birth</w:t>
            </w:r>
          </w:p>
        </w:tc>
        <w:tc>
          <w:tcPr>
            <w:tcW w:w="946" w:type="dxa"/>
            <w:shd w:val="clear" w:color="auto" w:fill="auto"/>
            <w:noWrap/>
            <w:vAlign w:val="bottom"/>
            <w:hideMark/>
          </w:tcPr>
          <w:p w14:paraId="1BDED5BF"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127</w:t>
            </w:r>
          </w:p>
        </w:tc>
        <w:tc>
          <w:tcPr>
            <w:tcW w:w="946" w:type="dxa"/>
            <w:shd w:val="clear" w:color="auto" w:fill="auto"/>
            <w:noWrap/>
            <w:vAlign w:val="bottom"/>
            <w:hideMark/>
          </w:tcPr>
          <w:p w14:paraId="4EBAC8FE"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92.00%</w:t>
            </w:r>
          </w:p>
        </w:tc>
        <w:tc>
          <w:tcPr>
            <w:tcW w:w="946" w:type="dxa"/>
            <w:shd w:val="clear" w:color="auto" w:fill="auto"/>
            <w:noWrap/>
            <w:vAlign w:val="bottom"/>
            <w:hideMark/>
          </w:tcPr>
          <w:p w14:paraId="6EBD927C"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207</w:t>
            </w:r>
          </w:p>
        </w:tc>
        <w:tc>
          <w:tcPr>
            <w:tcW w:w="947" w:type="dxa"/>
            <w:shd w:val="clear" w:color="auto" w:fill="auto"/>
            <w:noWrap/>
            <w:vAlign w:val="bottom"/>
            <w:hideMark/>
          </w:tcPr>
          <w:p w14:paraId="79A9938F"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91.60%</w:t>
            </w:r>
          </w:p>
        </w:tc>
      </w:tr>
      <w:tr w:rsidR="001C739E" w:rsidRPr="001C739E" w14:paraId="1CD9C849" w14:textId="77777777" w:rsidTr="004605E3">
        <w:trPr>
          <w:trHeight w:val="320"/>
        </w:trPr>
        <w:tc>
          <w:tcPr>
            <w:tcW w:w="5215" w:type="dxa"/>
            <w:shd w:val="clear" w:color="auto" w:fill="auto"/>
            <w:noWrap/>
            <w:vAlign w:val="bottom"/>
            <w:hideMark/>
          </w:tcPr>
          <w:p w14:paraId="746F2F20" w14:textId="77777777" w:rsidR="001C739E" w:rsidRPr="001C739E" w:rsidRDefault="001C739E" w:rsidP="001C739E">
            <w:pPr>
              <w:ind w:left="336"/>
              <w:rPr>
                <w:rFonts w:eastAsia="Times New Roman" w:cs="Times New Roman"/>
                <w:color w:val="000000"/>
                <w:sz w:val="22"/>
                <w:szCs w:val="22"/>
              </w:rPr>
            </w:pPr>
            <w:r w:rsidRPr="001C739E">
              <w:rPr>
                <w:rFonts w:eastAsia="Times New Roman" w:cs="Times New Roman"/>
                <w:color w:val="000000"/>
                <w:sz w:val="22"/>
                <w:szCs w:val="22"/>
              </w:rPr>
              <w:t>Legally changed gender marker on any documentation</w:t>
            </w:r>
          </w:p>
        </w:tc>
        <w:tc>
          <w:tcPr>
            <w:tcW w:w="946" w:type="dxa"/>
            <w:shd w:val="clear" w:color="auto" w:fill="auto"/>
            <w:noWrap/>
            <w:vAlign w:val="bottom"/>
            <w:hideMark/>
          </w:tcPr>
          <w:p w14:paraId="686FC20D"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44</w:t>
            </w:r>
          </w:p>
        </w:tc>
        <w:tc>
          <w:tcPr>
            <w:tcW w:w="946" w:type="dxa"/>
            <w:shd w:val="clear" w:color="auto" w:fill="auto"/>
            <w:noWrap/>
            <w:vAlign w:val="bottom"/>
            <w:hideMark/>
          </w:tcPr>
          <w:p w14:paraId="22746E6D"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31.90%</w:t>
            </w:r>
          </w:p>
        </w:tc>
        <w:tc>
          <w:tcPr>
            <w:tcW w:w="946" w:type="dxa"/>
            <w:shd w:val="clear" w:color="auto" w:fill="auto"/>
            <w:noWrap/>
            <w:vAlign w:val="bottom"/>
            <w:hideMark/>
          </w:tcPr>
          <w:p w14:paraId="67BD0F2E"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61</w:t>
            </w:r>
          </w:p>
        </w:tc>
        <w:tc>
          <w:tcPr>
            <w:tcW w:w="947" w:type="dxa"/>
            <w:shd w:val="clear" w:color="auto" w:fill="auto"/>
            <w:noWrap/>
            <w:vAlign w:val="bottom"/>
            <w:hideMark/>
          </w:tcPr>
          <w:p w14:paraId="5AFC51C5"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27.00%</w:t>
            </w:r>
          </w:p>
        </w:tc>
      </w:tr>
      <w:tr w:rsidR="001C739E" w:rsidRPr="001C739E" w14:paraId="13BF35E9" w14:textId="77777777" w:rsidTr="004605E3">
        <w:trPr>
          <w:trHeight w:val="320"/>
        </w:trPr>
        <w:tc>
          <w:tcPr>
            <w:tcW w:w="5215" w:type="dxa"/>
            <w:shd w:val="clear" w:color="auto" w:fill="auto"/>
            <w:noWrap/>
            <w:vAlign w:val="bottom"/>
            <w:hideMark/>
          </w:tcPr>
          <w:p w14:paraId="69E56A90" w14:textId="77777777" w:rsidR="001C739E" w:rsidRPr="001C739E" w:rsidRDefault="001C739E" w:rsidP="001C739E">
            <w:pPr>
              <w:ind w:left="336"/>
              <w:rPr>
                <w:rFonts w:eastAsia="Times New Roman" w:cs="Times New Roman"/>
                <w:color w:val="000000"/>
                <w:sz w:val="22"/>
                <w:szCs w:val="22"/>
              </w:rPr>
            </w:pPr>
            <w:r w:rsidRPr="001C739E">
              <w:rPr>
                <w:rFonts w:eastAsia="Times New Roman" w:cs="Times New Roman"/>
                <w:color w:val="000000"/>
                <w:sz w:val="22"/>
                <w:szCs w:val="22"/>
              </w:rPr>
              <w:t>Change in clothing/accessories/appearance to match gender identity in social situations</w:t>
            </w:r>
          </w:p>
        </w:tc>
        <w:tc>
          <w:tcPr>
            <w:tcW w:w="946" w:type="dxa"/>
            <w:shd w:val="clear" w:color="auto" w:fill="auto"/>
            <w:noWrap/>
            <w:vAlign w:val="bottom"/>
            <w:hideMark/>
          </w:tcPr>
          <w:p w14:paraId="2136128C"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114</w:t>
            </w:r>
          </w:p>
        </w:tc>
        <w:tc>
          <w:tcPr>
            <w:tcW w:w="946" w:type="dxa"/>
            <w:shd w:val="clear" w:color="auto" w:fill="auto"/>
            <w:noWrap/>
            <w:vAlign w:val="bottom"/>
            <w:hideMark/>
          </w:tcPr>
          <w:p w14:paraId="32723E7B"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82.60%</w:t>
            </w:r>
          </w:p>
        </w:tc>
        <w:tc>
          <w:tcPr>
            <w:tcW w:w="946" w:type="dxa"/>
            <w:shd w:val="clear" w:color="auto" w:fill="auto"/>
            <w:noWrap/>
            <w:vAlign w:val="bottom"/>
            <w:hideMark/>
          </w:tcPr>
          <w:p w14:paraId="63D3C24F"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191</w:t>
            </w:r>
          </w:p>
        </w:tc>
        <w:tc>
          <w:tcPr>
            <w:tcW w:w="947" w:type="dxa"/>
            <w:shd w:val="clear" w:color="auto" w:fill="auto"/>
            <w:noWrap/>
            <w:vAlign w:val="bottom"/>
            <w:hideMark/>
          </w:tcPr>
          <w:p w14:paraId="4DD2316E"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84.50%</w:t>
            </w:r>
          </w:p>
        </w:tc>
      </w:tr>
      <w:tr w:rsidR="001C739E" w:rsidRPr="001C739E" w14:paraId="6FF065A6" w14:textId="77777777" w:rsidTr="004605E3">
        <w:trPr>
          <w:trHeight w:val="320"/>
        </w:trPr>
        <w:tc>
          <w:tcPr>
            <w:tcW w:w="5215" w:type="dxa"/>
            <w:shd w:val="clear" w:color="auto" w:fill="auto"/>
            <w:noWrap/>
            <w:vAlign w:val="bottom"/>
            <w:hideMark/>
          </w:tcPr>
          <w:p w14:paraId="2983E32B" w14:textId="77777777" w:rsidR="001C739E" w:rsidRPr="001C739E" w:rsidRDefault="001C739E" w:rsidP="001C739E">
            <w:pPr>
              <w:ind w:left="336"/>
              <w:rPr>
                <w:rFonts w:eastAsia="Times New Roman" w:cs="Times New Roman"/>
                <w:color w:val="000000"/>
                <w:sz w:val="22"/>
                <w:szCs w:val="22"/>
              </w:rPr>
            </w:pPr>
            <w:r w:rsidRPr="001C739E">
              <w:rPr>
                <w:rFonts w:eastAsia="Times New Roman" w:cs="Times New Roman"/>
                <w:color w:val="000000"/>
                <w:sz w:val="22"/>
                <w:szCs w:val="22"/>
              </w:rPr>
              <w:t>Change in clothing/accessories/appearance to match gender identity at work and/or school</w:t>
            </w:r>
          </w:p>
        </w:tc>
        <w:tc>
          <w:tcPr>
            <w:tcW w:w="946" w:type="dxa"/>
            <w:shd w:val="clear" w:color="auto" w:fill="auto"/>
            <w:noWrap/>
            <w:vAlign w:val="bottom"/>
            <w:hideMark/>
          </w:tcPr>
          <w:p w14:paraId="43AEB2F3"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99</w:t>
            </w:r>
          </w:p>
        </w:tc>
        <w:tc>
          <w:tcPr>
            <w:tcW w:w="946" w:type="dxa"/>
            <w:shd w:val="clear" w:color="auto" w:fill="auto"/>
            <w:noWrap/>
            <w:vAlign w:val="bottom"/>
            <w:hideMark/>
          </w:tcPr>
          <w:p w14:paraId="2013F550"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71.70%</w:t>
            </w:r>
          </w:p>
        </w:tc>
        <w:tc>
          <w:tcPr>
            <w:tcW w:w="946" w:type="dxa"/>
            <w:shd w:val="clear" w:color="auto" w:fill="auto"/>
            <w:noWrap/>
            <w:vAlign w:val="bottom"/>
            <w:hideMark/>
          </w:tcPr>
          <w:p w14:paraId="38B6BA28"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153</w:t>
            </w:r>
          </w:p>
        </w:tc>
        <w:tc>
          <w:tcPr>
            <w:tcW w:w="947" w:type="dxa"/>
            <w:shd w:val="clear" w:color="auto" w:fill="auto"/>
            <w:noWrap/>
            <w:vAlign w:val="bottom"/>
            <w:hideMark/>
          </w:tcPr>
          <w:p w14:paraId="55105DEE"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67.70%</w:t>
            </w:r>
          </w:p>
        </w:tc>
      </w:tr>
      <w:tr w:rsidR="001C739E" w:rsidRPr="001C739E" w14:paraId="295F3E8A" w14:textId="77777777" w:rsidTr="004605E3">
        <w:trPr>
          <w:trHeight w:val="320"/>
        </w:trPr>
        <w:tc>
          <w:tcPr>
            <w:tcW w:w="5215" w:type="dxa"/>
            <w:shd w:val="clear" w:color="auto" w:fill="auto"/>
            <w:noWrap/>
            <w:vAlign w:val="bottom"/>
            <w:hideMark/>
          </w:tcPr>
          <w:p w14:paraId="74788A9C" w14:textId="77777777" w:rsidR="001C739E" w:rsidRPr="001C739E" w:rsidRDefault="001C739E" w:rsidP="001C739E">
            <w:pPr>
              <w:ind w:left="336"/>
              <w:rPr>
                <w:rFonts w:eastAsia="Times New Roman" w:cs="Times New Roman"/>
                <w:color w:val="000000"/>
                <w:sz w:val="22"/>
                <w:szCs w:val="22"/>
              </w:rPr>
            </w:pPr>
            <w:r w:rsidRPr="001C739E">
              <w:rPr>
                <w:rFonts w:eastAsia="Times New Roman" w:cs="Times New Roman"/>
                <w:color w:val="000000"/>
                <w:sz w:val="22"/>
                <w:szCs w:val="22"/>
              </w:rPr>
              <w:t>Started hormone replacement therapy (HRT)</w:t>
            </w:r>
          </w:p>
        </w:tc>
        <w:tc>
          <w:tcPr>
            <w:tcW w:w="946" w:type="dxa"/>
            <w:shd w:val="clear" w:color="auto" w:fill="auto"/>
            <w:noWrap/>
            <w:vAlign w:val="bottom"/>
            <w:hideMark/>
          </w:tcPr>
          <w:p w14:paraId="4F6A85DF"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67</w:t>
            </w:r>
          </w:p>
        </w:tc>
        <w:tc>
          <w:tcPr>
            <w:tcW w:w="946" w:type="dxa"/>
            <w:shd w:val="clear" w:color="auto" w:fill="auto"/>
            <w:noWrap/>
            <w:vAlign w:val="bottom"/>
            <w:hideMark/>
          </w:tcPr>
          <w:p w14:paraId="449E97F3"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48.60%</w:t>
            </w:r>
          </w:p>
        </w:tc>
        <w:tc>
          <w:tcPr>
            <w:tcW w:w="946" w:type="dxa"/>
            <w:shd w:val="clear" w:color="auto" w:fill="auto"/>
            <w:noWrap/>
            <w:vAlign w:val="bottom"/>
            <w:hideMark/>
          </w:tcPr>
          <w:p w14:paraId="13381A40"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111</w:t>
            </w:r>
          </w:p>
        </w:tc>
        <w:tc>
          <w:tcPr>
            <w:tcW w:w="947" w:type="dxa"/>
            <w:shd w:val="clear" w:color="auto" w:fill="auto"/>
            <w:noWrap/>
            <w:vAlign w:val="bottom"/>
            <w:hideMark/>
          </w:tcPr>
          <w:p w14:paraId="6A53BBF9"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49.10%</w:t>
            </w:r>
          </w:p>
        </w:tc>
      </w:tr>
      <w:tr w:rsidR="001C739E" w:rsidRPr="001C739E" w14:paraId="10B5B754" w14:textId="77777777" w:rsidTr="004605E3">
        <w:trPr>
          <w:trHeight w:val="320"/>
        </w:trPr>
        <w:tc>
          <w:tcPr>
            <w:tcW w:w="5215" w:type="dxa"/>
            <w:tcBorders>
              <w:bottom w:val="single" w:sz="4" w:space="0" w:color="auto"/>
            </w:tcBorders>
            <w:shd w:val="clear" w:color="auto" w:fill="auto"/>
            <w:noWrap/>
            <w:vAlign w:val="bottom"/>
            <w:hideMark/>
          </w:tcPr>
          <w:p w14:paraId="45EEEA02" w14:textId="77777777" w:rsidR="001C739E" w:rsidRPr="001C739E" w:rsidRDefault="001C739E" w:rsidP="001C739E">
            <w:pPr>
              <w:ind w:left="336"/>
              <w:rPr>
                <w:rFonts w:eastAsia="Times New Roman" w:cs="Times New Roman"/>
                <w:color w:val="000000"/>
                <w:sz w:val="22"/>
                <w:szCs w:val="22"/>
              </w:rPr>
            </w:pPr>
            <w:r w:rsidRPr="001C739E">
              <w:rPr>
                <w:rFonts w:eastAsia="Times New Roman" w:cs="Times New Roman"/>
                <w:color w:val="000000"/>
                <w:sz w:val="22"/>
                <w:szCs w:val="22"/>
              </w:rPr>
              <w:t>Undergone any gender-affirming surgical procedure (sex reassignment surgery, breast removal, breast augmentation, facial feminization surgery, etc.)</w:t>
            </w:r>
          </w:p>
        </w:tc>
        <w:tc>
          <w:tcPr>
            <w:tcW w:w="946" w:type="dxa"/>
            <w:tcBorders>
              <w:bottom w:val="single" w:sz="4" w:space="0" w:color="auto"/>
            </w:tcBorders>
            <w:shd w:val="clear" w:color="auto" w:fill="auto"/>
            <w:noWrap/>
            <w:vAlign w:val="bottom"/>
            <w:hideMark/>
          </w:tcPr>
          <w:p w14:paraId="79941934"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39</w:t>
            </w:r>
          </w:p>
        </w:tc>
        <w:tc>
          <w:tcPr>
            <w:tcW w:w="946" w:type="dxa"/>
            <w:tcBorders>
              <w:bottom w:val="single" w:sz="4" w:space="0" w:color="auto"/>
            </w:tcBorders>
            <w:shd w:val="clear" w:color="auto" w:fill="auto"/>
            <w:noWrap/>
            <w:vAlign w:val="bottom"/>
            <w:hideMark/>
          </w:tcPr>
          <w:p w14:paraId="4197CEDC"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28.30%</w:t>
            </w:r>
          </w:p>
        </w:tc>
        <w:tc>
          <w:tcPr>
            <w:tcW w:w="946" w:type="dxa"/>
            <w:tcBorders>
              <w:bottom w:val="single" w:sz="4" w:space="0" w:color="auto"/>
            </w:tcBorders>
            <w:shd w:val="clear" w:color="auto" w:fill="auto"/>
            <w:noWrap/>
            <w:vAlign w:val="bottom"/>
            <w:hideMark/>
          </w:tcPr>
          <w:p w14:paraId="77E7A835"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34</w:t>
            </w:r>
          </w:p>
        </w:tc>
        <w:tc>
          <w:tcPr>
            <w:tcW w:w="947" w:type="dxa"/>
            <w:tcBorders>
              <w:bottom w:val="single" w:sz="4" w:space="0" w:color="auto"/>
            </w:tcBorders>
            <w:shd w:val="clear" w:color="auto" w:fill="auto"/>
            <w:noWrap/>
            <w:vAlign w:val="bottom"/>
            <w:hideMark/>
          </w:tcPr>
          <w:p w14:paraId="0D2CF4BD" w14:textId="77777777" w:rsidR="001C739E" w:rsidRPr="001C739E" w:rsidRDefault="001C739E" w:rsidP="001C739E">
            <w:pPr>
              <w:jc w:val="center"/>
              <w:rPr>
                <w:rFonts w:eastAsia="Times New Roman" w:cs="Times New Roman"/>
                <w:color w:val="000000"/>
                <w:sz w:val="22"/>
                <w:szCs w:val="22"/>
              </w:rPr>
            </w:pPr>
            <w:r w:rsidRPr="001C739E">
              <w:rPr>
                <w:rFonts w:eastAsia="Times New Roman" w:cs="Times New Roman"/>
                <w:color w:val="000000"/>
                <w:sz w:val="22"/>
                <w:szCs w:val="22"/>
              </w:rPr>
              <w:t>15.00%</w:t>
            </w:r>
          </w:p>
        </w:tc>
      </w:tr>
      <w:tr w:rsidR="001C739E" w:rsidRPr="001C739E" w14:paraId="0298C61D" w14:textId="77777777" w:rsidTr="004605E3">
        <w:trPr>
          <w:trHeight w:val="320"/>
        </w:trPr>
        <w:tc>
          <w:tcPr>
            <w:tcW w:w="9000" w:type="dxa"/>
            <w:gridSpan w:val="5"/>
            <w:tcBorders>
              <w:top w:val="single" w:sz="4" w:space="0" w:color="auto"/>
            </w:tcBorders>
            <w:shd w:val="clear" w:color="auto" w:fill="auto"/>
            <w:noWrap/>
            <w:vAlign w:val="bottom"/>
            <w:hideMark/>
          </w:tcPr>
          <w:p w14:paraId="2646BBA1" w14:textId="77777777" w:rsidR="001C739E" w:rsidRPr="001C739E" w:rsidRDefault="001C739E" w:rsidP="001C739E">
            <w:pPr>
              <w:rPr>
                <w:rFonts w:eastAsia="Times New Roman" w:cs="Times New Roman"/>
                <w:color w:val="000000"/>
                <w:sz w:val="22"/>
                <w:szCs w:val="22"/>
              </w:rPr>
            </w:pPr>
            <w:r w:rsidRPr="001C739E">
              <w:rPr>
                <w:rFonts w:eastAsia="Times New Roman" w:cs="Times New Roman"/>
                <w:i/>
                <w:iCs/>
                <w:color w:val="000000"/>
                <w:sz w:val="22"/>
                <w:szCs w:val="22"/>
              </w:rPr>
              <w:t>Note</w:t>
            </w:r>
            <w:r w:rsidRPr="001C739E">
              <w:rPr>
                <w:rFonts w:eastAsia="Times New Roman" w:cs="Times New Roman"/>
                <w:color w:val="000000"/>
                <w:sz w:val="22"/>
                <w:szCs w:val="22"/>
              </w:rPr>
              <w:t>. Percentages may add to more than 100% for several demographic variables because participants were allowed to select more than one option for several demographic variables.</w:t>
            </w:r>
          </w:p>
        </w:tc>
      </w:tr>
    </w:tbl>
    <w:p w14:paraId="6CA9428E" w14:textId="77777777" w:rsidR="006A76C2" w:rsidRPr="006A76C2" w:rsidRDefault="006A76C2" w:rsidP="006A76C2"/>
    <w:p w14:paraId="52736727" w14:textId="77777777" w:rsidR="002E33E0" w:rsidRDefault="002E33E0" w:rsidP="00B8656D">
      <w:pPr>
        <w:rPr>
          <w:rFonts w:eastAsia="Times New Roman" w:cs="Times New Roman"/>
          <w:b/>
        </w:rPr>
      </w:pPr>
    </w:p>
    <w:p w14:paraId="16DA6C27" w14:textId="77777777" w:rsidR="001C739E" w:rsidRDefault="001C739E">
      <w:pPr>
        <w:rPr>
          <w:rFonts w:eastAsia="Times New Roman" w:cs="Times New Roman"/>
          <w:b/>
          <w:i/>
          <w:sz w:val="22"/>
          <w:szCs w:val="22"/>
        </w:rPr>
      </w:pPr>
      <w:r>
        <w:rPr>
          <w:rFonts w:eastAsia="Times New Roman" w:cs="Times New Roman"/>
          <w:b/>
          <w:i/>
          <w:sz w:val="22"/>
          <w:szCs w:val="22"/>
        </w:rPr>
        <w:br w:type="page"/>
      </w:r>
    </w:p>
    <w:p w14:paraId="19C860FF" w14:textId="5CA090A8" w:rsidR="006609C3" w:rsidRPr="001C739E" w:rsidRDefault="006609C3" w:rsidP="006609C3">
      <w:pPr>
        <w:rPr>
          <w:rFonts w:eastAsia="Times New Roman" w:cs="Times New Roman"/>
          <w:b/>
          <w:i/>
          <w:sz w:val="22"/>
          <w:szCs w:val="22"/>
        </w:rPr>
      </w:pPr>
      <w:r w:rsidRPr="001C739E">
        <w:rPr>
          <w:rFonts w:eastAsia="Times New Roman" w:cs="Times New Roman"/>
          <w:b/>
          <w:i/>
          <w:sz w:val="22"/>
          <w:szCs w:val="22"/>
        </w:rPr>
        <w:lastRenderedPageBreak/>
        <w:t>Table 2. Pre- and Post-Onset Research Team Characteristics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8656D" w:rsidRPr="001C739E" w14:paraId="4788C2C5" w14:textId="77777777" w:rsidTr="003D6A9E">
        <w:tc>
          <w:tcPr>
            <w:tcW w:w="3116" w:type="dxa"/>
            <w:tcBorders>
              <w:top w:val="single" w:sz="4" w:space="0" w:color="auto"/>
              <w:bottom w:val="single" w:sz="4" w:space="0" w:color="auto"/>
            </w:tcBorders>
          </w:tcPr>
          <w:p w14:paraId="2D8830E8" w14:textId="77777777" w:rsidR="00B8656D" w:rsidRPr="001C739E" w:rsidRDefault="00B8656D" w:rsidP="003D6A9E">
            <w:pPr>
              <w:rPr>
                <w:rFonts w:eastAsia="Times New Roman" w:cs="Times New Roman"/>
                <w:b/>
                <w:sz w:val="22"/>
                <w:szCs w:val="22"/>
              </w:rPr>
            </w:pPr>
            <w:r w:rsidRPr="001C739E">
              <w:rPr>
                <w:rFonts w:eastAsia="Times New Roman" w:cs="Times New Roman"/>
                <w:b/>
                <w:sz w:val="22"/>
                <w:szCs w:val="22"/>
              </w:rPr>
              <w:t>Role</w:t>
            </w:r>
          </w:p>
        </w:tc>
        <w:tc>
          <w:tcPr>
            <w:tcW w:w="3117" w:type="dxa"/>
            <w:tcBorders>
              <w:top w:val="single" w:sz="4" w:space="0" w:color="auto"/>
              <w:bottom w:val="single" w:sz="4" w:space="0" w:color="auto"/>
            </w:tcBorders>
          </w:tcPr>
          <w:p w14:paraId="5CC90008" w14:textId="77777777" w:rsidR="00B8656D" w:rsidRPr="001C739E" w:rsidRDefault="00B8656D" w:rsidP="003D6A9E">
            <w:pPr>
              <w:rPr>
                <w:rFonts w:eastAsia="Times New Roman" w:cs="Times New Roman"/>
                <w:b/>
                <w:sz w:val="22"/>
                <w:szCs w:val="22"/>
              </w:rPr>
            </w:pPr>
            <w:r w:rsidRPr="001C739E">
              <w:rPr>
                <w:rFonts w:eastAsia="Times New Roman" w:cs="Times New Roman"/>
                <w:b/>
                <w:sz w:val="22"/>
                <w:szCs w:val="22"/>
              </w:rPr>
              <w:t>Salient Identities</w:t>
            </w:r>
          </w:p>
        </w:tc>
        <w:tc>
          <w:tcPr>
            <w:tcW w:w="3117" w:type="dxa"/>
            <w:tcBorders>
              <w:top w:val="single" w:sz="4" w:space="0" w:color="auto"/>
              <w:bottom w:val="single" w:sz="4" w:space="0" w:color="auto"/>
            </w:tcBorders>
          </w:tcPr>
          <w:p w14:paraId="26132540" w14:textId="77777777" w:rsidR="00B8656D" w:rsidRPr="001C739E" w:rsidRDefault="00B8656D" w:rsidP="003D6A9E">
            <w:pPr>
              <w:rPr>
                <w:rFonts w:eastAsia="Times New Roman" w:cs="Times New Roman"/>
                <w:b/>
                <w:sz w:val="22"/>
                <w:szCs w:val="22"/>
              </w:rPr>
            </w:pPr>
            <w:r w:rsidRPr="001C739E">
              <w:rPr>
                <w:rFonts w:eastAsia="Times New Roman" w:cs="Times New Roman"/>
                <w:b/>
                <w:sz w:val="22"/>
                <w:szCs w:val="22"/>
              </w:rPr>
              <w:t>Team</w:t>
            </w:r>
          </w:p>
        </w:tc>
      </w:tr>
      <w:tr w:rsidR="00B8656D" w:rsidRPr="001C739E" w14:paraId="3DCC7C3C" w14:textId="77777777" w:rsidTr="003D6A9E">
        <w:tc>
          <w:tcPr>
            <w:tcW w:w="3116" w:type="dxa"/>
            <w:tcBorders>
              <w:top w:val="single" w:sz="4" w:space="0" w:color="auto"/>
            </w:tcBorders>
          </w:tcPr>
          <w:p w14:paraId="64A4D415" w14:textId="77777777" w:rsidR="00B8656D" w:rsidRPr="001C739E" w:rsidRDefault="00B8656D" w:rsidP="003D6A9E">
            <w:pPr>
              <w:spacing w:after="240"/>
              <w:rPr>
                <w:rFonts w:eastAsia="Times New Roman" w:cs="Times New Roman"/>
                <w:bCs/>
                <w:sz w:val="22"/>
                <w:szCs w:val="22"/>
              </w:rPr>
            </w:pPr>
            <w:r w:rsidRPr="001C739E">
              <w:rPr>
                <w:rFonts w:eastAsia="Times New Roman" w:cs="Times New Roman"/>
                <w:bCs/>
                <w:sz w:val="22"/>
                <w:szCs w:val="22"/>
              </w:rPr>
              <w:t>Primary Investigator</w:t>
            </w:r>
          </w:p>
        </w:tc>
        <w:tc>
          <w:tcPr>
            <w:tcW w:w="3117" w:type="dxa"/>
            <w:tcBorders>
              <w:top w:val="single" w:sz="4" w:space="0" w:color="auto"/>
            </w:tcBorders>
          </w:tcPr>
          <w:p w14:paraId="226925A3" w14:textId="77777777" w:rsidR="00B8656D" w:rsidRPr="001C739E" w:rsidRDefault="00B8656D" w:rsidP="003D6A9E">
            <w:pPr>
              <w:spacing w:after="240"/>
              <w:rPr>
                <w:rFonts w:eastAsia="Times New Roman" w:cs="Times New Roman"/>
                <w:bCs/>
                <w:sz w:val="22"/>
                <w:szCs w:val="22"/>
              </w:rPr>
            </w:pPr>
            <w:r w:rsidRPr="001C739E">
              <w:rPr>
                <w:rFonts w:eastAsia="Times New Roman" w:cs="Times New Roman"/>
                <w:bCs/>
                <w:sz w:val="22"/>
                <w:szCs w:val="22"/>
              </w:rPr>
              <w:t>white, lesbian transgender woman, doctoral student in counseling psychology</w:t>
            </w:r>
          </w:p>
        </w:tc>
        <w:tc>
          <w:tcPr>
            <w:tcW w:w="3117" w:type="dxa"/>
            <w:tcBorders>
              <w:top w:val="single" w:sz="4" w:space="0" w:color="auto"/>
            </w:tcBorders>
          </w:tcPr>
          <w:p w14:paraId="36D5A94B" w14:textId="77777777" w:rsidR="00B8656D" w:rsidRPr="001C739E" w:rsidRDefault="00B8656D" w:rsidP="003D6A9E">
            <w:pPr>
              <w:spacing w:after="240"/>
              <w:rPr>
                <w:rFonts w:eastAsia="Times New Roman" w:cs="Times New Roman"/>
                <w:bCs/>
                <w:sz w:val="22"/>
                <w:szCs w:val="22"/>
              </w:rPr>
            </w:pPr>
            <w:r w:rsidRPr="001C739E">
              <w:rPr>
                <w:rFonts w:eastAsia="Times New Roman" w:cs="Times New Roman"/>
                <w:bCs/>
                <w:sz w:val="22"/>
                <w:szCs w:val="22"/>
              </w:rPr>
              <w:t>pre- and post-onset</w:t>
            </w:r>
          </w:p>
        </w:tc>
      </w:tr>
      <w:tr w:rsidR="00B8656D" w:rsidRPr="001C739E" w14:paraId="05342567" w14:textId="77777777" w:rsidTr="003D6A9E">
        <w:tc>
          <w:tcPr>
            <w:tcW w:w="3116" w:type="dxa"/>
          </w:tcPr>
          <w:p w14:paraId="68C6E967" w14:textId="77777777" w:rsidR="00B8656D" w:rsidRPr="001C739E" w:rsidRDefault="00B8656D" w:rsidP="003D6A9E">
            <w:pPr>
              <w:spacing w:after="240"/>
              <w:rPr>
                <w:rFonts w:eastAsia="Times New Roman" w:cs="Times New Roman"/>
                <w:bCs/>
                <w:sz w:val="22"/>
                <w:szCs w:val="22"/>
              </w:rPr>
            </w:pPr>
            <w:r w:rsidRPr="001C739E">
              <w:rPr>
                <w:rFonts w:eastAsia="Times New Roman" w:cs="Times New Roman"/>
                <w:bCs/>
                <w:sz w:val="22"/>
                <w:szCs w:val="22"/>
              </w:rPr>
              <w:t>Co-Primary Investigator</w:t>
            </w:r>
          </w:p>
        </w:tc>
        <w:tc>
          <w:tcPr>
            <w:tcW w:w="3117" w:type="dxa"/>
          </w:tcPr>
          <w:p w14:paraId="31F50BEE" w14:textId="77777777" w:rsidR="00B8656D" w:rsidRPr="001C739E" w:rsidRDefault="00B8656D" w:rsidP="003D6A9E">
            <w:pPr>
              <w:spacing w:after="240"/>
              <w:rPr>
                <w:rFonts w:eastAsia="Times New Roman" w:cs="Times New Roman"/>
                <w:bCs/>
                <w:sz w:val="22"/>
                <w:szCs w:val="22"/>
              </w:rPr>
            </w:pPr>
            <w:r w:rsidRPr="001C739E">
              <w:rPr>
                <w:rFonts w:eastAsia="Times New Roman" w:cs="Times New Roman"/>
                <w:bCs/>
                <w:sz w:val="22"/>
                <w:szCs w:val="22"/>
              </w:rPr>
              <w:t>white, gay cisgender man, assistant professor in counseling psychology</w:t>
            </w:r>
          </w:p>
        </w:tc>
        <w:tc>
          <w:tcPr>
            <w:tcW w:w="3117" w:type="dxa"/>
          </w:tcPr>
          <w:p w14:paraId="20D77870" w14:textId="77777777" w:rsidR="00B8656D" w:rsidRPr="001C739E" w:rsidRDefault="00B8656D" w:rsidP="003D6A9E">
            <w:pPr>
              <w:spacing w:after="240"/>
              <w:rPr>
                <w:rFonts w:eastAsia="Times New Roman" w:cs="Times New Roman"/>
                <w:bCs/>
                <w:sz w:val="22"/>
                <w:szCs w:val="22"/>
              </w:rPr>
            </w:pPr>
            <w:r w:rsidRPr="001C739E">
              <w:rPr>
                <w:rFonts w:eastAsia="Times New Roman" w:cs="Times New Roman"/>
                <w:bCs/>
                <w:sz w:val="22"/>
                <w:szCs w:val="22"/>
              </w:rPr>
              <w:t>pre- and post-onset</w:t>
            </w:r>
          </w:p>
        </w:tc>
      </w:tr>
      <w:tr w:rsidR="00B8656D" w:rsidRPr="001C739E" w14:paraId="52B729DB" w14:textId="77777777" w:rsidTr="003D6A9E">
        <w:tc>
          <w:tcPr>
            <w:tcW w:w="3116" w:type="dxa"/>
          </w:tcPr>
          <w:p w14:paraId="3C8B832F" w14:textId="77777777" w:rsidR="00B8656D" w:rsidRPr="001C739E" w:rsidRDefault="00B8656D" w:rsidP="003D6A9E">
            <w:pPr>
              <w:spacing w:after="240"/>
              <w:rPr>
                <w:rFonts w:eastAsia="Times New Roman" w:cs="Times New Roman"/>
                <w:bCs/>
                <w:sz w:val="22"/>
                <w:szCs w:val="22"/>
              </w:rPr>
            </w:pPr>
            <w:r w:rsidRPr="001C739E">
              <w:rPr>
                <w:rFonts w:eastAsia="Times New Roman" w:cs="Times New Roman"/>
                <w:bCs/>
                <w:sz w:val="22"/>
                <w:szCs w:val="22"/>
              </w:rPr>
              <w:t xml:space="preserve">Coder </w:t>
            </w:r>
          </w:p>
        </w:tc>
        <w:tc>
          <w:tcPr>
            <w:tcW w:w="3117" w:type="dxa"/>
          </w:tcPr>
          <w:p w14:paraId="4F3486B4" w14:textId="77777777" w:rsidR="00B8656D" w:rsidRPr="001C739E" w:rsidRDefault="00B8656D" w:rsidP="003D6A9E">
            <w:pPr>
              <w:spacing w:after="240"/>
              <w:rPr>
                <w:rFonts w:eastAsia="Times New Roman" w:cs="Times New Roman"/>
                <w:bCs/>
                <w:sz w:val="22"/>
                <w:szCs w:val="22"/>
              </w:rPr>
            </w:pPr>
            <w:r w:rsidRPr="001C739E">
              <w:rPr>
                <w:rFonts w:eastAsia="Times New Roman" w:cs="Times New Roman"/>
                <w:bCs/>
                <w:sz w:val="22"/>
                <w:szCs w:val="22"/>
              </w:rPr>
              <w:t>South Asian, queer nonbinary doctoral student in counseling psychology</w:t>
            </w:r>
          </w:p>
        </w:tc>
        <w:tc>
          <w:tcPr>
            <w:tcW w:w="3117" w:type="dxa"/>
          </w:tcPr>
          <w:p w14:paraId="2D207F0F" w14:textId="77777777" w:rsidR="00B8656D" w:rsidRPr="001C739E" w:rsidRDefault="00B8656D" w:rsidP="003D6A9E">
            <w:pPr>
              <w:spacing w:after="240"/>
              <w:rPr>
                <w:rFonts w:eastAsia="Times New Roman" w:cs="Times New Roman"/>
                <w:bCs/>
                <w:sz w:val="22"/>
                <w:szCs w:val="22"/>
              </w:rPr>
            </w:pPr>
            <w:r w:rsidRPr="001C739E">
              <w:rPr>
                <w:rFonts w:eastAsia="Times New Roman" w:cs="Times New Roman"/>
                <w:bCs/>
                <w:sz w:val="22"/>
                <w:szCs w:val="22"/>
              </w:rPr>
              <w:t>pre-onset</w:t>
            </w:r>
          </w:p>
        </w:tc>
      </w:tr>
      <w:tr w:rsidR="00B8656D" w:rsidRPr="001C739E" w14:paraId="20DF5857" w14:textId="77777777" w:rsidTr="003D6A9E">
        <w:tc>
          <w:tcPr>
            <w:tcW w:w="3116" w:type="dxa"/>
          </w:tcPr>
          <w:p w14:paraId="57CD945E" w14:textId="77777777" w:rsidR="00B8656D" w:rsidRPr="001C739E" w:rsidRDefault="00B8656D" w:rsidP="003D6A9E">
            <w:pPr>
              <w:spacing w:after="240"/>
              <w:rPr>
                <w:rFonts w:eastAsia="Times New Roman" w:cs="Times New Roman"/>
                <w:bCs/>
                <w:sz w:val="22"/>
                <w:szCs w:val="22"/>
              </w:rPr>
            </w:pPr>
            <w:r w:rsidRPr="001C739E">
              <w:rPr>
                <w:rFonts w:eastAsia="Times New Roman" w:cs="Times New Roman"/>
                <w:bCs/>
                <w:sz w:val="22"/>
                <w:szCs w:val="22"/>
              </w:rPr>
              <w:t>Coder</w:t>
            </w:r>
          </w:p>
        </w:tc>
        <w:tc>
          <w:tcPr>
            <w:tcW w:w="3117" w:type="dxa"/>
          </w:tcPr>
          <w:p w14:paraId="04C1C3E0" w14:textId="77777777" w:rsidR="00B8656D" w:rsidRPr="001C739E" w:rsidRDefault="00B8656D" w:rsidP="003D6A9E">
            <w:pPr>
              <w:spacing w:after="240"/>
              <w:rPr>
                <w:rFonts w:eastAsia="Times New Roman" w:cs="Times New Roman"/>
                <w:bCs/>
                <w:sz w:val="22"/>
                <w:szCs w:val="22"/>
                <w:lang w:val="de-DE"/>
              </w:rPr>
            </w:pPr>
            <w:proofErr w:type="spellStart"/>
            <w:r w:rsidRPr="001C739E">
              <w:rPr>
                <w:rFonts w:eastAsia="Times New Roman" w:cs="Times New Roman"/>
                <w:bCs/>
                <w:sz w:val="22"/>
                <w:szCs w:val="22"/>
                <w:lang w:val="de-DE"/>
              </w:rPr>
              <w:t>white</w:t>
            </w:r>
            <w:proofErr w:type="spellEnd"/>
            <w:r w:rsidRPr="001C739E">
              <w:rPr>
                <w:rFonts w:eastAsia="Times New Roman" w:cs="Times New Roman"/>
                <w:bCs/>
                <w:sz w:val="22"/>
                <w:szCs w:val="22"/>
                <w:lang w:val="de-DE"/>
              </w:rPr>
              <w:t xml:space="preserve">, queer transgender man, </w:t>
            </w:r>
            <w:proofErr w:type="spellStart"/>
            <w:r w:rsidRPr="001C739E">
              <w:rPr>
                <w:rFonts w:eastAsia="Times New Roman" w:cs="Times New Roman"/>
                <w:bCs/>
                <w:sz w:val="22"/>
                <w:szCs w:val="22"/>
                <w:lang w:val="de-DE"/>
              </w:rPr>
              <w:t>undergraduate</w:t>
            </w:r>
            <w:proofErr w:type="spellEnd"/>
            <w:r w:rsidRPr="001C739E">
              <w:rPr>
                <w:rFonts w:eastAsia="Times New Roman" w:cs="Times New Roman"/>
                <w:bCs/>
                <w:sz w:val="22"/>
                <w:szCs w:val="22"/>
                <w:lang w:val="de-DE"/>
              </w:rPr>
              <w:t xml:space="preserve"> </w:t>
            </w:r>
            <w:proofErr w:type="spellStart"/>
            <w:r w:rsidRPr="001C739E">
              <w:rPr>
                <w:rFonts w:eastAsia="Times New Roman" w:cs="Times New Roman"/>
                <w:bCs/>
                <w:sz w:val="22"/>
                <w:szCs w:val="22"/>
                <w:lang w:val="de-DE"/>
              </w:rPr>
              <w:t>psychology</w:t>
            </w:r>
            <w:proofErr w:type="spellEnd"/>
            <w:r w:rsidRPr="001C739E">
              <w:rPr>
                <w:rFonts w:eastAsia="Times New Roman" w:cs="Times New Roman"/>
                <w:bCs/>
                <w:sz w:val="22"/>
                <w:szCs w:val="22"/>
                <w:lang w:val="de-DE"/>
              </w:rPr>
              <w:t xml:space="preserve"> </w:t>
            </w:r>
            <w:proofErr w:type="spellStart"/>
            <w:r w:rsidRPr="001C739E">
              <w:rPr>
                <w:rFonts w:eastAsia="Times New Roman" w:cs="Times New Roman"/>
                <w:bCs/>
                <w:sz w:val="22"/>
                <w:szCs w:val="22"/>
                <w:lang w:val="de-DE"/>
              </w:rPr>
              <w:t>student</w:t>
            </w:r>
            <w:proofErr w:type="spellEnd"/>
          </w:p>
        </w:tc>
        <w:tc>
          <w:tcPr>
            <w:tcW w:w="3117" w:type="dxa"/>
          </w:tcPr>
          <w:p w14:paraId="1884272B" w14:textId="77777777" w:rsidR="00B8656D" w:rsidRPr="001C739E" w:rsidRDefault="00B8656D" w:rsidP="003D6A9E">
            <w:pPr>
              <w:spacing w:after="240"/>
              <w:rPr>
                <w:rFonts w:eastAsia="Times New Roman" w:cs="Times New Roman"/>
                <w:bCs/>
                <w:sz w:val="22"/>
                <w:szCs w:val="22"/>
                <w:lang w:val="de-DE"/>
              </w:rPr>
            </w:pPr>
            <w:r w:rsidRPr="001C739E">
              <w:rPr>
                <w:rFonts w:eastAsia="Times New Roman" w:cs="Times New Roman"/>
                <w:bCs/>
                <w:sz w:val="22"/>
                <w:szCs w:val="22"/>
              </w:rPr>
              <w:t>pre-onset</w:t>
            </w:r>
          </w:p>
        </w:tc>
      </w:tr>
      <w:tr w:rsidR="00B8656D" w:rsidRPr="001C739E" w14:paraId="109B4CB3" w14:textId="77777777" w:rsidTr="003D6A9E">
        <w:tc>
          <w:tcPr>
            <w:tcW w:w="3116" w:type="dxa"/>
          </w:tcPr>
          <w:p w14:paraId="334CD287" w14:textId="77777777" w:rsidR="00B8656D" w:rsidRPr="001C739E" w:rsidRDefault="00B8656D" w:rsidP="003D6A9E">
            <w:pPr>
              <w:spacing w:after="240"/>
              <w:rPr>
                <w:rFonts w:eastAsia="Times New Roman" w:cs="Times New Roman"/>
                <w:bCs/>
                <w:sz w:val="22"/>
                <w:szCs w:val="22"/>
              </w:rPr>
            </w:pPr>
            <w:r w:rsidRPr="001C739E">
              <w:rPr>
                <w:rFonts w:eastAsia="Times New Roman" w:cs="Times New Roman"/>
                <w:bCs/>
                <w:sz w:val="22"/>
                <w:szCs w:val="22"/>
              </w:rPr>
              <w:t>Coder</w:t>
            </w:r>
          </w:p>
        </w:tc>
        <w:tc>
          <w:tcPr>
            <w:tcW w:w="3117" w:type="dxa"/>
          </w:tcPr>
          <w:p w14:paraId="2535657A" w14:textId="77777777" w:rsidR="00B8656D" w:rsidRPr="001C739E" w:rsidRDefault="00B8656D" w:rsidP="003D6A9E">
            <w:pPr>
              <w:spacing w:after="240"/>
              <w:rPr>
                <w:rFonts w:eastAsia="Times New Roman" w:cs="Times New Roman"/>
                <w:bCs/>
                <w:sz w:val="22"/>
                <w:szCs w:val="22"/>
              </w:rPr>
            </w:pPr>
            <w:r w:rsidRPr="001C739E">
              <w:rPr>
                <w:rFonts w:eastAsia="Times New Roman" w:cs="Times New Roman"/>
                <w:bCs/>
                <w:sz w:val="22"/>
                <w:szCs w:val="22"/>
              </w:rPr>
              <w:t xml:space="preserve">white, lesbian cisgender woman, undergraduate psychology student </w:t>
            </w:r>
          </w:p>
        </w:tc>
        <w:tc>
          <w:tcPr>
            <w:tcW w:w="3117" w:type="dxa"/>
          </w:tcPr>
          <w:p w14:paraId="0C82CA65" w14:textId="77777777" w:rsidR="00B8656D" w:rsidRPr="001C739E" w:rsidRDefault="00B8656D" w:rsidP="003D6A9E">
            <w:pPr>
              <w:spacing w:after="240"/>
              <w:rPr>
                <w:rFonts w:eastAsia="Times New Roman" w:cs="Times New Roman"/>
                <w:bCs/>
                <w:sz w:val="22"/>
                <w:szCs w:val="22"/>
              </w:rPr>
            </w:pPr>
            <w:r w:rsidRPr="001C739E">
              <w:rPr>
                <w:rFonts w:eastAsia="Times New Roman" w:cs="Times New Roman"/>
                <w:bCs/>
                <w:sz w:val="22"/>
                <w:szCs w:val="22"/>
              </w:rPr>
              <w:t>pre-onset</w:t>
            </w:r>
          </w:p>
        </w:tc>
      </w:tr>
      <w:tr w:rsidR="00B8656D" w:rsidRPr="001C739E" w14:paraId="5DACF9E8" w14:textId="77777777" w:rsidTr="003D6A9E">
        <w:tc>
          <w:tcPr>
            <w:tcW w:w="3116" w:type="dxa"/>
          </w:tcPr>
          <w:p w14:paraId="30DA37DC" w14:textId="77777777" w:rsidR="00B8656D" w:rsidRPr="001C739E" w:rsidRDefault="00B8656D" w:rsidP="003D6A9E">
            <w:pPr>
              <w:spacing w:after="240"/>
              <w:rPr>
                <w:rFonts w:eastAsia="Times New Roman" w:cs="Times New Roman"/>
                <w:bCs/>
                <w:sz w:val="22"/>
                <w:szCs w:val="22"/>
              </w:rPr>
            </w:pPr>
            <w:r w:rsidRPr="001C739E">
              <w:rPr>
                <w:rFonts w:eastAsia="Times New Roman" w:cs="Times New Roman"/>
                <w:bCs/>
                <w:sz w:val="22"/>
                <w:szCs w:val="22"/>
              </w:rPr>
              <w:t>Coder</w:t>
            </w:r>
          </w:p>
        </w:tc>
        <w:tc>
          <w:tcPr>
            <w:tcW w:w="3117" w:type="dxa"/>
          </w:tcPr>
          <w:p w14:paraId="3E9DBBAD" w14:textId="77777777" w:rsidR="00B8656D" w:rsidRPr="001C739E" w:rsidRDefault="00B8656D" w:rsidP="003D6A9E">
            <w:pPr>
              <w:spacing w:after="240"/>
              <w:rPr>
                <w:rFonts w:eastAsia="Times New Roman" w:cs="Times New Roman"/>
                <w:bCs/>
                <w:sz w:val="22"/>
                <w:szCs w:val="22"/>
              </w:rPr>
            </w:pPr>
            <w:r w:rsidRPr="001C739E">
              <w:rPr>
                <w:rFonts w:eastAsia="Times New Roman" w:cs="Times New Roman"/>
                <w:bCs/>
                <w:sz w:val="22"/>
                <w:szCs w:val="22"/>
              </w:rPr>
              <w:t>white, queer cisgender woman doctoral student in counseling psychology</w:t>
            </w:r>
          </w:p>
        </w:tc>
        <w:tc>
          <w:tcPr>
            <w:tcW w:w="3117" w:type="dxa"/>
          </w:tcPr>
          <w:p w14:paraId="4435C400" w14:textId="77777777" w:rsidR="00B8656D" w:rsidRPr="001C739E" w:rsidRDefault="00B8656D" w:rsidP="003D6A9E">
            <w:pPr>
              <w:spacing w:after="240"/>
              <w:rPr>
                <w:rFonts w:eastAsia="Times New Roman" w:cs="Times New Roman"/>
                <w:bCs/>
                <w:sz w:val="22"/>
                <w:szCs w:val="22"/>
              </w:rPr>
            </w:pPr>
            <w:r w:rsidRPr="001C739E">
              <w:rPr>
                <w:rFonts w:eastAsia="Times New Roman" w:cs="Times New Roman"/>
                <w:bCs/>
                <w:sz w:val="22"/>
                <w:szCs w:val="22"/>
              </w:rPr>
              <w:t>pre-onset</w:t>
            </w:r>
          </w:p>
        </w:tc>
      </w:tr>
      <w:tr w:rsidR="00B8656D" w:rsidRPr="001C739E" w14:paraId="266E5413" w14:textId="77777777" w:rsidTr="003D6A9E">
        <w:tc>
          <w:tcPr>
            <w:tcW w:w="3116" w:type="dxa"/>
          </w:tcPr>
          <w:p w14:paraId="4FFC252D" w14:textId="77777777" w:rsidR="00B8656D" w:rsidRPr="001C739E" w:rsidRDefault="00B8656D" w:rsidP="003D6A9E">
            <w:pPr>
              <w:spacing w:after="240"/>
              <w:rPr>
                <w:rFonts w:eastAsia="Times New Roman" w:cs="Times New Roman"/>
                <w:bCs/>
                <w:sz w:val="22"/>
                <w:szCs w:val="22"/>
              </w:rPr>
            </w:pPr>
            <w:r w:rsidRPr="001C739E">
              <w:rPr>
                <w:rFonts w:eastAsia="Times New Roman" w:cs="Times New Roman"/>
                <w:bCs/>
                <w:sz w:val="22"/>
                <w:szCs w:val="22"/>
              </w:rPr>
              <w:t>Coder</w:t>
            </w:r>
          </w:p>
        </w:tc>
        <w:tc>
          <w:tcPr>
            <w:tcW w:w="3117" w:type="dxa"/>
          </w:tcPr>
          <w:p w14:paraId="172B1EC5" w14:textId="52FC60E8" w:rsidR="00B8656D" w:rsidRPr="001C739E" w:rsidRDefault="00B8656D" w:rsidP="003D6A9E">
            <w:pPr>
              <w:spacing w:after="240"/>
              <w:rPr>
                <w:rFonts w:eastAsia="Times New Roman" w:cs="Times New Roman"/>
                <w:bCs/>
                <w:sz w:val="22"/>
                <w:szCs w:val="22"/>
              </w:rPr>
            </w:pPr>
            <w:r w:rsidRPr="001C739E">
              <w:rPr>
                <w:rFonts w:eastAsia="Times New Roman" w:cs="Times New Roman"/>
                <w:bCs/>
                <w:sz w:val="22"/>
                <w:szCs w:val="22"/>
              </w:rPr>
              <w:t>Native American and white, lesbian cisgender woman, master</w:t>
            </w:r>
            <w:r w:rsidR="00C364B6" w:rsidRPr="001C739E">
              <w:rPr>
                <w:rFonts w:eastAsia="Times New Roman" w:cs="Times New Roman"/>
                <w:bCs/>
                <w:sz w:val="22"/>
                <w:szCs w:val="22"/>
              </w:rPr>
              <w:t>’</w:t>
            </w:r>
            <w:r w:rsidRPr="001C739E">
              <w:rPr>
                <w:rFonts w:eastAsia="Times New Roman" w:cs="Times New Roman"/>
                <w:bCs/>
                <w:sz w:val="22"/>
                <w:szCs w:val="22"/>
              </w:rPr>
              <w:t>s student in community counseling</w:t>
            </w:r>
          </w:p>
        </w:tc>
        <w:tc>
          <w:tcPr>
            <w:tcW w:w="3117" w:type="dxa"/>
          </w:tcPr>
          <w:p w14:paraId="6C4822DC" w14:textId="77777777" w:rsidR="00B8656D" w:rsidRPr="001C739E" w:rsidRDefault="00B8656D" w:rsidP="003D6A9E">
            <w:pPr>
              <w:spacing w:after="240"/>
              <w:rPr>
                <w:rFonts w:eastAsia="Times New Roman" w:cs="Times New Roman"/>
                <w:bCs/>
                <w:sz w:val="22"/>
                <w:szCs w:val="22"/>
              </w:rPr>
            </w:pPr>
            <w:r w:rsidRPr="001C739E">
              <w:rPr>
                <w:rFonts w:eastAsia="Times New Roman" w:cs="Times New Roman"/>
                <w:bCs/>
                <w:sz w:val="22"/>
                <w:szCs w:val="22"/>
              </w:rPr>
              <w:t>post-onset</w:t>
            </w:r>
          </w:p>
        </w:tc>
      </w:tr>
      <w:tr w:rsidR="00B8656D" w:rsidRPr="001C739E" w14:paraId="67126A9E" w14:textId="77777777" w:rsidTr="003D6A9E">
        <w:tc>
          <w:tcPr>
            <w:tcW w:w="3116" w:type="dxa"/>
          </w:tcPr>
          <w:p w14:paraId="719C2402" w14:textId="77777777" w:rsidR="00B8656D" w:rsidRPr="001C739E" w:rsidRDefault="00B8656D" w:rsidP="003D6A9E">
            <w:pPr>
              <w:spacing w:after="240"/>
              <w:rPr>
                <w:rFonts w:eastAsia="Times New Roman" w:cs="Times New Roman"/>
                <w:bCs/>
                <w:sz w:val="22"/>
                <w:szCs w:val="22"/>
              </w:rPr>
            </w:pPr>
            <w:r w:rsidRPr="001C739E">
              <w:rPr>
                <w:rFonts w:eastAsia="Times New Roman" w:cs="Times New Roman"/>
                <w:bCs/>
                <w:sz w:val="22"/>
                <w:szCs w:val="22"/>
              </w:rPr>
              <w:t>Coder</w:t>
            </w:r>
          </w:p>
        </w:tc>
        <w:tc>
          <w:tcPr>
            <w:tcW w:w="3117" w:type="dxa"/>
          </w:tcPr>
          <w:p w14:paraId="0E1E4908" w14:textId="77777777" w:rsidR="00B8656D" w:rsidRPr="001C739E" w:rsidRDefault="00B8656D" w:rsidP="003D6A9E">
            <w:pPr>
              <w:spacing w:after="240"/>
              <w:rPr>
                <w:rFonts w:eastAsia="Times New Roman" w:cs="Times New Roman"/>
                <w:bCs/>
                <w:sz w:val="22"/>
                <w:szCs w:val="22"/>
              </w:rPr>
            </w:pPr>
            <w:r w:rsidRPr="001C739E">
              <w:rPr>
                <w:rFonts w:eastAsia="Times New Roman" w:cs="Times New Roman"/>
                <w:bCs/>
                <w:sz w:val="22"/>
                <w:szCs w:val="22"/>
              </w:rPr>
              <w:t>white, queer nonbinary doctoral student in counseling psychology</w:t>
            </w:r>
          </w:p>
        </w:tc>
        <w:tc>
          <w:tcPr>
            <w:tcW w:w="3117" w:type="dxa"/>
          </w:tcPr>
          <w:p w14:paraId="3AE46563" w14:textId="77777777" w:rsidR="00B8656D" w:rsidRPr="001C739E" w:rsidRDefault="00B8656D" w:rsidP="003D6A9E">
            <w:pPr>
              <w:spacing w:after="240"/>
              <w:rPr>
                <w:rFonts w:eastAsia="Times New Roman" w:cs="Times New Roman"/>
                <w:bCs/>
                <w:sz w:val="22"/>
                <w:szCs w:val="22"/>
              </w:rPr>
            </w:pPr>
            <w:r w:rsidRPr="001C739E">
              <w:rPr>
                <w:rFonts w:eastAsia="Times New Roman" w:cs="Times New Roman"/>
                <w:bCs/>
                <w:sz w:val="22"/>
                <w:szCs w:val="22"/>
              </w:rPr>
              <w:t>post-onset</w:t>
            </w:r>
          </w:p>
        </w:tc>
      </w:tr>
      <w:tr w:rsidR="00B8656D" w:rsidRPr="001C739E" w14:paraId="60566E37" w14:textId="77777777" w:rsidTr="003D6A9E">
        <w:tc>
          <w:tcPr>
            <w:tcW w:w="3116" w:type="dxa"/>
            <w:tcBorders>
              <w:bottom w:val="single" w:sz="4" w:space="0" w:color="auto"/>
            </w:tcBorders>
          </w:tcPr>
          <w:p w14:paraId="48911F91" w14:textId="77777777" w:rsidR="00B8656D" w:rsidRPr="001C739E" w:rsidRDefault="00B8656D" w:rsidP="003D6A9E">
            <w:pPr>
              <w:spacing w:after="240"/>
              <w:rPr>
                <w:rFonts w:eastAsia="Times New Roman" w:cs="Times New Roman"/>
                <w:bCs/>
                <w:sz w:val="22"/>
                <w:szCs w:val="22"/>
              </w:rPr>
            </w:pPr>
            <w:r w:rsidRPr="001C739E">
              <w:rPr>
                <w:rFonts w:eastAsia="Times New Roman" w:cs="Times New Roman"/>
                <w:bCs/>
                <w:sz w:val="22"/>
                <w:szCs w:val="22"/>
              </w:rPr>
              <w:t>Auditor</w:t>
            </w:r>
          </w:p>
        </w:tc>
        <w:tc>
          <w:tcPr>
            <w:tcW w:w="3117" w:type="dxa"/>
            <w:tcBorders>
              <w:bottom w:val="single" w:sz="4" w:space="0" w:color="auto"/>
            </w:tcBorders>
          </w:tcPr>
          <w:p w14:paraId="0274D44C" w14:textId="77777777" w:rsidR="00B8656D" w:rsidRPr="001C739E" w:rsidRDefault="00B8656D" w:rsidP="003D6A9E">
            <w:pPr>
              <w:spacing w:after="240"/>
              <w:rPr>
                <w:rFonts w:eastAsia="Times New Roman" w:cs="Times New Roman"/>
                <w:bCs/>
                <w:sz w:val="22"/>
                <w:szCs w:val="22"/>
              </w:rPr>
            </w:pPr>
            <w:r w:rsidRPr="001C739E">
              <w:rPr>
                <w:rFonts w:eastAsia="Times New Roman" w:cs="Times New Roman"/>
                <w:bCs/>
                <w:sz w:val="22"/>
                <w:szCs w:val="22"/>
              </w:rPr>
              <w:t>white, gay cisgender man, doctoral student in counseling psychology</w:t>
            </w:r>
          </w:p>
        </w:tc>
        <w:tc>
          <w:tcPr>
            <w:tcW w:w="3117" w:type="dxa"/>
            <w:tcBorders>
              <w:bottom w:val="single" w:sz="4" w:space="0" w:color="auto"/>
            </w:tcBorders>
          </w:tcPr>
          <w:p w14:paraId="57011A2F" w14:textId="77777777" w:rsidR="00B8656D" w:rsidRPr="001C739E" w:rsidRDefault="00B8656D" w:rsidP="003D6A9E">
            <w:pPr>
              <w:spacing w:after="240"/>
              <w:rPr>
                <w:rFonts w:eastAsia="Times New Roman" w:cs="Times New Roman"/>
                <w:bCs/>
                <w:sz w:val="22"/>
                <w:szCs w:val="22"/>
              </w:rPr>
            </w:pPr>
            <w:r w:rsidRPr="001C739E">
              <w:rPr>
                <w:rFonts w:eastAsia="Times New Roman" w:cs="Times New Roman"/>
                <w:bCs/>
                <w:sz w:val="22"/>
                <w:szCs w:val="22"/>
              </w:rPr>
              <w:t>pre- and post-onset</w:t>
            </w:r>
          </w:p>
        </w:tc>
      </w:tr>
    </w:tbl>
    <w:p w14:paraId="6ECF2F76" w14:textId="462AA45D" w:rsidR="001C739E" w:rsidRDefault="001C739E" w:rsidP="00B8656D">
      <w:pPr>
        <w:rPr>
          <w:rFonts w:eastAsia="Times New Roman" w:cs="Times New Roman"/>
          <w:b/>
          <w:sz w:val="22"/>
          <w:szCs w:val="22"/>
        </w:rPr>
      </w:pPr>
    </w:p>
    <w:p w14:paraId="6CF06005" w14:textId="77777777" w:rsidR="001C739E" w:rsidRDefault="001C739E">
      <w:pPr>
        <w:rPr>
          <w:rFonts w:eastAsia="Times New Roman" w:cs="Times New Roman"/>
          <w:b/>
          <w:sz w:val="22"/>
          <w:szCs w:val="22"/>
        </w:rPr>
      </w:pPr>
      <w:r>
        <w:rPr>
          <w:rFonts w:eastAsia="Times New Roman" w:cs="Times New Roman"/>
          <w:b/>
          <w:sz w:val="22"/>
          <w:szCs w:val="22"/>
        </w:rPr>
        <w:br w:type="page"/>
      </w:r>
    </w:p>
    <w:p w14:paraId="12B58362" w14:textId="0C4A3C92" w:rsidR="00B8656D" w:rsidRPr="001C739E" w:rsidRDefault="006609C3" w:rsidP="00B8656D">
      <w:pPr>
        <w:rPr>
          <w:rFonts w:eastAsia="Times New Roman" w:cs="Times New Roman"/>
          <w:b/>
          <w:iCs/>
        </w:rPr>
      </w:pPr>
      <w:r w:rsidRPr="001C739E">
        <w:rPr>
          <w:rFonts w:eastAsia="Times New Roman" w:cs="Times New Roman"/>
          <w:b/>
          <w:iCs/>
        </w:rPr>
        <w:lastRenderedPageBreak/>
        <w:t xml:space="preserve">Table 3. </w:t>
      </w:r>
      <w:r w:rsidR="00B8656D" w:rsidRPr="001C739E">
        <w:rPr>
          <w:rFonts w:eastAsia="Times New Roman" w:cs="Times New Roman"/>
          <w:b/>
          <w:iCs/>
        </w:rPr>
        <w:t>Biases and Expectations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8005"/>
      </w:tblGrid>
      <w:tr w:rsidR="00B8656D" w14:paraId="07D2A5C6" w14:textId="77777777" w:rsidTr="003D6A9E">
        <w:tc>
          <w:tcPr>
            <w:tcW w:w="1345" w:type="dxa"/>
            <w:tcBorders>
              <w:top w:val="single" w:sz="4" w:space="0" w:color="auto"/>
              <w:bottom w:val="single" w:sz="4" w:space="0" w:color="auto"/>
            </w:tcBorders>
          </w:tcPr>
          <w:p w14:paraId="745CDE05" w14:textId="77777777" w:rsidR="00B8656D" w:rsidRPr="00275390" w:rsidRDefault="00B8656D" w:rsidP="003D6A9E">
            <w:pPr>
              <w:rPr>
                <w:rFonts w:eastAsia="Times New Roman" w:cs="Times New Roman"/>
                <w:b/>
              </w:rPr>
            </w:pPr>
            <w:r w:rsidRPr="00275390">
              <w:rPr>
                <w:rFonts w:eastAsia="Times New Roman" w:cs="Times New Roman"/>
                <w:b/>
              </w:rPr>
              <w:t>Team</w:t>
            </w:r>
          </w:p>
        </w:tc>
        <w:tc>
          <w:tcPr>
            <w:tcW w:w="8005" w:type="dxa"/>
            <w:tcBorders>
              <w:top w:val="single" w:sz="4" w:space="0" w:color="auto"/>
              <w:bottom w:val="single" w:sz="4" w:space="0" w:color="auto"/>
            </w:tcBorders>
          </w:tcPr>
          <w:p w14:paraId="29BE626D" w14:textId="77777777" w:rsidR="00B8656D" w:rsidRPr="00275390" w:rsidRDefault="00B8656D" w:rsidP="003D6A9E">
            <w:pPr>
              <w:rPr>
                <w:rFonts w:eastAsia="Times New Roman" w:cs="Times New Roman"/>
                <w:b/>
              </w:rPr>
            </w:pPr>
            <w:r w:rsidRPr="00275390">
              <w:rPr>
                <w:rFonts w:eastAsia="Times New Roman" w:cs="Times New Roman"/>
                <w:b/>
              </w:rPr>
              <w:t>Biases and Expectations</w:t>
            </w:r>
          </w:p>
        </w:tc>
      </w:tr>
      <w:tr w:rsidR="00B8656D" w14:paraId="236A4A3A" w14:textId="77777777" w:rsidTr="003D6A9E">
        <w:tc>
          <w:tcPr>
            <w:tcW w:w="1345" w:type="dxa"/>
            <w:tcBorders>
              <w:top w:val="single" w:sz="4" w:space="0" w:color="auto"/>
            </w:tcBorders>
          </w:tcPr>
          <w:p w14:paraId="372E5CEB" w14:textId="77777777" w:rsidR="00B8656D" w:rsidRDefault="00B8656D" w:rsidP="003D6A9E">
            <w:pPr>
              <w:spacing w:after="240"/>
              <w:rPr>
                <w:rFonts w:eastAsia="Times New Roman" w:cs="Times New Roman"/>
                <w:bCs/>
              </w:rPr>
            </w:pPr>
            <w:r>
              <w:rPr>
                <w:rFonts w:eastAsia="Times New Roman" w:cs="Times New Roman"/>
                <w:bCs/>
              </w:rPr>
              <w:t>Pre-Onset</w:t>
            </w:r>
          </w:p>
        </w:tc>
        <w:tc>
          <w:tcPr>
            <w:tcW w:w="8005" w:type="dxa"/>
            <w:tcBorders>
              <w:top w:val="single" w:sz="4" w:space="0" w:color="auto"/>
            </w:tcBorders>
          </w:tcPr>
          <w:p w14:paraId="08AF81DC" w14:textId="09D19E89" w:rsidR="00B8656D" w:rsidRPr="008B1B47" w:rsidRDefault="00B8656D" w:rsidP="008B1B47">
            <w:pPr>
              <w:spacing w:after="240"/>
              <w:rPr>
                <w:rFonts w:eastAsia="Times New Roman" w:cs="Times New Roman"/>
                <w:bCs/>
              </w:rPr>
            </w:pPr>
            <w:r w:rsidRPr="008B1B47">
              <w:rPr>
                <w:rFonts w:eastAsia="Times New Roman" w:cs="Times New Roman"/>
                <w:bCs/>
              </w:rPr>
              <w:t xml:space="preserve">Noted that the process of coding and organizing words </w:t>
            </w:r>
            <w:r w:rsidR="00A33445" w:rsidRPr="008B1B47">
              <w:rPr>
                <w:rFonts w:eastAsia="Times New Roman" w:cs="Times New Roman"/>
                <w:bCs/>
              </w:rPr>
              <w:t>and</w:t>
            </w:r>
            <w:r w:rsidRPr="008B1B47">
              <w:rPr>
                <w:rFonts w:eastAsia="Times New Roman" w:cs="Times New Roman"/>
                <w:bCs/>
              </w:rPr>
              <w:t xml:space="preserve"> experiences of others is inherently privileged.</w:t>
            </w:r>
          </w:p>
          <w:p w14:paraId="50158A45" w14:textId="77777777" w:rsidR="00B8656D" w:rsidRPr="008B1B47" w:rsidRDefault="00B8656D" w:rsidP="008B1B47">
            <w:pPr>
              <w:spacing w:after="240"/>
              <w:rPr>
                <w:rFonts w:eastAsia="Times New Roman" w:cs="Times New Roman"/>
                <w:bCs/>
              </w:rPr>
            </w:pPr>
            <w:r w:rsidRPr="008B1B47">
              <w:rPr>
                <w:rFonts w:eastAsia="Times New Roman" w:cs="Times New Roman"/>
                <w:bCs/>
              </w:rPr>
              <w:t>Identified that all team members are students and educators.</w:t>
            </w:r>
          </w:p>
          <w:p w14:paraId="65665F7E" w14:textId="77777777" w:rsidR="00B8656D" w:rsidRPr="008B1B47" w:rsidRDefault="00B8656D" w:rsidP="008B1B47">
            <w:pPr>
              <w:spacing w:after="240"/>
              <w:rPr>
                <w:rFonts w:eastAsia="Times New Roman" w:cs="Times New Roman"/>
                <w:bCs/>
              </w:rPr>
            </w:pPr>
            <w:r w:rsidRPr="008B1B47">
              <w:rPr>
                <w:rFonts w:eastAsia="Times New Roman" w:cs="Times New Roman"/>
                <w:bCs/>
              </w:rPr>
              <w:t>Acknowledged that research has colonial origins and committed to try to decolonize the process to the furthest extent possible.</w:t>
            </w:r>
          </w:p>
        </w:tc>
      </w:tr>
      <w:tr w:rsidR="00B8656D" w14:paraId="6E53BAFF" w14:textId="77777777" w:rsidTr="003D6A9E">
        <w:tc>
          <w:tcPr>
            <w:tcW w:w="1345" w:type="dxa"/>
            <w:tcBorders>
              <w:bottom w:val="single" w:sz="4" w:space="0" w:color="auto"/>
            </w:tcBorders>
          </w:tcPr>
          <w:p w14:paraId="3FAE6AA9" w14:textId="77777777" w:rsidR="00B8656D" w:rsidRDefault="00B8656D" w:rsidP="003D6A9E">
            <w:pPr>
              <w:spacing w:after="240"/>
              <w:rPr>
                <w:rFonts w:eastAsia="Times New Roman" w:cs="Times New Roman"/>
                <w:bCs/>
              </w:rPr>
            </w:pPr>
            <w:r>
              <w:rPr>
                <w:rFonts w:eastAsia="Times New Roman" w:cs="Times New Roman"/>
                <w:bCs/>
              </w:rPr>
              <w:t>Post-Onset</w:t>
            </w:r>
          </w:p>
        </w:tc>
        <w:tc>
          <w:tcPr>
            <w:tcW w:w="8005" w:type="dxa"/>
            <w:tcBorders>
              <w:bottom w:val="single" w:sz="4" w:space="0" w:color="auto"/>
            </w:tcBorders>
          </w:tcPr>
          <w:p w14:paraId="213EBC33" w14:textId="77777777" w:rsidR="00B8656D" w:rsidRPr="008B1B47" w:rsidRDefault="00B8656D" w:rsidP="008B1B47">
            <w:pPr>
              <w:spacing w:after="240"/>
              <w:rPr>
                <w:rFonts w:eastAsia="Times New Roman" w:cs="Times New Roman"/>
                <w:bCs/>
              </w:rPr>
            </w:pPr>
            <w:r w:rsidRPr="008B1B47">
              <w:rPr>
                <w:rFonts w:eastAsia="Times New Roman" w:cs="Times New Roman"/>
                <w:bCs/>
              </w:rPr>
              <w:t>Noted that experiences as LGBTQ+ people and privileged status as middle-class people associated with graduate programs might shape perspectives.</w:t>
            </w:r>
          </w:p>
          <w:p w14:paraId="7EC6AC18" w14:textId="77777777" w:rsidR="00B8656D" w:rsidRPr="008B1B47" w:rsidRDefault="00B8656D" w:rsidP="008B1B47">
            <w:pPr>
              <w:spacing w:after="240"/>
              <w:rPr>
                <w:rFonts w:eastAsia="Times New Roman" w:cs="Times New Roman"/>
                <w:bCs/>
              </w:rPr>
            </w:pPr>
            <w:r w:rsidRPr="008B1B47">
              <w:rPr>
                <w:rFonts w:eastAsia="Times New Roman" w:cs="Times New Roman"/>
                <w:bCs/>
              </w:rPr>
              <w:t>Identified that cisgender members of team lack shared experience with participants around gender dysphoria and lack of access to transition-related care.</w:t>
            </w:r>
          </w:p>
          <w:p w14:paraId="26C4FE12" w14:textId="77777777" w:rsidR="00B8656D" w:rsidRPr="008B1B47" w:rsidRDefault="00B8656D" w:rsidP="008B1B47">
            <w:pPr>
              <w:spacing w:after="240"/>
              <w:rPr>
                <w:rFonts w:eastAsia="Times New Roman" w:cs="Times New Roman"/>
                <w:bCs/>
              </w:rPr>
            </w:pPr>
            <w:r w:rsidRPr="008B1B47">
              <w:rPr>
                <w:rFonts w:eastAsia="Times New Roman" w:cs="Times New Roman"/>
                <w:bCs/>
              </w:rPr>
              <w:t>Acknowledge a shared expectation that participants would report distressing experiences with health care professionals and additional gender dysphoria due to COVID-19 pandemic impact.</w:t>
            </w:r>
          </w:p>
        </w:tc>
      </w:tr>
    </w:tbl>
    <w:p w14:paraId="635FD22E" w14:textId="77777777" w:rsidR="00B8656D" w:rsidRDefault="00B8656D" w:rsidP="00BB69AF">
      <w:pPr>
        <w:spacing w:line="480" w:lineRule="auto"/>
      </w:pPr>
    </w:p>
    <w:p w14:paraId="3A6902C9" w14:textId="77777777" w:rsidR="00B8656D" w:rsidRDefault="00B8656D" w:rsidP="00BB69AF">
      <w:pPr>
        <w:spacing w:line="480" w:lineRule="auto"/>
        <w:rPr>
          <w:b/>
          <w:bCs/>
        </w:rPr>
      </w:pPr>
    </w:p>
    <w:p w14:paraId="3BDCAFB7" w14:textId="77777777" w:rsidR="00B8656D" w:rsidRDefault="00B8656D" w:rsidP="00BB69AF">
      <w:pPr>
        <w:spacing w:line="480" w:lineRule="auto"/>
        <w:rPr>
          <w:b/>
          <w:bCs/>
        </w:rPr>
      </w:pPr>
    </w:p>
    <w:p w14:paraId="703DFFFA" w14:textId="77777777" w:rsidR="00B8656D" w:rsidRDefault="00B8656D" w:rsidP="00BB69AF">
      <w:pPr>
        <w:spacing w:line="480" w:lineRule="auto"/>
        <w:rPr>
          <w:b/>
          <w:bCs/>
        </w:rPr>
      </w:pPr>
    </w:p>
    <w:p w14:paraId="204AF1F2" w14:textId="77777777" w:rsidR="00B8656D" w:rsidRDefault="00B8656D" w:rsidP="00BB69AF">
      <w:pPr>
        <w:spacing w:line="480" w:lineRule="auto"/>
        <w:rPr>
          <w:b/>
          <w:bCs/>
        </w:rPr>
      </w:pPr>
    </w:p>
    <w:p w14:paraId="43196B09" w14:textId="77777777" w:rsidR="00B8656D" w:rsidRDefault="00B8656D" w:rsidP="00BB69AF">
      <w:pPr>
        <w:spacing w:line="480" w:lineRule="auto"/>
        <w:rPr>
          <w:b/>
          <w:bCs/>
        </w:rPr>
      </w:pPr>
    </w:p>
    <w:p w14:paraId="54ADF799" w14:textId="77777777" w:rsidR="00B8656D" w:rsidRDefault="00B8656D" w:rsidP="00BB69AF">
      <w:pPr>
        <w:spacing w:line="480" w:lineRule="auto"/>
        <w:rPr>
          <w:b/>
          <w:bCs/>
        </w:rPr>
      </w:pPr>
    </w:p>
    <w:p w14:paraId="7E895905" w14:textId="77777777" w:rsidR="00B8656D" w:rsidRDefault="00B8656D" w:rsidP="00BB69AF">
      <w:pPr>
        <w:spacing w:line="480" w:lineRule="auto"/>
        <w:rPr>
          <w:b/>
          <w:bCs/>
        </w:rPr>
      </w:pPr>
    </w:p>
    <w:p w14:paraId="20323CE9" w14:textId="77777777" w:rsidR="00B8656D" w:rsidRDefault="00B8656D" w:rsidP="00BB69AF">
      <w:pPr>
        <w:spacing w:line="480" w:lineRule="auto"/>
        <w:rPr>
          <w:b/>
          <w:bCs/>
        </w:rPr>
      </w:pPr>
    </w:p>
    <w:p w14:paraId="32F5C63D" w14:textId="77777777" w:rsidR="00B8656D" w:rsidRDefault="00B8656D" w:rsidP="00BB69AF">
      <w:pPr>
        <w:spacing w:line="480" w:lineRule="auto"/>
        <w:rPr>
          <w:b/>
          <w:bCs/>
        </w:rPr>
      </w:pPr>
    </w:p>
    <w:p w14:paraId="653255B0" w14:textId="77777777" w:rsidR="00B8656D" w:rsidRDefault="00B8656D" w:rsidP="00BB69AF">
      <w:pPr>
        <w:spacing w:line="480" w:lineRule="auto"/>
        <w:rPr>
          <w:b/>
          <w:bCs/>
        </w:rPr>
      </w:pPr>
    </w:p>
    <w:p w14:paraId="56E06B07" w14:textId="77777777" w:rsidR="00B8656D" w:rsidRDefault="00B8656D" w:rsidP="00BB69AF">
      <w:pPr>
        <w:spacing w:line="480" w:lineRule="auto"/>
        <w:rPr>
          <w:b/>
          <w:bCs/>
        </w:rPr>
      </w:pPr>
    </w:p>
    <w:p w14:paraId="3B5C3CCE" w14:textId="77777777" w:rsidR="00B8656D" w:rsidRDefault="00B8656D" w:rsidP="00BB69AF">
      <w:pPr>
        <w:spacing w:line="480" w:lineRule="auto"/>
        <w:rPr>
          <w:b/>
          <w:bCs/>
        </w:rPr>
      </w:pPr>
    </w:p>
    <w:p w14:paraId="1A5E7E4F" w14:textId="77777777" w:rsidR="00A76D4E" w:rsidRDefault="00A76D4E" w:rsidP="00B8656D">
      <w:pPr>
        <w:ind w:left="720" w:hanging="720"/>
        <w:rPr>
          <w:rFonts w:eastAsia="Times New Roman" w:cs="Times New Roman"/>
          <w:b/>
        </w:rPr>
      </w:pPr>
      <w:bookmarkStart w:id="5" w:name="_Hlk120870413"/>
    </w:p>
    <w:p w14:paraId="0FC5F563" w14:textId="77777777" w:rsidR="006609C3" w:rsidRDefault="006609C3" w:rsidP="00B8656D">
      <w:pPr>
        <w:rPr>
          <w:rFonts w:eastAsia="Times New Roman" w:cs="Times New Roman"/>
          <w:b/>
        </w:rPr>
      </w:pPr>
    </w:p>
    <w:p w14:paraId="4AE40D36" w14:textId="3590D19B" w:rsidR="00B8656D" w:rsidRPr="007242FD" w:rsidRDefault="006609C3" w:rsidP="00B8656D">
      <w:pPr>
        <w:rPr>
          <w:rFonts w:eastAsia="Times New Roman" w:cs="Times New Roman"/>
          <w:i/>
        </w:rPr>
      </w:pPr>
      <w:r>
        <w:rPr>
          <w:rFonts w:eastAsia="Times New Roman" w:cs="Times New Roman"/>
        </w:rPr>
        <w:t xml:space="preserve">Table 4. </w:t>
      </w:r>
      <w:r w:rsidR="00B8656D" w:rsidRPr="007242FD">
        <w:rPr>
          <w:rFonts w:eastAsia="Times New Roman" w:cs="Times New Roman"/>
          <w:i/>
        </w:rPr>
        <w:t>Domains, Subdomains, Definitions and Representative Quotes</w:t>
      </w:r>
    </w:p>
    <w:tbl>
      <w:tblPr>
        <w:tblW w:w="4952" w:type="pct"/>
        <w:tblLook w:val="0600" w:firstRow="0" w:lastRow="0" w:firstColumn="0" w:lastColumn="0" w:noHBand="1" w:noVBand="1"/>
      </w:tblPr>
      <w:tblGrid>
        <w:gridCol w:w="1529"/>
        <w:gridCol w:w="4681"/>
        <w:gridCol w:w="1530"/>
        <w:gridCol w:w="1530"/>
      </w:tblGrid>
      <w:tr w:rsidR="00C3597E" w:rsidRPr="001C739E" w14:paraId="4F1CB2A7" w14:textId="77777777" w:rsidTr="001C739E">
        <w:trPr>
          <w:trHeight w:val="675"/>
        </w:trPr>
        <w:tc>
          <w:tcPr>
            <w:tcW w:w="825" w:type="pct"/>
            <w:tcBorders>
              <w:top w:val="single" w:sz="4" w:space="0" w:color="auto"/>
              <w:bottom w:val="single" w:sz="4" w:space="0" w:color="auto"/>
            </w:tcBorders>
            <w:tcMar>
              <w:top w:w="0" w:type="dxa"/>
              <w:left w:w="40" w:type="dxa"/>
              <w:bottom w:w="0" w:type="dxa"/>
              <w:right w:w="40" w:type="dxa"/>
            </w:tcMar>
            <w:vAlign w:val="center"/>
          </w:tcPr>
          <w:p w14:paraId="3F11F7F6" w14:textId="77777777" w:rsidR="00C3597E" w:rsidRPr="001C739E" w:rsidRDefault="00C3597E" w:rsidP="003D6A9E">
            <w:pPr>
              <w:widowControl w:val="0"/>
              <w:rPr>
                <w:rFonts w:cs="Times New Roman"/>
                <w:b/>
                <w:bCs/>
                <w:sz w:val="22"/>
                <w:szCs w:val="22"/>
              </w:rPr>
            </w:pPr>
            <w:r w:rsidRPr="001C739E">
              <w:rPr>
                <w:rFonts w:cs="Times New Roman"/>
                <w:b/>
                <w:bCs/>
                <w:sz w:val="22"/>
                <w:szCs w:val="22"/>
              </w:rPr>
              <w:t>Domain</w:t>
            </w:r>
          </w:p>
        </w:tc>
        <w:tc>
          <w:tcPr>
            <w:tcW w:w="2525" w:type="pct"/>
            <w:tcBorders>
              <w:top w:val="single" w:sz="4" w:space="0" w:color="auto"/>
              <w:bottom w:val="single" w:sz="4" w:space="0" w:color="auto"/>
            </w:tcBorders>
            <w:tcMar>
              <w:top w:w="0" w:type="dxa"/>
              <w:left w:w="40" w:type="dxa"/>
              <w:bottom w:w="0" w:type="dxa"/>
              <w:right w:w="40" w:type="dxa"/>
            </w:tcMar>
            <w:vAlign w:val="center"/>
          </w:tcPr>
          <w:p w14:paraId="2F626B17" w14:textId="77777777" w:rsidR="00C3597E" w:rsidRPr="001C739E" w:rsidRDefault="00C3597E" w:rsidP="003D6A9E">
            <w:pPr>
              <w:widowControl w:val="0"/>
              <w:rPr>
                <w:rFonts w:cs="Times New Roman"/>
                <w:b/>
                <w:bCs/>
                <w:sz w:val="22"/>
                <w:szCs w:val="22"/>
              </w:rPr>
            </w:pPr>
            <w:r w:rsidRPr="001C739E">
              <w:rPr>
                <w:rFonts w:cs="Times New Roman"/>
                <w:b/>
                <w:bCs/>
                <w:sz w:val="22"/>
                <w:szCs w:val="22"/>
              </w:rPr>
              <w:t>Definition</w:t>
            </w:r>
          </w:p>
        </w:tc>
        <w:tc>
          <w:tcPr>
            <w:tcW w:w="825" w:type="pct"/>
            <w:tcBorders>
              <w:top w:val="single" w:sz="4" w:space="0" w:color="auto"/>
              <w:bottom w:val="single" w:sz="4" w:space="0" w:color="auto"/>
            </w:tcBorders>
            <w:tcMar>
              <w:top w:w="0" w:type="dxa"/>
              <w:left w:w="40" w:type="dxa"/>
              <w:bottom w:w="0" w:type="dxa"/>
              <w:right w:w="40" w:type="dxa"/>
            </w:tcMar>
            <w:vAlign w:val="center"/>
          </w:tcPr>
          <w:p w14:paraId="0ADB0DE1" w14:textId="58C1F779" w:rsidR="00C3597E" w:rsidRPr="001C739E" w:rsidRDefault="00C3597E" w:rsidP="001C739E">
            <w:pPr>
              <w:widowControl w:val="0"/>
              <w:jc w:val="center"/>
              <w:rPr>
                <w:rFonts w:cs="Times New Roman"/>
                <w:b/>
                <w:bCs/>
                <w:sz w:val="22"/>
                <w:szCs w:val="22"/>
              </w:rPr>
            </w:pPr>
            <w:r w:rsidRPr="001C739E">
              <w:rPr>
                <w:rFonts w:cs="Times New Roman"/>
                <w:b/>
                <w:bCs/>
                <w:sz w:val="22"/>
                <w:szCs w:val="22"/>
              </w:rPr>
              <w:t xml:space="preserve">Frequency (Study 1, </w:t>
            </w:r>
            <w:r w:rsidRPr="001C739E">
              <w:rPr>
                <w:rFonts w:cs="Times New Roman"/>
                <w:b/>
                <w:bCs/>
                <w:i/>
                <w:iCs/>
                <w:sz w:val="22"/>
                <w:szCs w:val="22"/>
              </w:rPr>
              <w:t>N</w:t>
            </w:r>
            <w:r w:rsidR="001C739E">
              <w:rPr>
                <w:rFonts w:cs="Times New Roman"/>
                <w:b/>
                <w:bCs/>
                <w:sz w:val="22"/>
                <w:szCs w:val="22"/>
              </w:rPr>
              <w:t xml:space="preserve"> </w:t>
            </w:r>
            <w:r w:rsidRPr="001C739E">
              <w:rPr>
                <w:rFonts w:cs="Times New Roman"/>
                <w:b/>
                <w:bCs/>
                <w:sz w:val="22"/>
                <w:szCs w:val="22"/>
              </w:rPr>
              <w:t>=</w:t>
            </w:r>
            <w:r w:rsidR="001C739E">
              <w:rPr>
                <w:rFonts w:cs="Times New Roman"/>
                <w:b/>
                <w:bCs/>
                <w:sz w:val="22"/>
                <w:szCs w:val="22"/>
              </w:rPr>
              <w:t xml:space="preserve"> </w:t>
            </w:r>
            <w:r w:rsidRPr="001C739E">
              <w:rPr>
                <w:rFonts w:cs="Times New Roman"/>
                <w:b/>
                <w:bCs/>
                <w:sz w:val="22"/>
                <w:szCs w:val="22"/>
              </w:rPr>
              <w:t>138)</w:t>
            </w:r>
          </w:p>
        </w:tc>
        <w:tc>
          <w:tcPr>
            <w:tcW w:w="825" w:type="pct"/>
            <w:tcBorders>
              <w:top w:val="single" w:sz="4" w:space="0" w:color="auto"/>
              <w:bottom w:val="single" w:sz="4" w:space="0" w:color="auto"/>
            </w:tcBorders>
            <w:tcMar>
              <w:top w:w="0" w:type="dxa"/>
              <w:left w:w="40" w:type="dxa"/>
              <w:bottom w:w="0" w:type="dxa"/>
              <w:right w:w="40" w:type="dxa"/>
            </w:tcMar>
            <w:vAlign w:val="center"/>
          </w:tcPr>
          <w:p w14:paraId="10B01B87" w14:textId="67BE1F71" w:rsidR="00C3597E" w:rsidRPr="001C739E" w:rsidRDefault="00C3597E" w:rsidP="001C739E">
            <w:pPr>
              <w:widowControl w:val="0"/>
              <w:jc w:val="center"/>
              <w:rPr>
                <w:rFonts w:cs="Times New Roman"/>
                <w:b/>
                <w:bCs/>
                <w:sz w:val="22"/>
                <w:szCs w:val="22"/>
              </w:rPr>
            </w:pPr>
            <w:r w:rsidRPr="001C739E">
              <w:rPr>
                <w:rFonts w:cs="Times New Roman"/>
                <w:b/>
                <w:bCs/>
                <w:sz w:val="22"/>
                <w:szCs w:val="22"/>
              </w:rPr>
              <w:t xml:space="preserve">Frequency (Study 2, </w:t>
            </w:r>
            <w:r w:rsidRPr="001C739E">
              <w:rPr>
                <w:rFonts w:cs="Times New Roman"/>
                <w:b/>
                <w:bCs/>
                <w:i/>
                <w:iCs/>
                <w:sz w:val="22"/>
                <w:szCs w:val="22"/>
              </w:rPr>
              <w:t>N</w:t>
            </w:r>
            <w:r w:rsidR="001C739E">
              <w:rPr>
                <w:rFonts w:cs="Times New Roman"/>
                <w:b/>
                <w:bCs/>
                <w:sz w:val="22"/>
                <w:szCs w:val="22"/>
              </w:rPr>
              <w:t xml:space="preserve"> </w:t>
            </w:r>
            <w:r w:rsidRPr="001C739E">
              <w:rPr>
                <w:rFonts w:cs="Times New Roman"/>
                <w:b/>
                <w:bCs/>
                <w:sz w:val="22"/>
                <w:szCs w:val="22"/>
              </w:rPr>
              <w:t>=</w:t>
            </w:r>
            <w:r w:rsidR="001C739E">
              <w:rPr>
                <w:rFonts w:cs="Times New Roman"/>
                <w:b/>
                <w:bCs/>
                <w:sz w:val="22"/>
                <w:szCs w:val="22"/>
              </w:rPr>
              <w:t xml:space="preserve"> </w:t>
            </w:r>
            <w:r w:rsidRPr="001C739E">
              <w:rPr>
                <w:rFonts w:cs="Times New Roman"/>
                <w:b/>
                <w:bCs/>
                <w:sz w:val="22"/>
                <w:szCs w:val="22"/>
              </w:rPr>
              <w:t>219)</w:t>
            </w:r>
          </w:p>
        </w:tc>
      </w:tr>
      <w:tr w:rsidR="00C3597E" w:rsidRPr="001C739E" w14:paraId="78F255E2" w14:textId="77777777" w:rsidTr="001C739E">
        <w:trPr>
          <w:trHeight w:val="1272"/>
        </w:trPr>
        <w:tc>
          <w:tcPr>
            <w:tcW w:w="825" w:type="pct"/>
            <w:tcBorders>
              <w:top w:val="single" w:sz="4" w:space="0" w:color="auto"/>
            </w:tcBorders>
            <w:tcMar>
              <w:top w:w="0" w:type="dxa"/>
              <w:left w:w="40" w:type="dxa"/>
              <w:bottom w:w="0" w:type="dxa"/>
              <w:right w:w="40" w:type="dxa"/>
            </w:tcMar>
          </w:tcPr>
          <w:p w14:paraId="1AFE9BBE" w14:textId="77777777" w:rsidR="00C3597E" w:rsidRPr="001C739E" w:rsidRDefault="00C3597E" w:rsidP="001C739E">
            <w:pPr>
              <w:widowControl w:val="0"/>
              <w:rPr>
                <w:rFonts w:cs="Times New Roman"/>
                <w:sz w:val="22"/>
                <w:szCs w:val="22"/>
              </w:rPr>
            </w:pPr>
            <w:r w:rsidRPr="001C739E">
              <w:rPr>
                <w:rFonts w:cs="Times New Roman"/>
                <w:sz w:val="22"/>
                <w:szCs w:val="22"/>
              </w:rPr>
              <w:t>Multiple Marginalization</w:t>
            </w:r>
          </w:p>
        </w:tc>
        <w:tc>
          <w:tcPr>
            <w:tcW w:w="2525" w:type="pct"/>
            <w:tcBorders>
              <w:top w:val="single" w:sz="4" w:space="0" w:color="auto"/>
            </w:tcBorders>
            <w:tcMar>
              <w:top w:w="0" w:type="dxa"/>
              <w:left w:w="40" w:type="dxa"/>
              <w:bottom w:w="0" w:type="dxa"/>
              <w:right w:w="40" w:type="dxa"/>
            </w:tcMar>
          </w:tcPr>
          <w:p w14:paraId="18F1FDF8" w14:textId="26918BAE" w:rsidR="00C3597E" w:rsidRPr="001C739E" w:rsidRDefault="00C3597E" w:rsidP="001C739E">
            <w:pPr>
              <w:widowControl w:val="0"/>
              <w:rPr>
                <w:rFonts w:cs="Times New Roman"/>
                <w:sz w:val="22"/>
                <w:szCs w:val="22"/>
              </w:rPr>
            </w:pPr>
            <w:r w:rsidRPr="001C739E">
              <w:rPr>
                <w:rFonts w:eastAsia="Calibri" w:cs="Times New Roman"/>
                <w:sz w:val="22"/>
                <w:szCs w:val="22"/>
              </w:rPr>
              <w:t>The participant discusses experiences of oppression related to minority identities other than gender such as but not limited to size, race, and age. These experiences are in addition to oppression related to the person</w:t>
            </w:r>
            <w:r w:rsidR="00C364B6" w:rsidRPr="001C739E">
              <w:rPr>
                <w:rFonts w:eastAsia="Calibri" w:cs="Times New Roman"/>
                <w:sz w:val="22"/>
                <w:szCs w:val="22"/>
              </w:rPr>
              <w:t>’</w:t>
            </w:r>
            <w:r w:rsidRPr="001C739E">
              <w:rPr>
                <w:rFonts w:eastAsia="Calibri" w:cs="Times New Roman"/>
                <w:sz w:val="22"/>
                <w:szCs w:val="22"/>
              </w:rPr>
              <w:t>s gender identity.</w:t>
            </w:r>
          </w:p>
        </w:tc>
        <w:tc>
          <w:tcPr>
            <w:tcW w:w="825" w:type="pct"/>
            <w:tcBorders>
              <w:top w:val="single" w:sz="4" w:space="0" w:color="auto"/>
            </w:tcBorders>
            <w:tcMar>
              <w:top w:w="0" w:type="dxa"/>
              <w:left w:w="40" w:type="dxa"/>
              <w:bottom w:w="0" w:type="dxa"/>
              <w:right w:w="40" w:type="dxa"/>
            </w:tcMar>
            <w:vAlign w:val="center"/>
          </w:tcPr>
          <w:p w14:paraId="4169B256" w14:textId="69C2A9C2" w:rsidR="00C3597E" w:rsidRPr="001C739E" w:rsidRDefault="001C739E" w:rsidP="001C739E">
            <w:pPr>
              <w:widowControl w:val="0"/>
              <w:jc w:val="center"/>
              <w:rPr>
                <w:rFonts w:cs="Times New Roman"/>
                <w:sz w:val="22"/>
                <w:szCs w:val="22"/>
              </w:rPr>
            </w:pPr>
            <w:r>
              <w:rPr>
                <w:rFonts w:cs="Times New Roman"/>
                <w:i/>
                <w:iCs/>
                <w:sz w:val="22"/>
                <w:szCs w:val="22"/>
              </w:rPr>
              <w:t>n</w:t>
            </w:r>
            <w:r w:rsidR="00C3597E" w:rsidRPr="001C739E">
              <w:rPr>
                <w:rFonts w:cs="Times New Roman"/>
                <w:i/>
                <w:iCs/>
                <w:sz w:val="22"/>
                <w:szCs w:val="22"/>
              </w:rPr>
              <w:t xml:space="preserve"> = </w:t>
            </w:r>
            <w:r w:rsidR="00C3597E" w:rsidRPr="001C739E">
              <w:rPr>
                <w:rFonts w:cs="Times New Roman"/>
                <w:sz w:val="22"/>
                <w:szCs w:val="22"/>
              </w:rPr>
              <w:t>5, 3.62%</w:t>
            </w:r>
          </w:p>
        </w:tc>
        <w:tc>
          <w:tcPr>
            <w:tcW w:w="825" w:type="pct"/>
            <w:tcBorders>
              <w:top w:val="single" w:sz="4" w:space="0" w:color="auto"/>
            </w:tcBorders>
            <w:tcMar>
              <w:top w:w="0" w:type="dxa"/>
              <w:left w:w="40" w:type="dxa"/>
              <w:bottom w:w="0" w:type="dxa"/>
              <w:right w:w="40" w:type="dxa"/>
            </w:tcMar>
            <w:vAlign w:val="center"/>
          </w:tcPr>
          <w:p w14:paraId="0EEB6E47" w14:textId="654673C5" w:rsidR="00C3597E" w:rsidRPr="001C739E" w:rsidRDefault="001C739E" w:rsidP="001C739E">
            <w:pPr>
              <w:widowControl w:val="0"/>
              <w:jc w:val="center"/>
              <w:rPr>
                <w:rFonts w:cs="Times New Roman"/>
                <w:sz w:val="22"/>
                <w:szCs w:val="22"/>
              </w:rPr>
            </w:pPr>
            <w:r>
              <w:rPr>
                <w:rFonts w:cs="Times New Roman"/>
                <w:i/>
                <w:iCs/>
                <w:sz w:val="22"/>
                <w:szCs w:val="22"/>
              </w:rPr>
              <w:t>n</w:t>
            </w:r>
            <w:r w:rsidR="00C3597E" w:rsidRPr="001C739E">
              <w:rPr>
                <w:rFonts w:cs="Times New Roman"/>
                <w:i/>
                <w:iCs/>
                <w:sz w:val="22"/>
                <w:szCs w:val="22"/>
              </w:rPr>
              <w:t xml:space="preserve"> = </w:t>
            </w:r>
            <w:r w:rsidR="00C3597E" w:rsidRPr="001C739E">
              <w:rPr>
                <w:rFonts w:cs="Times New Roman"/>
                <w:sz w:val="22"/>
                <w:szCs w:val="22"/>
              </w:rPr>
              <w:t>6, 2.74%</w:t>
            </w:r>
          </w:p>
        </w:tc>
      </w:tr>
      <w:tr w:rsidR="00C3597E" w:rsidRPr="001C739E" w14:paraId="5FC35CA4" w14:textId="77777777" w:rsidTr="001C739E">
        <w:trPr>
          <w:trHeight w:val="705"/>
        </w:trPr>
        <w:tc>
          <w:tcPr>
            <w:tcW w:w="825" w:type="pct"/>
            <w:tcMar>
              <w:top w:w="0" w:type="dxa"/>
              <w:left w:w="40" w:type="dxa"/>
              <w:bottom w:w="0" w:type="dxa"/>
              <w:right w:w="40" w:type="dxa"/>
            </w:tcMar>
          </w:tcPr>
          <w:p w14:paraId="03D5B2DF" w14:textId="77777777" w:rsidR="00C3597E" w:rsidRPr="001C739E" w:rsidRDefault="00C3597E" w:rsidP="001C739E">
            <w:pPr>
              <w:widowControl w:val="0"/>
              <w:rPr>
                <w:rFonts w:cs="Times New Roman"/>
                <w:sz w:val="22"/>
                <w:szCs w:val="22"/>
              </w:rPr>
            </w:pPr>
            <w:r w:rsidRPr="001C739E">
              <w:rPr>
                <w:rFonts w:cs="Times New Roman"/>
                <w:sz w:val="22"/>
                <w:szCs w:val="22"/>
              </w:rPr>
              <w:t>Safety</w:t>
            </w:r>
          </w:p>
        </w:tc>
        <w:tc>
          <w:tcPr>
            <w:tcW w:w="2525" w:type="pct"/>
            <w:tcMar>
              <w:top w:w="0" w:type="dxa"/>
              <w:left w:w="40" w:type="dxa"/>
              <w:bottom w:w="0" w:type="dxa"/>
              <w:right w:w="40" w:type="dxa"/>
            </w:tcMar>
          </w:tcPr>
          <w:p w14:paraId="383BBA8D" w14:textId="77777777" w:rsidR="00C3597E" w:rsidRPr="001C739E" w:rsidRDefault="00C3597E" w:rsidP="001C739E">
            <w:pPr>
              <w:widowControl w:val="0"/>
              <w:rPr>
                <w:rFonts w:cs="Times New Roman"/>
                <w:sz w:val="22"/>
                <w:szCs w:val="22"/>
              </w:rPr>
            </w:pPr>
            <w:r w:rsidRPr="001C739E">
              <w:rPr>
                <w:rFonts w:eastAsia="Calibri" w:cs="Times New Roman"/>
                <w:sz w:val="22"/>
                <w:szCs w:val="22"/>
              </w:rPr>
              <w:t>The participant talks about feeling unsafe or threatened. This threat may be an actual or perceived danger in a present or future situation. Examples include, being faced with the decision about (a) whether or not to correct others about their misperceptions, (b) in what contexts and whether or not to come out, (c) in which spaces the participant is more likely to be safe or unsafe.</w:t>
            </w:r>
          </w:p>
        </w:tc>
        <w:tc>
          <w:tcPr>
            <w:tcW w:w="825" w:type="pct"/>
            <w:tcMar>
              <w:top w:w="0" w:type="dxa"/>
              <w:left w:w="40" w:type="dxa"/>
              <w:bottom w:w="0" w:type="dxa"/>
              <w:right w:w="40" w:type="dxa"/>
            </w:tcMar>
            <w:vAlign w:val="center"/>
          </w:tcPr>
          <w:p w14:paraId="146C8FBA" w14:textId="0E69AEE3" w:rsidR="00C3597E" w:rsidRPr="001C739E" w:rsidRDefault="001C739E" w:rsidP="001C739E">
            <w:pPr>
              <w:widowControl w:val="0"/>
              <w:jc w:val="center"/>
              <w:rPr>
                <w:rFonts w:cs="Times New Roman"/>
                <w:sz w:val="22"/>
                <w:szCs w:val="22"/>
              </w:rPr>
            </w:pPr>
            <w:r>
              <w:rPr>
                <w:rFonts w:cs="Times New Roman"/>
                <w:i/>
                <w:iCs/>
                <w:sz w:val="22"/>
                <w:szCs w:val="22"/>
              </w:rPr>
              <w:t>n</w:t>
            </w:r>
            <w:r w:rsidR="00C3597E" w:rsidRPr="001C739E">
              <w:rPr>
                <w:rFonts w:cs="Times New Roman"/>
                <w:i/>
                <w:iCs/>
                <w:sz w:val="22"/>
                <w:szCs w:val="22"/>
              </w:rPr>
              <w:t xml:space="preserve"> = </w:t>
            </w:r>
            <w:r w:rsidR="00C3597E" w:rsidRPr="001C739E">
              <w:rPr>
                <w:rFonts w:cs="Times New Roman"/>
                <w:sz w:val="22"/>
                <w:szCs w:val="22"/>
              </w:rPr>
              <w:t>12, 8.70%</w:t>
            </w:r>
          </w:p>
        </w:tc>
        <w:tc>
          <w:tcPr>
            <w:tcW w:w="825" w:type="pct"/>
            <w:tcMar>
              <w:top w:w="0" w:type="dxa"/>
              <w:left w:w="40" w:type="dxa"/>
              <w:bottom w:w="0" w:type="dxa"/>
              <w:right w:w="40" w:type="dxa"/>
            </w:tcMar>
            <w:vAlign w:val="center"/>
          </w:tcPr>
          <w:p w14:paraId="23D28EF7" w14:textId="5AC6DFE2" w:rsidR="00C3597E" w:rsidRPr="001C739E" w:rsidRDefault="001C739E" w:rsidP="001C739E">
            <w:pPr>
              <w:widowControl w:val="0"/>
              <w:jc w:val="center"/>
              <w:rPr>
                <w:rFonts w:cs="Times New Roman"/>
                <w:sz w:val="22"/>
                <w:szCs w:val="22"/>
              </w:rPr>
            </w:pPr>
            <w:r>
              <w:rPr>
                <w:rFonts w:cs="Times New Roman"/>
                <w:i/>
                <w:iCs/>
                <w:sz w:val="22"/>
                <w:szCs w:val="22"/>
              </w:rPr>
              <w:t>n</w:t>
            </w:r>
            <w:r w:rsidR="00C3597E" w:rsidRPr="001C739E">
              <w:rPr>
                <w:rFonts w:cs="Times New Roman"/>
                <w:i/>
                <w:iCs/>
                <w:sz w:val="22"/>
                <w:szCs w:val="22"/>
              </w:rPr>
              <w:t xml:space="preserve"> = </w:t>
            </w:r>
            <w:r w:rsidR="00C3597E" w:rsidRPr="001C739E">
              <w:rPr>
                <w:rFonts w:cs="Times New Roman"/>
                <w:sz w:val="22"/>
                <w:szCs w:val="22"/>
              </w:rPr>
              <w:t>28, 12.79%</w:t>
            </w:r>
          </w:p>
        </w:tc>
      </w:tr>
      <w:tr w:rsidR="00C3597E" w:rsidRPr="001C739E" w14:paraId="0B4C702D" w14:textId="77777777" w:rsidTr="001C739E">
        <w:trPr>
          <w:trHeight w:val="2415"/>
        </w:trPr>
        <w:tc>
          <w:tcPr>
            <w:tcW w:w="825" w:type="pct"/>
            <w:tcMar>
              <w:top w:w="0" w:type="dxa"/>
              <w:left w:w="40" w:type="dxa"/>
              <w:bottom w:w="0" w:type="dxa"/>
              <w:right w:w="40" w:type="dxa"/>
            </w:tcMar>
          </w:tcPr>
          <w:p w14:paraId="64C5E148" w14:textId="77777777" w:rsidR="00C3597E" w:rsidRPr="001C739E" w:rsidRDefault="00C3597E" w:rsidP="001C739E">
            <w:pPr>
              <w:widowControl w:val="0"/>
              <w:rPr>
                <w:rFonts w:cs="Times New Roman"/>
                <w:sz w:val="22"/>
                <w:szCs w:val="22"/>
              </w:rPr>
            </w:pPr>
            <w:r w:rsidRPr="001C739E">
              <w:rPr>
                <w:rFonts w:cs="Times New Roman"/>
                <w:sz w:val="22"/>
                <w:szCs w:val="22"/>
              </w:rPr>
              <w:t>Community Exclusion</w:t>
            </w:r>
          </w:p>
        </w:tc>
        <w:tc>
          <w:tcPr>
            <w:tcW w:w="2525" w:type="pct"/>
            <w:tcMar>
              <w:top w:w="0" w:type="dxa"/>
              <w:left w:w="40" w:type="dxa"/>
              <w:bottom w:w="0" w:type="dxa"/>
              <w:right w:w="40" w:type="dxa"/>
            </w:tcMar>
          </w:tcPr>
          <w:p w14:paraId="166081F7" w14:textId="23BDB05F" w:rsidR="00C3597E" w:rsidRPr="001C739E" w:rsidRDefault="00C3597E" w:rsidP="001C739E">
            <w:pPr>
              <w:widowControl w:val="0"/>
              <w:rPr>
                <w:rFonts w:cs="Times New Roman"/>
                <w:sz w:val="22"/>
                <w:szCs w:val="22"/>
              </w:rPr>
            </w:pPr>
            <w:r w:rsidRPr="001C739E">
              <w:rPr>
                <w:rFonts w:eastAsia="Calibri" w:cs="Times New Roman"/>
                <w:sz w:val="22"/>
                <w:szCs w:val="22"/>
              </w:rPr>
              <w:t>The participant mentions feeling excluded in gendered spaces, especially spaces for individuals with whom the participant identifies and/or feels a communal tie. Examples include: (a) being ignored or treated as if the participant is not in the given community, (b) being excluded from spaces such as men</w:t>
            </w:r>
            <w:r w:rsidR="00C364B6" w:rsidRPr="001C739E">
              <w:rPr>
                <w:rFonts w:eastAsia="Calibri" w:cs="Times New Roman"/>
                <w:sz w:val="22"/>
                <w:szCs w:val="22"/>
              </w:rPr>
              <w:t>’</w:t>
            </w:r>
            <w:r w:rsidRPr="001C739E">
              <w:rPr>
                <w:rFonts w:eastAsia="Calibri" w:cs="Times New Roman"/>
                <w:sz w:val="22"/>
                <w:szCs w:val="22"/>
              </w:rPr>
              <w:t>s or women</w:t>
            </w:r>
            <w:r w:rsidR="00C364B6" w:rsidRPr="001C739E">
              <w:rPr>
                <w:rFonts w:eastAsia="Calibri" w:cs="Times New Roman"/>
                <w:sz w:val="22"/>
                <w:szCs w:val="22"/>
              </w:rPr>
              <w:t>’</w:t>
            </w:r>
            <w:r w:rsidRPr="001C739E">
              <w:rPr>
                <w:rFonts w:eastAsia="Calibri" w:cs="Times New Roman"/>
                <w:sz w:val="22"/>
                <w:szCs w:val="22"/>
              </w:rPr>
              <w:t>s bathrooms (c), having their identity disqualified, erased, and/or shunned in cis and/or transgender communal spaces (e.g., facilities, online groups, social gatherings, etc.).</w:t>
            </w:r>
          </w:p>
        </w:tc>
        <w:tc>
          <w:tcPr>
            <w:tcW w:w="825" w:type="pct"/>
            <w:tcMar>
              <w:top w:w="0" w:type="dxa"/>
              <w:left w:w="40" w:type="dxa"/>
              <w:bottom w:w="0" w:type="dxa"/>
              <w:right w:w="40" w:type="dxa"/>
            </w:tcMar>
            <w:vAlign w:val="center"/>
          </w:tcPr>
          <w:p w14:paraId="1607F443" w14:textId="155DEA39" w:rsidR="00C3597E" w:rsidRPr="001C739E" w:rsidRDefault="001C739E" w:rsidP="001C739E">
            <w:pPr>
              <w:widowControl w:val="0"/>
              <w:jc w:val="center"/>
              <w:rPr>
                <w:rFonts w:cs="Times New Roman"/>
                <w:sz w:val="22"/>
                <w:szCs w:val="22"/>
              </w:rPr>
            </w:pPr>
            <w:r>
              <w:rPr>
                <w:rFonts w:cs="Times New Roman"/>
                <w:i/>
                <w:iCs/>
                <w:sz w:val="22"/>
                <w:szCs w:val="22"/>
              </w:rPr>
              <w:t>n</w:t>
            </w:r>
            <w:r w:rsidR="00C3597E" w:rsidRPr="001C739E">
              <w:rPr>
                <w:rFonts w:cs="Times New Roman"/>
                <w:i/>
                <w:iCs/>
                <w:sz w:val="22"/>
                <w:szCs w:val="22"/>
              </w:rPr>
              <w:t xml:space="preserve"> = </w:t>
            </w:r>
            <w:r w:rsidR="00C3597E" w:rsidRPr="001C739E">
              <w:rPr>
                <w:rFonts w:cs="Times New Roman"/>
                <w:sz w:val="22"/>
                <w:szCs w:val="22"/>
              </w:rPr>
              <w:t>8, 5.80%</w:t>
            </w:r>
          </w:p>
        </w:tc>
        <w:tc>
          <w:tcPr>
            <w:tcW w:w="825" w:type="pct"/>
            <w:tcMar>
              <w:top w:w="0" w:type="dxa"/>
              <w:left w:w="40" w:type="dxa"/>
              <w:bottom w:w="0" w:type="dxa"/>
              <w:right w:w="40" w:type="dxa"/>
            </w:tcMar>
            <w:vAlign w:val="center"/>
          </w:tcPr>
          <w:p w14:paraId="4A326B55" w14:textId="63FB3291" w:rsidR="00C3597E" w:rsidRPr="001C739E" w:rsidRDefault="001C739E" w:rsidP="001C739E">
            <w:pPr>
              <w:widowControl w:val="0"/>
              <w:jc w:val="center"/>
              <w:rPr>
                <w:rFonts w:cs="Times New Roman"/>
                <w:sz w:val="22"/>
                <w:szCs w:val="22"/>
              </w:rPr>
            </w:pPr>
            <w:r>
              <w:rPr>
                <w:rFonts w:cs="Times New Roman"/>
                <w:i/>
                <w:iCs/>
                <w:sz w:val="22"/>
                <w:szCs w:val="22"/>
              </w:rPr>
              <w:t>n</w:t>
            </w:r>
            <w:r w:rsidR="00C3597E" w:rsidRPr="001C739E">
              <w:rPr>
                <w:rFonts w:cs="Times New Roman"/>
                <w:i/>
                <w:iCs/>
                <w:sz w:val="22"/>
                <w:szCs w:val="22"/>
              </w:rPr>
              <w:t xml:space="preserve"> = </w:t>
            </w:r>
            <w:r w:rsidR="00C3597E" w:rsidRPr="001C739E">
              <w:rPr>
                <w:rFonts w:cs="Times New Roman"/>
                <w:sz w:val="22"/>
                <w:szCs w:val="22"/>
              </w:rPr>
              <w:t>9, 4.11%</w:t>
            </w:r>
          </w:p>
        </w:tc>
      </w:tr>
      <w:tr w:rsidR="00C3597E" w:rsidRPr="001C739E" w14:paraId="306E9167" w14:textId="77777777" w:rsidTr="001C739E">
        <w:trPr>
          <w:trHeight w:val="1335"/>
        </w:trPr>
        <w:tc>
          <w:tcPr>
            <w:tcW w:w="825" w:type="pct"/>
            <w:tcMar>
              <w:top w:w="0" w:type="dxa"/>
              <w:left w:w="40" w:type="dxa"/>
              <w:bottom w:w="0" w:type="dxa"/>
              <w:right w:w="40" w:type="dxa"/>
            </w:tcMar>
          </w:tcPr>
          <w:p w14:paraId="0E782F17" w14:textId="77777777" w:rsidR="00C3597E" w:rsidRPr="001C739E" w:rsidRDefault="00C3597E" w:rsidP="001C739E">
            <w:pPr>
              <w:widowControl w:val="0"/>
              <w:rPr>
                <w:rFonts w:cs="Times New Roman"/>
                <w:sz w:val="22"/>
                <w:szCs w:val="22"/>
              </w:rPr>
            </w:pPr>
            <w:r w:rsidRPr="001C739E">
              <w:rPr>
                <w:rFonts w:cs="Times New Roman"/>
                <w:sz w:val="22"/>
                <w:szCs w:val="22"/>
              </w:rPr>
              <w:t>Buffers against Experiencing Gender Dysphoria</w:t>
            </w:r>
          </w:p>
        </w:tc>
        <w:tc>
          <w:tcPr>
            <w:tcW w:w="2525" w:type="pct"/>
            <w:tcMar>
              <w:top w:w="0" w:type="dxa"/>
              <w:left w:w="40" w:type="dxa"/>
              <w:bottom w:w="0" w:type="dxa"/>
              <w:right w:w="40" w:type="dxa"/>
            </w:tcMar>
          </w:tcPr>
          <w:p w14:paraId="33B3366F" w14:textId="77777777" w:rsidR="00C3597E" w:rsidRPr="001C739E" w:rsidRDefault="00C3597E" w:rsidP="001C739E">
            <w:pPr>
              <w:widowControl w:val="0"/>
              <w:rPr>
                <w:rFonts w:cs="Times New Roman"/>
                <w:sz w:val="22"/>
                <w:szCs w:val="22"/>
              </w:rPr>
            </w:pPr>
            <w:r w:rsidRPr="001C739E">
              <w:rPr>
                <w:rFonts w:eastAsia="Calibri" w:cs="Times New Roman"/>
                <w:sz w:val="22"/>
                <w:szCs w:val="22"/>
              </w:rPr>
              <w:t>The participant lists protective factors that mitigate the severity of dysphoria. Participants may discuss, for example, limited contact with biased people, satisfaction with congruent appearance, and/or experiences of affirmation from others.</w:t>
            </w:r>
          </w:p>
        </w:tc>
        <w:tc>
          <w:tcPr>
            <w:tcW w:w="825" w:type="pct"/>
            <w:tcMar>
              <w:top w:w="0" w:type="dxa"/>
              <w:left w:w="40" w:type="dxa"/>
              <w:bottom w:w="0" w:type="dxa"/>
              <w:right w:w="40" w:type="dxa"/>
            </w:tcMar>
            <w:vAlign w:val="center"/>
          </w:tcPr>
          <w:p w14:paraId="1258CBDC" w14:textId="4BDFD859" w:rsidR="00C3597E" w:rsidRPr="001C739E" w:rsidRDefault="001C739E" w:rsidP="001C739E">
            <w:pPr>
              <w:widowControl w:val="0"/>
              <w:jc w:val="center"/>
              <w:rPr>
                <w:rFonts w:cs="Times New Roman"/>
                <w:sz w:val="22"/>
                <w:szCs w:val="22"/>
              </w:rPr>
            </w:pPr>
            <w:r>
              <w:rPr>
                <w:rFonts w:cs="Times New Roman"/>
                <w:i/>
                <w:iCs/>
                <w:sz w:val="22"/>
                <w:szCs w:val="22"/>
              </w:rPr>
              <w:t>n</w:t>
            </w:r>
            <w:r w:rsidR="00C3597E" w:rsidRPr="001C739E">
              <w:rPr>
                <w:rFonts w:cs="Times New Roman"/>
                <w:i/>
                <w:iCs/>
                <w:sz w:val="22"/>
                <w:szCs w:val="22"/>
              </w:rPr>
              <w:t xml:space="preserve"> = </w:t>
            </w:r>
            <w:r w:rsidR="00C3597E" w:rsidRPr="001C739E">
              <w:rPr>
                <w:rFonts w:cs="Times New Roman"/>
                <w:sz w:val="22"/>
                <w:szCs w:val="22"/>
              </w:rPr>
              <w:t>20, 14.49%</w:t>
            </w:r>
          </w:p>
        </w:tc>
        <w:tc>
          <w:tcPr>
            <w:tcW w:w="825" w:type="pct"/>
            <w:tcMar>
              <w:top w:w="0" w:type="dxa"/>
              <w:left w:w="40" w:type="dxa"/>
              <w:bottom w:w="0" w:type="dxa"/>
              <w:right w:w="40" w:type="dxa"/>
            </w:tcMar>
            <w:vAlign w:val="center"/>
          </w:tcPr>
          <w:p w14:paraId="7391837F" w14:textId="4F7D0853" w:rsidR="00C3597E" w:rsidRPr="001C739E" w:rsidRDefault="001C739E" w:rsidP="001C739E">
            <w:pPr>
              <w:widowControl w:val="0"/>
              <w:jc w:val="center"/>
              <w:rPr>
                <w:rFonts w:cs="Times New Roman"/>
                <w:sz w:val="22"/>
                <w:szCs w:val="22"/>
              </w:rPr>
            </w:pPr>
            <w:r>
              <w:rPr>
                <w:rFonts w:cs="Times New Roman"/>
                <w:i/>
                <w:iCs/>
                <w:sz w:val="22"/>
                <w:szCs w:val="22"/>
              </w:rPr>
              <w:t>n</w:t>
            </w:r>
            <w:r w:rsidR="00C3597E" w:rsidRPr="001C739E">
              <w:rPr>
                <w:rFonts w:cs="Times New Roman"/>
                <w:i/>
                <w:iCs/>
                <w:sz w:val="22"/>
                <w:szCs w:val="22"/>
              </w:rPr>
              <w:t xml:space="preserve"> = </w:t>
            </w:r>
            <w:r w:rsidR="00C3597E" w:rsidRPr="001C739E">
              <w:rPr>
                <w:rFonts w:cs="Times New Roman"/>
                <w:sz w:val="22"/>
                <w:szCs w:val="22"/>
              </w:rPr>
              <w:t>21, 9.59%</w:t>
            </w:r>
          </w:p>
        </w:tc>
      </w:tr>
      <w:tr w:rsidR="00C3597E" w:rsidRPr="001C739E" w14:paraId="67F93952" w14:textId="77777777" w:rsidTr="001C739E">
        <w:trPr>
          <w:trHeight w:val="1074"/>
        </w:trPr>
        <w:tc>
          <w:tcPr>
            <w:tcW w:w="825" w:type="pct"/>
            <w:tcMar>
              <w:top w:w="0" w:type="dxa"/>
              <w:left w:w="40" w:type="dxa"/>
              <w:bottom w:w="0" w:type="dxa"/>
              <w:right w:w="40" w:type="dxa"/>
            </w:tcMar>
          </w:tcPr>
          <w:p w14:paraId="1CCCF669" w14:textId="77777777" w:rsidR="00C3597E" w:rsidRPr="001C739E" w:rsidRDefault="00C3597E" w:rsidP="001C739E">
            <w:pPr>
              <w:widowControl w:val="0"/>
              <w:rPr>
                <w:rFonts w:cs="Times New Roman"/>
                <w:sz w:val="22"/>
                <w:szCs w:val="22"/>
              </w:rPr>
            </w:pPr>
            <w:r w:rsidRPr="001C739E">
              <w:rPr>
                <w:rFonts w:cs="Times New Roman"/>
                <w:sz w:val="22"/>
                <w:szCs w:val="22"/>
              </w:rPr>
              <w:t>Language</w:t>
            </w:r>
          </w:p>
        </w:tc>
        <w:tc>
          <w:tcPr>
            <w:tcW w:w="2525" w:type="pct"/>
            <w:tcMar>
              <w:top w:w="0" w:type="dxa"/>
              <w:left w:w="40" w:type="dxa"/>
              <w:bottom w:w="0" w:type="dxa"/>
              <w:right w:w="40" w:type="dxa"/>
            </w:tcMar>
          </w:tcPr>
          <w:p w14:paraId="7E15D363" w14:textId="2117C508" w:rsidR="00A76D4E" w:rsidRPr="001C739E" w:rsidRDefault="00C3597E" w:rsidP="001C739E">
            <w:pPr>
              <w:widowControl w:val="0"/>
              <w:rPr>
                <w:rFonts w:eastAsia="Calibri" w:cs="Times New Roman"/>
                <w:sz w:val="22"/>
                <w:szCs w:val="22"/>
              </w:rPr>
            </w:pPr>
            <w:r w:rsidRPr="001C739E">
              <w:rPr>
                <w:rFonts w:eastAsia="Calibri" w:cs="Times New Roman"/>
                <w:sz w:val="22"/>
                <w:szCs w:val="22"/>
              </w:rPr>
              <w:t>The participant talks about verbal and/or written language that serves to exclude or oppress TNB people such as documents, deadnaming, honorifics, and use of wrong pronouns.</w:t>
            </w:r>
          </w:p>
        </w:tc>
        <w:tc>
          <w:tcPr>
            <w:tcW w:w="825" w:type="pct"/>
            <w:tcMar>
              <w:top w:w="0" w:type="dxa"/>
              <w:left w:w="40" w:type="dxa"/>
              <w:bottom w:w="0" w:type="dxa"/>
              <w:right w:w="40" w:type="dxa"/>
            </w:tcMar>
            <w:vAlign w:val="center"/>
          </w:tcPr>
          <w:p w14:paraId="2B8C1C02" w14:textId="55DDDB69" w:rsidR="00C3597E" w:rsidRPr="001C739E" w:rsidRDefault="001C739E" w:rsidP="001C739E">
            <w:pPr>
              <w:widowControl w:val="0"/>
              <w:jc w:val="center"/>
              <w:rPr>
                <w:rFonts w:cs="Times New Roman"/>
                <w:sz w:val="22"/>
                <w:szCs w:val="22"/>
              </w:rPr>
            </w:pPr>
            <w:r>
              <w:rPr>
                <w:rFonts w:cs="Times New Roman"/>
                <w:i/>
                <w:iCs/>
                <w:sz w:val="22"/>
                <w:szCs w:val="22"/>
              </w:rPr>
              <w:t>n</w:t>
            </w:r>
            <w:r w:rsidR="00C3597E" w:rsidRPr="001C739E">
              <w:rPr>
                <w:rFonts w:cs="Times New Roman"/>
                <w:i/>
                <w:iCs/>
                <w:sz w:val="22"/>
                <w:szCs w:val="22"/>
              </w:rPr>
              <w:t xml:space="preserve"> = </w:t>
            </w:r>
            <w:r w:rsidR="00C3597E" w:rsidRPr="001C739E">
              <w:rPr>
                <w:rFonts w:cs="Times New Roman"/>
                <w:sz w:val="22"/>
                <w:szCs w:val="22"/>
              </w:rPr>
              <w:t>24, 17.39%</w:t>
            </w:r>
          </w:p>
        </w:tc>
        <w:tc>
          <w:tcPr>
            <w:tcW w:w="825" w:type="pct"/>
            <w:tcMar>
              <w:top w:w="0" w:type="dxa"/>
              <w:left w:w="40" w:type="dxa"/>
              <w:bottom w:w="0" w:type="dxa"/>
              <w:right w:w="40" w:type="dxa"/>
            </w:tcMar>
            <w:vAlign w:val="center"/>
          </w:tcPr>
          <w:p w14:paraId="391B50D8" w14:textId="5A818B02" w:rsidR="00C3597E" w:rsidRPr="001C739E" w:rsidRDefault="001C739E" w:rsidP="001C739E">
            <w:pPr>
              <w:widowControl w:val="0"/>
              <w:jc w:val="center"/>
              <w:rPr>
                <w:rFonts w:cs="Times New Roman"/>
                <w:sz w:val="22"/>
                <w:szCs w:val="22"/>
              </w:rPr>
            </w:pPr>
            <w:r>
              <w:rPr>
                <w:rFonts w:cs="Times New Roman"/>
                <w:i/>
                <w:iCs/>
                <w:sz w:val="22"/>
                <w:szCs w:val="22"/>
              </w:rPr>
              <w:t>n</w:t>
            </w:r>
            <w:r w:rsidR="00C3597E" w:rsidRPr="001C739E">
              <w:rPr>
                <w:rFonts w:cs="Times New Roman"/>
                <w:i/>
                <w:iCs/>
                <w:sz w:val="22"/>
                <w:szCs w:val="22"/>
              </w:rPr>
              <w:t xml:space="preserve"> = </w:t>
            </w:r>
            <w:r w:rsidR="00C3597E" w:rsidRPr="001C739E">
              <w:rPr>
                <w:rFonts w:cs="Times New Roman"/>
                <w:sz w:val="22"/>
                <w:szCs w:val="22"/>
              </w:rPr>
              <w:t>48, 21.92%</w:t>
            </w:r>
          </w:p>
        </w:tc>
      </w:tr>
      <w:tr w:rsidR="00C3597E" w:rsidRPr="001C739E" w14:paraId="14761635" w14:textId="77777777" w:rsidTr="001C739E">
        <w:trPr>
          <w:trHeight w:val="1695"/>
        </w:trPr>
        <w:tc>
          <w:tcPr>
            <w:tcW w:w="825" w:type="pct"/>
            <w:tcMar>
              <w:top w:w="0" w:type="dxa"/>
              <w:left w:w="40" w:type="dxa"/>
              <w:bottom w:w="0" w:type="dxa"/>
              <w:right w:w="40" w:type="dxa"/>
            </w:tcMar>
          </w:tcPr>
          <w:p w14:paraId="5F18EA3C" w14:textId="77777777" w:rsidR="00C3597E" w:rsidRPr="001C739E" w:rsidRDefault="00C3597E" w:rsidP="001C739E">
            <w:pPr>
              <w:widowControl w:val="0"/>
              <w:rPr>
                <w:rFonts w:cs="Times New Roman"/>
                <w:sz w:val="22"/>
                <w:szCs w:val="22"/>
              </w:rPr>
            </w:pPr>
            <w:r w:rsidRPr="001C739E">
              <w:rPr>
                <w:rFonts w:cs="Times New Roman"/>
                <w:sz w:val="22"/>
                <w:szCs w:val="22"/>
              </w:rPr>
              <w:t>Binary Gender Norms</w:t>
            </w:r>
          </w:p>
        </w:tc>
        <w:tc>
          <w:tcPr>
            <w:tcW w:w="2525" w:type="pct"/>
            <w:tcMar>
              <w:top w:w="0" w:type="dxa"/>
              <w:left w:w="40" w:type="dxa"/>
              <w:bottom w:w="0" w:type="dxa"/>
              <w:right w:w="40" w:type="dxa"/>
            </w:tcMar>
          </w:tcPr>
          <w:p w14:paraId="25CC3CE4" w14:textId="7C3577B8" w:rsidR="00A76D4E" w:rsidRPr="001C739E" w:rsidRDefault="00C3597E" w:rsidP="001C739E">
            <w:pPr>
              <w:widowControl w:val="0"/>
              <w:rPr>
                <w:rFonts w:eastAsia="Calibri" w:cs="Times New Roman"/>
                <w:sz w:val="22"/>
                <w:szCs w:val="22"/>
              </w:rPr>
            </w:pPr>
            <w:r w:rsidRPr="001C739E">
              <w:rPr>
                <w:rFonts w:eastAsia="Calibri" w:cs="Times New Roman"/>
                <w:sz w:val="22"/>
                <w:szCs w:val="22"/>
              </w:rPr>
              <w:t>The participant describes patterns of behavior and/or interaction patterns that erase trans experience. These cultural norms may include pressure to pass as cisgender, feeling unable to come out or transition, pressure to conform to a binary gender identity, nonbinary invisibility, and general cisnormative pressure.</w:t>
            </w:r>
          </w:p>
        </w:tc>
        <w:tc>
          <w:tcPr>
            <w:tcW w:w="825" w:type="pct"/>
            <w:tcMar>
              <w:top w:w="0" w:type="dxa"/>
              <w:left w:w="40" w:type="dxa"/>
              <w:bottom w:w="0" w:type="dxa"/>
              <w:right w:w="40" w:type="dxa"/>
            </w:tcMar>
            <w:vAlign w:val="center"/>
          </w:tcPr>
          <w:p w14:paraId="5FB2CC3E" w14:textId="5083C756" w:rsidR="00C3597E" w:rsidRPr="001C739E" w:rsidRDefault="001C739E" w:rsidP="001C739E">
            <w:pPr>
              <w:widowControl w:val="0"/>
              <w:jc w:val="center"/>
              <w:rPr>
                <w:rFonts w:cs="Times New Roman"/>
                <w:sz w:val="22"/>
                <w:szCs w:val="22"/>
              </w:rPr>
            </w:pPr>
            <w:r>
              <w:rPr>
                <w:rFonts w:cs="Times New Roman"/>
                <w:i/>
                <w:iCs/>
                <w:sz w:val="22"/>
                <w:szCs w:val="22"/>
              </w:rPr>
              <w:t>n</w:t>
            </w:r>
            <w:r w:rsidR="00C3597E" w:rsidRPr="001C739E">
              <w:rPr>
                <w:rFonts w:cs="Times New Roman"/>
                <w:i/>
                <w:iCs/>
                <w:sz w:val="22"/>
                <w:szCs w:val="22"/>
              </w:rPr>
              <w:t xml:space="preserve"> = </w:t>
            </w:r>
            <w:r w:rsidR="00C3597E" w:rsidRPr="001C739E">
              <w:rPr>
                <w:rFonts w:cs="Times New Roman"/>
                <w:sz w:val="22"/>
                <w:szCs w:val="22"/>
              </w:rPr>
              <w:t>38, 27.54%</w:t>
            </w:r>
          </w:p>
        </w:tc>
        <w:tc>
          <w:tcPr>
            <w:tcW w:w="825" w:type="pct"/>
            <w:tcMar>
              <w:top w:w="0" w:type="dxa"/>
              <w:left w:w="40" w:type="dxa"/>
              <w:bottom w:w="0" w:type="dxa"/>
              <w:right w:w="40" w:type="dxa"/>
            </w:tcMar>
            <w:vAlign w:val="center"/>
          </w:tcPr>
          <w:p w14:paraId="695246E1" w14:textId="4136AC05" w:rsidR="00C3597E" w:rsidRPr="001C739E" w:rsidRDefault="001C739E" w:rsidP="001C739E">
            <w:pPr>
              <w:widowControl w:val="0"/>
              <w:jc w:val="center"/>
              <w:rPr>
                <w:rFonts w:cs="Times New Roman"/>
                <w:sz w:val="22"/>
                <w:szCs w:val="22"/>
              </w:rPr>
            </w:pPr>
            <w:r>
              <w:rPr>
                <w:rFonts w:cs="Times New Roman"/>
                <w:i/>
                <w:iCs/>
                <w:sz w:val="22"/>
                <w:szCs w:val="22"/>
              </w:rPr>
              <w:t>n</w:t>
            </w:r>
            <w:r w:rsidR="00C3597E" w:rsidRPr="001C739E">
              <w:rPr>
                <w:rFonts w:cs="Times New Roman"/>
                <w:i/>
                <w:iCs/>
                <w:sz w:val="22"/>
                <w:szCs w:val="22"/>
              </w:rPr>
              <w:t xml:space="preserve"> = </w:t>
            </w:r>
            <w:r w:rsidR="00C3597E" w:rsidRPr="001C739E">
              <w:rPr>
                <w:rFonts w:cs="Times New Roman"/>
                <w:sz w:val="22"/>
                <w:szCs w:val="22"/>
              </w:rPr>
              <w:t>45, 20.55%</w:t>
            </w:r>
          </w:p>
        </w:tc>
      </w:tr>
      <w:tr w:rsidR="00C3597E" w:rsidRPr="001C739E" w14:paraId="69A54E0B" w14:textId="77777777" w:rsidTr="001C739E">
        <w:trPr>
          <w:trHeight w:val="1515"/>
        </w:trPr>
        <w:tc>
          <w:tcPr>
            <w:tcW w:w="825" w:type="pct"/>
            <w:tcMar>
              <w:top w:w="0" w:type="dxa"/>
              <w:left w:w="40" w:type="dxa"/>
              <w:bottom w:w="0" w:type="dxa"/>
              <w:right w:w="40" w:type="dxa"/>
            </w:tcMar>
          </w:tcPr>
          <w:p w14:paraId="113EBB62" w14:textId="77777777" w:rsidR="00C3597E" w:rsidRPr="001C739E" w:rsidRDefault="00C3597E" w:rsidP="001C739E">
            <w:pPr>
              <w:widowControl w:val="0"/>
              <w:rPr>
                <w:rFonts w:cs="Times New Roman"/>
                <w:sz w:val="22"/>
                <w:szCs w:val="22"/>
              </w:rPr>
            </w:pPr>
            <w:r w:rsidRPr="001C739E">
              <w:rPr>
                <w:rFonts w:cs="Times New Roman"/>
                <w:sz w:val="22"/>
                <w:szCs w:val="22"/>
              </w:rPr>
              <w:lastRenderedPageBreak/>
              <w:t>Systems and Structural Issues</w:t>
            </w:r>
          </w:p>
        </w:tc>
        <w:tc>
          <w:tcPr>
            <w:tcW w:w="2525" w:type="pct"/>
            <w:tcMar>
              <w:top w:w="0" w:type="dxa"/>
              <w:left w:w="40" w:type="dxa"/>
              <w:bottom w:w="0" w:type="dxa"/>
              <w:right w:w="40" w:type="dxa"/>
            </w:tcMar>
          </w:tcPr>
          <w:p w14:paraId="2EA7670F" w14:textId="35EA6660" w:rsidR="00C3597E" w:rsidRPr="001C739E" w:rsidRDefault="00C3597E" w:rsidP="001C739E">
            <w:pPr>
              <w:widowControl w:val="0"/>
              <w:rPr>
                <w:rFonts w:cs="Times New Roman"/>
                <w:sz w:val="22"/>
                <w:szCs w:val="22"/>
              </w:rPr>
            </w:pPr>
            <w:r w:rsidRPr="001C739E">
              <w:rPr>
                <w:rFonts w:eastAsia="Calibri" w:cs="Times New Roman"/>
                <w:sz w:val="22"/>
                <w:szCs w:val="22"/>
              </w:rPr>
              <w:t>The participant mentions insidious norms that permeate every level of society. This category involves non</w:t>
            </w:r>
            <w:r w:rsidR="008B1B47" w:rsidRPr="001C739E">
              <w:rPr>
                <w:rFonts w:eastAsia="Calibri" w:cs="Times New Roman"/>
                <w:sz w:val="22"/>
                <w:szCs w:val="22"/>
              </w:rPr>
              <w:t>-</w:t>
            </w:r>
            <w:r w:rsidRPr="001C739E">
              <w:rPr>
                <w:rFonts w:eastAsia="Calibri" w:cs="Times New Roman"/>
                <w:sz w:val="22"/>
                <w:szCs w:val="22"/>
              </w:rPr>
              <w:t>inclusive worldviews that impact the systems in which TNB people live. Impacted institutions may be physical and/or ideological and extend to religion, politics, media, education, and other spheres.</w:t>
            </w:r>
          </w:p>
        </w:tc>
        <w:tc>
          <w:tcPr>
            <w:tcW w:w="825" w:type="pct"/>
            <w:tcMar>
              <w:top w:w="0" w:type="dxa"/>
              <w:left w:w="40" w:type="dxa"/>
              <w:bottom w:w="0" w:type="dxa"/>
              <w:right w:w="40" w:type="dxa"/>
            </w:tcMar>
            <w:vAlign w:val="center"/>
          </w:tcPr>
          <w:p w14:paraId="5FF07798" w14:textId="3EF3E9A6" w:rsidR="00C3597E" w:rsidRPr="001C739E" w:rsidRDefault="001C739E" w:rsidP="001C739E">
            <w:pPr>
              <w:widowControl w:val="0"/>
              <w:jc w:val="center"/>
              <w:rPr>
                <w:rFonts w:cs="Times New Roman"/>
                <w:sz w:val="22"/>
                <w:szCs w:val="22"/>
              </w:rPr>
            </w:pPr>
            <w:r>
              <w:rPr>
                <w:rFonts w:cs="Times New Roman"/>
                <w:i/>
                <w:iCs/>
                <w:sz w:val="22"/>
                <w:szCs w:val="22"/>
              </w:rPr>
              <w:t>n</w:t>
            </w:r>
            <w:r w:rsidR="00C3597E" w:rsidRPr="001C739E">
              <w:rPr>
                <w:rFonts w:cs="Times New Roman"/>
                <w:i/>
                <w:iCs/>
                <w:sz w:val="22"/>
                <w:szCs w:val="22"/>
              </w:rPr>
              <w:t xml:space="preserve"> = </w:t>
            </w:r>
            <w:r w:rsidR="00C3597E" w:rsidRPr="001C739E">
              <w:rPr>
                <w:rFonts w:cs="Times New Roman"/>
                <w:sz w:val="22"/>
                <w:szCs w:val="22"/>
              </w:rPr>
              <w:t>28, 20.29%</w:t>
            </w:r>
          </w:p>
        </w:tc>
        <w:tc>
          <w:tcPr>
            <w:tcW w:w="825" w:type="pct"/>
            <w:tcMar>
              <w:top w:w="0" w:type="dxa"/>
              <w:left w:w="40" w:type="dxa"/>
              <w:bottom w:w="0" w:type="dxa"/>
              <w:right w:w="40" w:type="dxa"/>
            </w:tcMar>
            <w:vAlign w:val="center"/>
          </w:tcPr>
          <w:p w14:paraId="2728F755" w14:textId="2557E4FA" w:rsidR="00C3597E" w:rsidRPr="001C739E" w:rsidRDefault="001C739E" w:rsidP="001C739E">
            <w:pPr>
              <w:widowControl w:val="0"/>
              <w:jc w:val="center"/>
              <w:rPr>
                <w:rFonts w:cs="Times New Roman"/>
                <w:sz w:val="22"/>
                <w:szCs w:val="22"/>
              </w:rPr>
            </w:pPr>
            <w:r>
              <w:rPr>
                <w:rFonts w:cs="Times New Roman"/>
                <w:i/>
                <w:iCs/>
                <w:sz w:val="22"/>
                <w:szCs w:val="22"/>
              </w:rPr>
              <w:t>n</w:t>
            </w:r>
            <w:r w:rsidR="00C3597E" w:rsidRPr="001C739E">
              <w:rPr>
                <w:rFonts w:cs="Times New Roman"/>
                <w:i/>
                <w:iCs/>
                <w:sz w:val="22"/>
                <w:szCs w:val="22"/>
              </w:rPr>
              <w:t xml:space="preserve"> = </w:t>
            </w:r>
            <w:r w:rsidR="00C3597E" w:rsidRPr="001C739E">
              <w:rPr>
                <w:rFonts w:cs="Times New Roman"/>
                <w:sz w:val="22"/>
                <w:szCs w:val="22"/>
              </w:rPr>
              <w:t>42, 19.18%</w:t>
            </w:r>
          </w:p>
        </w:tc>
      </w:tr>
      <w:tr w:rsidR="00C3597E" w:rsidRPr="001C739E" w14:paraId="5EE314AC" w14:textId="77777777" w:rsidTr="001C739E">
        <w:trPr>
          <w:trHeight w:val="2145"/>
        </w:trPr>
        <w:tc>
          <w:tcPr>
            <w:tcW w:w="825" w:type="pct"/>
            <w:tcMar>
              <w:top w:w="0" w:type="dxa"/>
              <w:left w:w="40" w:type="dxa"/>
              <w:bottom w:w="0" w:type="dxa"/>
              <w:right w:w="40" w:type="dxa"/>
            </w:tcMar>
          </w:tcPr>
          <w:p w14:paraId="05AFF7DB" w14:textId="77777777" w:rsidR="00C3597E" w:rsidRPr="001C739E" w:rsidRDefault="00C3597E" w:rsidP="001C739E">
            <w:pPr>
              <w:widowControl w:val="0"/>
              <w:rPr>
                <w:rFonts w:cs="Times New Roman"/>
                <w:sz w:val="22"/>
                <w:szCs w:val="22"/>
              </w:rPr>
            </w:pPr>
            <w:r w:rsidRPr="001C739E">
              <w:rPr>
                <w:rFonts w:cs="Times New Roman"/>
                <w:sz w:val="22"/>
                <w:szCs w:val="22"/>
              </w:rPr>
              <w:t>Transition Care (from Healthcare)</w:t>
            </w:r>
          </w:p>
        </w:tc>
        <w:tc>
          <w:tcPr>
            <w:tcW w:w="2525" w:type="pct"/>
            <w:tcMar>
              <w:top w:w="0" w:type="dxa"/>
              <w:left w:w="40" w:type="dxa"/>
              <w:bottom w:w="0" w:type="dxa"/>
              <w:right w:w="40" w:type="dxa"/>
            </w:tcMar>
          </w:tcPr>
          <w:p w14:paraId="4AC449B3" w14:textId="77777777" w:rsidR="00C3597E" w:rsidRPr="001C739E" w:rsidRDefault="00C3597E" w:rsidP="001C739E">
            <w:pPr>
              <w:widowControl w:val="0"/>
              <w:rPr>
                <w:rFonts w:cs="Times New Roman"/>
                <w:sz w:val="22"/>
                <w:szCs w:val="22"/>
              </w:rPr>
            </w:pPr>
            <w:r w:rsidRPr="001C739E">
              <w:rPr>
                <w:rFonts w:eastAsia="Calibri" w:cs="Times New Roman"/>
                <w:sz w:val="22"/>
                <w:szCs w:val="22"/>
              </w:rPr>
              <w:t xml:space="preserve">The participant describes interactions with the medical system. These interactions may be with providers, facilities, or health insurance companies. Participants report lack of access (because of distance and other factors), lack of inclusive services, cost </w:t>
            </w:r>
            <w:proofErr w:type="spellStart"/>
            <w:r w:rsidRPr="001C739E">
              <w:rPr>
                <w:rFonts w:eastAsia="Calibri" w:cs="Times New Roman"/>
                <w:sz w:val="22"/>
                <w:szCs w:val="22"/>
              </w:rPr>
              <w:t>prohibitiveness</w:t>
            </w:r>
            <w:proofErr w:type="spellEnd"/>
            <w:r w:rsidRPr="001C739E">
              <w:rPr>
                <w:rFonts w:eastAsia="Calibri" w:cs="Times New Roman"/>
                <w:sz w:val="22"/>
                <w:szCs w:val="22"/>
              </w:rPr>
              <w:t>, lack of knowledge among health care providers, and lack of insurance coverage. Includes access and lack of access to social (includes clothing, makeup, hair, etc.) and medical transition needs.</w:t>
            </w:r>
          </w:p>
        </w:tc>
        <w:tc>
          <w:tcPr>
            <w:tcW w:w="825" w:type="pct"/>
            <w:tcMar>
              <w:top w:w="0" w:type="dxa"/>
              <w:left w:w="40" w:type="dxa"/>
              <w:bottom w:w="0" w:type="dxa"/>
              <w:right w:w="40" w:type="dxa"/>
            </w:tcMar>
            <w:vAlign w:val="center"/>
          </w:tcPr>
          <w:p w14:paraId="45C51251" w14:textId="6682BBC9" w:rsidR="00C3597E" w:rsidRPr="001C739E" w:rsidRDefault="001C739E" w:rsidP="001C739E">
            <w:pPr>
              <w:widowControl w:val="0"/>
              <w:jc w:val="center"/>
              <w:rPr>
                <w:rFonts w:cs="Times New Roman"/>
                <w:sz w:val="22"/>
                <w:szCs w:val="22"/>
              </w:rPr>
            </w:pPr>
            <w:r>
              <w:rPr>
                <w:rFonts w:cs="Times New Roman"/>
                <w:i/>
                <w:iCs/>
                <w:sz w:val="22"/>
                <w:szCs w:val="22"/>
              </w:rPr>
              <w:t>n</w:t>
            </w:r>
            <w:r w:rsidR="00C3597E" w:rsidRPr="001C739E">
              <w:rPr>
                <w:rFonts w:cs="Times New Roman"/>
                <w:i/>
                <w:iCs/>
                <w:sz w:val="22"/>
                <w:szCs w:val="22"/>
              </w:rPr>
              <w:t xml:space="preserve"> = </w:t>
            </w:r>
            <w:r w:rsidR="00C3597E" w:rsidRPr="001C739E">
              <w:rPr>
                <w:rFonts w:cs="Times New Roman"/>
                <w:sz w:val="22"/>
                <w:szCs w:val="22"/>
              </w:rPr>
              <w:t>8, 5.80%</w:t>
            </w:r>
          </w:p>
        </w:tc>
        <w:tc>
          <w:tcPr>
            <w:tcW w:w="825" w:type="pct"/>
            <w:tcMar>
              <w:top w:w="0" w:type="dxa"/>
              <w:left w:w="40" w:type="dxa"/>
              <w:bottom w:w="0" w:type="dxa"/>
              <w:right w:w="40" w:type="dxa"/>
            </w:tcMar>
            <w:vAlign w:val="center"/>
          </w:tcPr>
          <w:p w14:paraId="345C9594" w14:textId="0DFF8AE8" w:rsidR="00C3597E" w:rsidRPr="001C739E" w:rsidRDefault="001C739E" w:rsidP="001C739E">
            <w:pPr>
              <w:widowControl w:val="0"/>
              <w:jc w:val="center"/>
              <w:rPr>
                <w:rFonts w:cs="Times New Roman"/>
                <w:sz w:val="22"/>
                <w:szCs w:val="22"/>
              </w:rPr>
            </w:pPr>
            <w:r>
              <w:rPr>
                <w:rFonts w:cs="Times New Roman"/>
                <w:i/>
                <w:iCs/>
                <w:sz w:val="22"/>
                <w:szCs w:val="22"/>
              </w:rPr>
              <w:t>n</w:t>
            </w:r>
            <w:r w:rsidR="00C3597E" w:rsidRPr="001C739E">
              <w:rPr>
                <w:rFonts w:cs="Times New Roman"/>
                <w:i/>
                <w:iCs/>
                <w:sz w:val="22"/>
                <w:szCs w:val="22"/>
              </w:rPr>
              <w:t xml:space="preserve"> = </w:t>
            </w:r>
            <w:r w:rsidR="00C3597E" w:rsidRPr="001C739E">
              <w:rPr>
                <w:rFonts w:cs="Times New Roman"/>
                <w:sz w:val="22"/>
                <w:szCs w:val="22"/>
              </w:rPr>
              <w:t>34, 15.53%</w:t>
            </w:r>
          </w:p>
        </w:tc>
      </w:tr>
      <w:tr w:rsidR="00C3597E" w:rsidRPr="001C739E" w14:paraId="51F208EF" w14:textId="77777777" w:rsidTr="001C739E">
        <w:trPr>
          <w:trHeight w:val="1596"/>
        </w:trPr>
        <w:tc>
          <w:tcPr>
            <w:tcW w:w="825" w:type="pct"/>
            <w:tcMar>
              <w:top w:w="0" w:type="dxa"/>
              <w:left w:w="40" w:type="dxa"/>
              <w:bottom w:w="0" w:type="dxa"/>
              <w:right w:w="40" w:type="dxa"/>
            </w:tcMar>
          </w:tcPr>
          <w:p w14:paraId="489CF662" w14:textId="77777777" w:rsidR="00C3597E" w:rsidRPr="001C739E" w:rsidRDefault="00C3597E" w:rsidP="001C739E">
            <w:pPr>
              <w:widowControl w:val="0"/>
              <w:rPr>
                <w:rFonts w:cs="Times New Roman"/>
                <w:sz w:val="22"/>
                <w:szCs w:val="22"/>
              </w:rPr>
            </w:pPr>
            <w:r w:rsidRPr="001C739E">
              <w:rPr>
                <w:rFonts w:cs="Times New Roman"/>
                <w:sz w:val="22"/>
                <w:szCs w:val="22"/>
              </w:rPr>
              <w:t>Gender Congruence</w:t>
            </w:r>
          </w:p>
        </w:tc>
        <w:tc>
          <w:tcPr>
            <w:tcW w:w="2525" w:type="pct"/>
            <w:tcMar>
              <w:top w:w="0" w:type="dxa"/>
              <w:left w:w="40" w:type="dxa"/>
              <w:bottom w:w="0" w:type="dxa"/>
              <w:right w:w="40" w:type="dxa"/>
            </w:tcMar>
          </w:tcPr>
          <w:p w14:paraId="48A4D6A8" w14:textId="77777777" w:rsidR="00C3597E" w:rsidRPr="001C739E" w:rsidRDefault="00C3597E" w:rsidP="001C739E">
            <w:pPr>
              <w:widowControl w:val="0"/>
              <w:rPr>
                <w:rFonts w:cs="Times New Roman"/>
                <w:sz w:val="22"/>
                <w:szCs w:val="22"/>
              </w:rPr>
            </w:pPr>
            <w:r w:rsidRPr="001C739E">
              <w:rPr>
                <w:rFonts w:eastAsia="Calibri" w:cs="Times New Roman"/>
                <w:sz w:val="22"/>
                <w:szCs w:val="22"/>
              </w:rPr>
              <w:t>Participants talk about experiences of body dysphoria and/or dysphoria that results from direct interactions with strangers and/or acquaintances. This may include talking (on the phone and elsewhere), low self-confidence in interactions, and body dysphoria. Can include emotional and sexual intimacy.</w:t>
            </w:r>
          </w:p>
        </w:tc>
        <w:tc>
          <w:tcPr>
            <w:tcW w:w="825" w:type="pct"/>
            <w:tcMar>
              <w:top w:w="0" w:type="dxa"/>
              <w:left w:w="40" w:type="dxa"/>
              <w:bottom w:w="0" w:type="dxa"/>
              <w:right w:w="40" w:type="dxa"/>
            </w:tcMar>
            <w:vAlign w:val="center"/>
          </w:tcPr>
          <w:p w14:paraId="5E45182E" w14:textId="65EAF3EE" w:rsidR="00C3597E" w:rsidRPr="001C739E" w:rsidRDefault="001C739E" w:rsidP="001C739E">
            <w:pPr>
              <w:widowControl w:val="0"/>
              <w:jc w:val="center"/>
              <w:rPr>
                <w:rFonts w:cs="Times New Roman"/>
                <w:sz w:val="22"/>
                <w:szCs w:val="22"/>
              </w:rPr>
            </w:pPr>
            <w:r>
              <w:rPr>
                <w:rFonts w:cs="Times New Roman"/>
                <w:i/>
                <w:iCs/>
                <w:sz w:val="22"/>
                <w:szCs w:val="22"/>
              </w:rPr>
              <w:t>n</w:t>
            </w:r>
            <w:r w:rsidR="00C3597E" w:rsidRPr="001C739E">
              <w:rPr>
                <w:rFonts w:cs="Times New Roman"/>
                <w:i/>
                <w:iCs/>
                <w:sz w:val="22"/>
                <w:szCs w:val="22"/>
              </w:rPr>
              <w:t xml:space="preserve"> = </w:t>
            </w:r>
            <w:r w:rsidR="00C3597E" w:rsidRPr="001C739E">
              <w:rPr>
                <w:rFonts w:cs="Times New Roman"/>
                <w:sz w:val="22"/>
                <w:szCs w:val="22"/>
              </w:rPr>
              <w:t>53, 38.41%</w:t>
            </w:r>
          </w:p>
        </w:tc>
        <w:tc>
          <w:tcPr>
            <w:tcW w:w="825" w:type="pct"/>
            <w:tcMar>
              <w:top w:w="0" w:type="dxa"/>
              <w:left w:w="40" w:type="dxa"/>
              <w:bottom w:w="0" w:type="dxa"/>
              <w:right w:w="40" w:type="dxa"/>
            </w:tcMar>
            <w:vAlign w:val="center"/>
          </w:tcPr>
          <w:p w14:paraId="1BBD8DB5" w14:textId="0D275FF3" w:rsidR="00C3597E" w:rsidRPr="001C739E" w:rsidRDefault="001C739E" w:rsidP="001C739E">
            <w:pPr>
              <w:widowControl w:val="0"/>
              <w:jc w:val="center"/>
              <w:rPr>
                <w:rFonts w:cs="Times New Roman"/>
                <w:sz w:val="22"/>
                <w:szCs w:val="22"/>
              </w:rPr>
            </w:pPr>
            <w:r>
              <w:rPr>
                <w:rFonts w:cs="Times New Roman"/>
                <w:i/>
                <w:iCs/>
                <w:sz w:val="22"/>
                <w:szCs w:val="22"/>
              </w:rPr>
              <w:t>n</w:t>
            </w:r>
            <w:r w:rsidR="00C3597E" w:rsidRPr="001C739E">
              <w:rPr>
                <w:rFonts w:cs="Times New Roman"/>
                <w:i/>
                <w:iCs/>
                <w:sz w:val="22"/>
                <w:szCs w:val="22"/>
              </w:rPr>
              <w:t xml:space="preserve"> = </w:t>
            </w:r>
            <w:r w:rsidR="00C3597E" w:rsidRPr="001C739E">
              <w:rPr>
                <w:rFonts w:cs="Times New Roman"/>
                <w:sz w:val="22"/>
                <w:szCs w:val="22"/>
              </w:rPr>
              <w:t>88, 40.18%</w:t>
            </w:r>
          </w:p>
        </w:tc>
      </w:tr>
      <w:tr w:rsidR="00C3597E" w:rsidRPr="001C739E" w14:paraId="399F3E9F" w14:textId="77777777" w:rsidTr="001C739E">
        <w:trPr>
          <w:trHeight w:val="1155"/>
        </w:trPr>
        <w:tc>
          <w:tcPr>
            <w:tcW w:w="825" w:type="pct"/>
            <w:tcMar>
              <w:top w:w="0" w:type="dxa"/>
              <w:left w:w="40" w:type="dxa"/>
              <w:bottom w:w="0" w:type="dxa"/>
              <w:right w:w="40" w:type="dxa"/>
            </w:tcMar>
          </w:tcPr>
          <w:p w14:paraId="4D4D8ACC" w14:textId="77777777" w:rsidR="00C3597E" w:rsidRPr="001C739E" w:rsidRDefault="00C3597E" w:rsidP="001C739E">
            <w:pPr>
              <w:widowControl w:val="0"/>
              <w:rPr>
                <w:rFonts w:cs="Times New Roman"/>
                <w:sz w:val="22"/>
                <w:szCs w:val="22"/>
              </w:rPr>
            </w:pPr>
            <w:r w:rsidRPr="001C739E">
              <w:rPr>
                <w:rFonts w:cs="Times New Roman"/>
                <w:sz w:val="22"/>
                <w:szCs w:val="22"/>
              </w:rPr>
              <w:t>Close Relationships</w:t>
            </w:r>
          </w:p>
        </w:tc>
        <w:tc>
          <w:tcPr>
            <w:tcW w:w="2525" w:type="pct"/>
            <w:tcMar>
              <w:top w:w="0" w:type="dxa"/>
              <w:left w:w="40" w:type="dxa"/>
              <w:bottom w:w="0" w:type="dxa"/>
              <w:right w:w="40" w:type="dxa"/>
            </w:tcMar>
          </w:tcPr>
          <w:p w14:paraId="32D28303" w14:textId="77777777" w:rsidR="00C3597E" w:rsidRPr="001C739E" w:rsidRDefault="00C3597E" w:rsidP="001C739E">
            <w:pPr>
              <w:widowControl w:val="0"/>
              <w:rPr>
                <w:rFonts w:cs="Times New Roman"/>
                <w:sz w:val="22"/>
                <w:szCs w:val="22"/>
              </w:rPr>
            </w:pPr>
            <w:r w:rsidRPr="001C739E">
              <w:rPr>
                <w:rFonts w:eastAsia="Calibri" w:cs="Times New Roman"/>
                <w:sz w:val="22"/>
                <w:szCs w:val="22"/>
              </w:rPr>
              <w:t>Participants mention distress encountered in close relationships (e.g., family, friends, significant others) such as rejection, invalidation, etc.</w:t>
            </w:r>
          </w:p>
        </w:tc>
        <w:tc>
          <w:tcPr>
            <w:tcW w:w="825" w:type="pct"/>
            <w:tcMar>
              <w:top w:w="0" w:type="dxa"/>
              <w:left w:w="40" w:type="dxa"/>
              <w:bottom w:w="0" w:type="dxa"/>
              <w:right w:w="40" w:type="dxa"/>
            </w:tcMar>
            <w:vAlign w:val="center"/>
          </w:tcPr>
          <w:p w14:paraId="1B2BD10D" w14:textId="78C84847" w:rsidR="00C3597E" w:rsidRPr="001C739E" w:rsidRDefault="001C739E" w:rsidP="001C739E">
            <w:pPr>
              <w:widowControl w:val="0"/>
              <w:jc w:val="center"/>
              <w:rPr>
                <w:rFonts w:cs="Times New Roman"/>
                <w:sz w:val="22"/>
                <w:szCs w:val="22"/>
              </w:rPr>
            </w:pPr>
            <w:r>
              <w:rPr>
                <w:rFonts w:cs="Times New Roman"/>
                <w:i/>
                <w:iCs/>
                <w:sz w:val="22"/>
                <w:szCs w:val="22"/>
              </w:rPr>
              <w:t>n</w:t>
            </w:r>
            <w:r w:rsidR="00C3597E" w:rsidRPr="001C739E">
              <w:rPr>
                <w:rFonts w:cs="Times New Roman"/>
                <w:i/>
                <w:iCs/>
                <w:sz w:val="22"/>
                <w:szCs w:val="22"/>
              </w:rPr>
              <w:t xml:space="preserve"> = </w:t>
            </w:r>
            <w:r w:rsidR="00C3597E" w:rsidRPr="001C739E">
              <w:rPr>
                <w:rFonts w:cs="Times New Roman"/>
                <w:sz w:val="22"/>
                <w:szCs w:val="22"/>
              </w:rPr>
              <w:t>12, 8.70%</w:t>
            </w:r>
          </w:p>
        </w:tc>
        <w:tc>
          <w:tcPr>
            <w:tcW w:w="825" w:type="pct"/>
            <w:tcMar>
              <w:top w:w="0" w:type="dxa"/>
              <w:left w:w="40" w:type="dxa"/>
              <w:bottom w:w="0" w:type="dxa"/>
              <w:right w:w="40" w:type="dxa"/>
            </w:tcMar>
            <w:vAlign w:val="center"/>
          </w:tcPr>
          <w:p w14:paraId="7AFF925F" w14:textId="1B9BAF88" w:rsidR="00C3597E" w:rsidRPr="001C739E" w:rsidRDefault="001C739E" w:rsidP="001C739E">
            <w:pPr>
              <w:widowControl w:val="0"/>
              <w:jc w:val="center"/>
              <w:rPr>
                <w:rFonts w:cs="Times New Roman"/>
                <w:sz w:val="22"/>
                <w:szCs w:val="22"/>
              </w:rPr>
            </w:pPr>
            <w:r>
              <w:rPr>
                <w:rFonts w:cs="Times New Roman"/>
                <w:i/>
                <w:iCs/>
                <w:sz w:val="22"/>
                <w:szCs w:val="22"/>
              </w:rPr>
              <w:t>n</w:t>
            </w:r>
            <w:r w:rsidR="00C3597E" w:rsidRPr="001C739E">
              <w:rPr>
                <w:rFonts w:cs="Times New Roman"/>
                <w:i/>
                <w:iCs/>
                <w:sz w:val="22"/>
                <w:szCs w:val="22"/>
              </w:rPr>
              <w:t xml:space="preserve"> = </w:t>
            </w:r>
            <w:r w:rsidR="00C3597E" w:rsidRPr="001C739E">
              <w:rPr>
                <w:rFonts w:cs="Times New Roman"/>
                <w:sz w:val="22"/>
                <w:szCs w:val="22"/>
              </w:rPr>
              <w:t>22, 10.05%</w:t>
            </w:r>
          </w:p>
        </w:tc>
      </w:tr>
      <w:tr w:rsidR="00C3597E" w:rsidRPr="001C739E" w14:paraId="57FF37A4" w14:textId="77777777" w:rsidTr="001C739E">
        <w:trPr>
          <w:trHeight w:val="714"/>
        </w:trPr>
        <w:tc>
          <w:tcPr>
            <w:tcW w:w="825" w:type="pct"/>
            <w:tcMar>
              <w:top w:w="0" w:type="dxa"/>
              <w:left w:w="40" w:type="dxa"/>
              <w:bottom w:w="0" w:type="dxa"/>
              <w:right w:w="40" w:type="dxa"/>
            </w:tcMar>
          </w:tcPr>
          <w:p w14:paraId="2D323A32" w14:textId="77777777" w:rsidR="00C3597E" w:rsidRPr="001C739E" w:rsidRDefault="00C3597E" w:rsidP="001C739E">
            <w:pPr>
              <w:widowControl w:val="0"/>
              <w:rPr>
                <w:rFonts w:cs="Times New Roman"/>
                <w:sz w:val="22"/>
                <w:szCs w:val="22"/>
              </w:rPr>
            </w:pPr>
            <w:r w:rsidRPr="001C739E">
              <w:rPr>
                <w:rFonts w:cs="Times New Roman"/>
                <w:sz w:val="22"/>
                <w:szCs w:val="22"/>
              </w:rPr>
              <w:t>Pandemic Benefits</w:t>
            </w:r>
          </w:p>
        </w:tc>
        <w:tc>
          <w:tcPr>
            <w:tcW w:w="2525" w:type="pct"/>
            <w:tcMar>
              <w:top w:w="0" w:type="dxa"/>
              <w:left w:w="40" w:type="dxa"/>
              <w:bottom w:w="0" w:type="dxa"/>
              <w:right w:w="40" w:type="dxa"/>
            </w:tcMar>
          </w:tcPr>
          <w:p w14:paraId="7AEF613C" w14:textId="77777777" w:rsidR="00C3597E" w:rsidRPr="001C739E" w:rsidRDefault="00C3597E" w:rsidP="001C739E">
            <w:pPr>
              <w:widowControl w:val="0"/>
              <w:rPr>
                <w:rFonts w:cs="Times New Roman"/>
                <w:sz w:val="22"/>
                <w:szCs w:val="22"/>
              </w:rPr>
            </w:pPr>
            <w:r w:rsidRPr="001C739E">
              <w:rPr>
                <w:rFonts w:eastAsia="Calibri" w:cs="Times New Roman"/>
                <w:sz w:val="22"/>
                <w:szCs w:val="22"/>
              </w:rPr>
              <w:t>Any positive experience related to lockdown, quarantine, etc.</w:t>
            </w:r>
          </w:p>
        </w:tc>
        <w:tc>
          <w:tcPr>
            <w:tcW w:w="825" w:type="pct"/>
            <w:tcMar>
              <w:top w:w="0" w:type="dxa"/>
              <w:left w:w="40" w:type="dxa"/>
              <w:bottom w:w="0" w:type="dxa"/>
              <w:right w:w="40" w:type="dxa"/>
            </w:tcMar>
            <w:vAlign w:val="center"/>
          </w:tcPr>
          <w:p w14:paraId="10D43C3C" w14:textId="77777777" w:rsidR="00C3597E" w:rsidRPr="001C739E" w:rsidRDefault="00C3597E" w:rsidP="001C739E">
            <w:pPr>
              <w:widowControl w:val="0"/>
              <w:jc w:val="center"/>
              <w:rPr>
                <w:rFonts w:cs="Times New Roman"/>
                <w:sz w:val="22"/>
                <w:szCs w:val="22"/>
              </w:rPr>
            </w:pPr>
            <w:r w:rsidRPr="001C739E">
              <w:rPr>
                <w:rFonts w:cs="Times New Roman"/>
                <w:sz w:val="22"/>
                <w:szCs w:val="22"/>
              </w:rPr>
              <w:t>N/A</w:t>
            </w:r>
          </w:p>
        </w:tc>
        <w:tc>
          <w:tcPr>
            <w:tcW w:w="825" w:type="pct"/>
            <w:tcMar>
              <w:top w:w="0" w:type="dxa"/>
              <w:left w:w="40" w:type="dxa"/>
              <w:bottom w:w="0" w:type="dxa"/>
              <w:right w:w="40" w:type="dxa"/>
            </w:tcMar>
            <w:vAlign w:val="center"/>
          </w:tcPr>
          <w:p w14:paraId="39179015" w14:textId="28F8C620" w:rsidR="00C3597E" w:rsidRPr="001C739E" w:rsidRDefault="001C739E" w:rsidP="001C739E">
            <w:pPr>
              <w:widowControl w:val="0"/>
              <w:jc w:val="center"/>
              <w:rPr>
                <w:rFonts w:cs="Times New Roman"/>
                <w:sz w:val="22"/>
                <w:szCs w:val="22"/>
              </w:rPr>
            </w:pPr>
            <w:r>
              <w:rPr>
                <w:rFonts w:cs="Times New Roman"/>
                <w:i/>
                <w:iCs/>
                <w:sz w:val="22"/>
                <w:szCs w:val="22"/>
              </w:rPr>
              <w:t>n</w:t>
            </w:r>
            <w:r w:rsidR="00C3597E" w:rsidRPr="001C739E">
              <w:rPr>
                <w:rFonts w:cs="Times New Roman"/>
                <w:i/>
                <w:iCs/>
                <w:sz w:val="22"/>
                <w:szCs w:val="22"/>
              </w:rPr>
              <w:t xml:space="preserve"> = </w:t>
            </w:r>
            <w:r w:rsidR="00C3597E" w:rsidRPr="001C739E">
              <w:rPr>
                <w:rFonts w:cs="Times New Roman"/>
                <w:sz w:val="22"/>
                <w:szCs w:val="22"/>
              </w:rPr>
              <w:t>4, 1.83%</w:t>
            </w:r>
          </w:p>
        </w:tc>
      </w:tr>
      <w:tr w:rsidR="00C3597E" w:rsidRPr="001C739E" w14:paraId="692C233E" w14:textId="77777777" w:rsidTr="001C739E">
        <w:trPr>
          <w:trHeight w:val="795"/>
        </w:trPr>
        <w:tc>
          <w:tcPr>
            <w:tcW w:w="825" w:type="pct"/>
            <w:tcMar>
              <w:top w:w="0" w:type="dxa"/>
              <w:left w:w="40" w:type="dxa"/>
              <w:bottom w:w="0" w:type="dxa"/>
              <w:right w:w="40" w:type="dxa"/>
            </w:tcMar>
          </w:tcPr>
          <w:p w14:paraId="75066963" w14:textId="77777777" w:rsidR="00C3597E" w:rsidRPr="001C739E" w:rsidRDefault="00C3597E" w:rsidP="001C739E">
            <w:pPr>
              <w:widowControl w:val="0"/>
              <w:rPr>
                <w:rFonts w:cs="Times New Roman"/>
                <w:sz w:val="22"/>
                <w:szCs w:val="22"/>
              </w:rPr>
            </w:pPr>
            <w:r w:rsidRPr="001C739E">
              <w:rPr>
                <w:rFonts w:cs="Times New Roman"/>
                <w:sz w:val="22"/>
                <w:szCs w:val="22"/>
              </w:rPr>
              <w:t>Pandemic Detriments</w:t>
            </w:r>
          </w:p>
        </w:tc>
        <w:tc>
          <w:tcPr>
            <w:tcW w:w="2525" w:type="pct"/>
            <w:tcMar>
              <w:top w:w="0" w:type="dxa"/>
              <w:left w:w="40" w:type="dxa"/>
              <w:bottom w:w="0" w:type="dxa"/>
              <w:right w:w="40" w:type="dxa"/>
            </w:tcMar>
          </w:tcPr>
          <w:p w14:paraId="120600DD" w14:textId="77777777" w:rsidR="00C3597E" w:rsidRPr="001C739E" w:rsidRDefault="00C3597E" w:rsidP="001C739E">
            <w:pPr>
              <w:widowControl w:val="0"/>
              <w:rPr>
                <w:rFonts w:cs="Times New Roman"/>
                <w:sz w:val="22"/>
                <w:szCs w:val="22"/>
              </w:rPr>
            </w:pPr>
            <w:r w:rsidRPr="001C739E">
              <w:rPr>
                <w:rFonts w:eastAsia="Calibri" w:cs="Times New Roman"/>
                <w:sz w:val="22"/>
                <w:szCs w:val="22"/>
              </w:rPr>
              <w:t>Any negative experience related to lockdown, quarantine, etc.</w:t>
            </w:r>
          </w:p>
        </w:tc>
        <w:tc>
          <w:tcPr>
            <w:tcW w:w="825" w:type="pct"/>
            <w:tcMar>
              <w:top w:w="0" w:type="dxa"/>
              <w:left w:w="40" w:type="dxa"/>
              <w:bottom w:w="0" w:type="dxa"/>
              <w:right w:w="40" w:type="dxa"/>
            </w:tcMar>
            <w:vAlign w:val="center"/>
          </w:tcPr>
          <w:p w14:paraId="188FC413" w14:textId="77777777" w:rsidR="00C3597E" w:rsidRPr="001C739E" w:rsidRDefault="00C3597E" w:rsidP="001C739E">
            <w:pPr>
              <w:widowControl w:val="0"/>
              <w:jc w:val="center"/>
              <w:rPr>
                <w:rFonts w:cs="Times New Roman"/>
                <w:sz w:val="22"/>
                <w:szCs w:val="22"/>
              </w:rPr>
            </w:pPr>
            <w:r w:rsidRPr="001C739E">
              <w:rPr>
                <w:rFonts w:cs="Times New Roman"/>
                <w:sz w:val="22"/>
                <w:szCs w:val="22"/>
              </w:rPr>
              <w:t>N/A</w:t>
            </w:r>
          </w:p>
        </w:tc>
        <w:tc>
          <w:tcPr>
            <w:tcW w:w="825" w:type="pct"/>
            <w:tcMar>
              <w:top w:w="0" w:type="dxa"/>
              <w:left w:w="40" w:type="dxa"/>
              <w:bottom w:w="0" w:type="dxa"/>
              <w:right w:w="40" w:type="dxa"/>
            </w:tcMar>
            <w:vAlign w:val="center"/>
          </w:tcPr>
          <w:p w14:paraId="5E61CE17" w14:textId="409109C1" w:rsidR="00C3597E" w:rsidRPr="001C739E" w:rsidRDefault="001C739E" w:rsidP="001C739E">
            <w:pPr>
              <w:widowControl w:val="0"/>
              <w:jc w:val="center"/>
              <w:rPr>
                <w:rFonts w:cs="Times New Roman"/>
                <w:sz w:val="22"/>
                <w:szCs w:val="22"/>
              </w:rPr>
            </w:pPr>
            <w:r>
              <w:rPr>
                <w:rFonts w:cs="Times New Roman"/>
                <w:i/>
                <w:iCs/>
                <w:sz w:val="22"/>
                <w:szCs w:val="22"/>
              </w:rPr>
              <w:t>n</w:t>
            </w:r>
            <w:r w:rsidR="00C3597E" w:rsidRPr="001C739E">
              <w:rPr>
                <w:rFonts w:cs="Times New Roman"/>
                <w:i/>
                <w:iCs/>
                <w:sz w:val="22"/>
                <w:szCs w:val="22"/>
              </w:rPr>
              <w:t xml:space="preserve"> = </w:t>
            </w:r>
            <w:r w:rsidR="00C3597E" w:rsidRPr="001C739E">
              <w:rPr>
                <w:rFonts w:cs="Times New Roman"/>
                <w:sz w:val="22"/>
                <w:szCs w:val="22"/>
              </w:rPr>
              <w:t>3, 1.37%</w:t>
            </w:r>
          </w:p>
        </w:tc>
      </w:tr>
      <w:tr w:rsidR="00C3597E" w:rsidRPr="001C739E" w14:paraId="4EF7DE6E" w14:textId="77777777" w:rsidTr="001C739E">
        <w:trPr>
          <w:trHeight w:val="675"/>
        </w:trPr>
        <w:tc>
          <w:tcPr>
            <w:tcW w:w="825" w:type="pct"/>
            <w:tcMar>
              <w:top w:w="0" w:type="dxa"/>
              <w:left w:w="40" w:type="dxa"/>
              <w:bottom w:w="0" w:type="dxa"/>
              <w:right w:w="40" w:type="dxa"/>
            </w:tcMar>
          </w:tcPr>
          <w:p w14:paraId="5D50E806" w14:textId="77777777" w:rsidR="00C3597E" w:rsidRPr="001C739E" w:rsidRDefault="00C3597E" w:rsidP="001C739E">
            <w:pPr>
              <w:widowControl w:val="0"/>
              <w:rPr>
                <w:rFonts w:cs="Times New Roman"/>
                <w:sz w:val="22"/>
                <w:szCs w:val="22"/>
              </w:rPr>
            </w:pPr>
            <w:r w:rsidRPr="001C739E">
              <w:rPr>
                <w:rFonts w:cs="Times New Roman"/>
                <w:sz w:val="22"/>
                <w:szCs w:val="22"/>
              </w:rPr>
              <w:t>Other:</w:t>
            </w:r>
          </w:p>
        </w:tc>
        <w:tc>
          <w:tcPr>
            <w:tcW w:w="2525" w:type="pct"/>
            <w:tcMar>
              <w:top w:w="0" w:type="dxa"/>
              <w:left w:w="40" w:type="dxa"/>
              <w:bottom w:w="0" w:type="dxa"/>
              <w:right w:w="40" w:type="dxa"/>
            </w:tcMar>
          </w:tcPr>
          <w:p w14:paraId="03E21A9B" w14:textId="77777777" w:rsidR="00C3597E" w:rsidRPr="001C739E" w:rsidRDefault="00C3597E" w:rsidP="001C739E">
            <w:pPr>
              <w:widowControl w:val="0"/>
              <w:rPr>
                <w:rFonts w:cs="Times New Roman"/>
                <w:sz w:val="22"/>
                <w:szCs w:val="22"/>
              </w:rPr>
            </w:pPr>
            <w:r w:rsidRPr="001C739E">
              <w:rPr>
                <w:rFonts w:cs="Times New Roman"/>
                <w:sz w:val="22"/>
                <w:szCs w:val="22"/>
              </w:rPr>
              <w:t>Any content that did not fit into existing categories, but that was indexed for later consideration.</w:t>
            </w:r>
          </w:p>
        </w:tc>
        <w:tc>
          <w:tcPr>
            <w:tcW w:w="825" w:type="pct"/>
            <w:tcMar>
              <w:top w:w="0" w:type="dxa"/>
              <w:left w:w="40" w:type="dxa"/>
              <w:bottom w:w="0" w:type="dxa"/>
              <w:right w:w="40" w:type="dxa"/>
            </w:tcMar>
            <w:vAlign w:val="center"/>
          </w:tcPr>
          <w:p w14:paraId="09E7FDFD" w14:textId="1BCFD74C" w:rsidR="00C3597E" w:rsidRPr="001C739E" w:rsidRDefault="001C739E" w:rsidP="001C739E">
            <w:pPr>
              <w:widowControl w:val="0"/>
              <w:jc w:val="center"/>
              <w:rPr>
                <w:rFonts w:cs="Times New Roman"/>
                <w:sz w:val="22"/>
                <w:szCs w:val="22"/>
              </w:rPr>
            </w:pPr>
            <w:r>
              <w:rPr>
                <w:rFonts w:cs="Times New Roman"/>
                <w:i/>
                <w:iCs/>
                <w:sz w:val="22"/>
                <w:szCs w:val="22"/>
              </w:rPr>
              <w:t>n</w:t>
            </w:r>
            <w:r w:rsidR="00C3597E" w:rsidRPr="001C739E">
              <w:rPr>
                <w:rFonts w:cs="Times New Roman"/>
                <w:i/>
                <w:iCs/>
                <w:sz w:val="22"/>
                <w:szCs w:val="22"/>
              </w:rPr>
              <w:t xml:space="preserve"> = </w:t>
            </w:r>
            <w:r w:rsidR="00C3597E" w:rsidRPr="001C739E">
              <w:rPr>
                <w:rFonts w:cs="Times New Roman"/>
                <w:sz w:val="22"/>
                <w:szCs w:val="22"/>
              </w:rPr>
              <w:t>22, 15.94%</w:t>
            </w:r>
          </w:p>
        </w:tc>
        <w:tc>
          <w:tcPr>
            <w:tcW w:w="825" w:type="pct"/>
            <w:tcMar>
              <w:top w:w="0" w:type="dxa"/>
              <w:left w:w="40" w:type="dxa"/>
              <w:bottom w:w="0" w:type="dxa"/>
              <w:right w:w="40" w:type="dxa"/>
            </w:tcMar>
            <w:vAlign w:val="center"/>
          </w:tcPr>
          <w:p w14:paraId="2407814B" w14:textId="3AE55C78" w:rsidR="00C3597E" w:rsidRPr="001C739E" w:rsidRDefault="001C739E" w:rsidP="001C739E">
            <w:pPr>
              <w:widowControl w:val="0"/>
              <w:jc w:val="center"/>
              <w:rPr>
                <w:rFonts w:cs="Times New Roman"/>
                <w:sz w:val="22"/>
                <w:szCs w:val="22"/>
              </w:rPr>
            </w:pPr>
            <w:r>
              <w:rPr>
                <w:rFonts w:cs="Times New Roman"/>
                <w:i/>
                <w:iCs/>
                <w:sz w:val="22"/>
                <w:szCs w:val="22"/>
              </w:rPr>
              <w:t>n</w:t>
            </w:r>
            <w:r w:rsidR="00C3597E" w:rsidRPr="001C739E">
              <w:rPr>
                <w:rFonts w:cs="Times New Roman"/>
                <w:i/>
                <w:iCs/>
                <w:sz w:val="22"/>
                <w:szCs w:val="22"/>
              </w:rPr>
              <w:t xml:space="preserve"> = </w:t>
            </w:r>
            <w:r w:rsidR="00C3597E" w:rsidRPr="001C739E">
              <w:rPr>
                <w:rFonts w:cs="Times New Roman"/>
                <w:sz w:val="22"/>
                <w:szCs w:val="22"/>
              </w:rPr>
              <w:t>8, 3.65%</w:t>
            </w:r>
          </w:p>
        </w:tc>
      </w:tr>
    </w:tbl>
    <w:p w14:paraId="161D070B" w14:textId="425C17F5" w:rsidR="00B8656D" w:rsidRPr="001C739E" w:rsidRDefault="00B8656D" w:rsidP="001C739E">
      <w:pPr>
        <w:pBdr>
          <w:top w:val="single" w:sz="4" w:space="1" w:color="auto"/>
        </w:pBdr>
        <w:rPr>
          <w:rFonts w:eastAsia="Times New Roman" w:cs="Times New Roman"/>
          <w:sz w:val="22"/>
          <w:szCs w:val="22"/>
        </w:rPr>
      </w:pPr>
      <w:r w:rsidRPr="001C739E">
        <w:rPr>
          <w:rFonts w:eastAsia="Times New Roman" w:cs="Times New Roman"/>
          <w:i/>
          <w:iCs/>
          <w:color w:val="000000"/>
          <w:sz w:val="22"/>
          <w:szCs w:val="22"/>
        </w:rPr>
        <w:t>Note</w:t>
      </w:r>
      <w:r w:rsidR="008B1B47" w:rsidRPr="001C739E">
        <w:rPr>
          <w:rFonts w:eastAsia="Times New Roman" w:cs="Times New Roman"/>
          <w:color w:val="000000"/>
          <w:sz w:val="22"/>
          <w:szCs w:val="22"/>
        </w:rPr>
        <w:t>.</w:t>
      </w:r>
      <w:r w:rsidRPr="001C739E">
        <w:rPr>
          <w:rFonts w:eastAsia="Times New Roman" w:cs="Times New Roman"/>
          <w:color w:val="000000"/>
          <w:sz w:val="22"/>
          <w:szCs w:val="22"/>
        </w:rPr>
        <w:t xml:space="preserve"> AMAB = assigned male at birth; GNC = gender nonconforming; TNB = transgender and nonbinary; HRT = hormone replacement therapy</w:t>
      </w:r>
    </w:p>
    <w:bookmarkEnd w:id="5"/>
    <w:p w14:paraId="0E58A11A" w14:textId="2C58183D" w:rsidR="00BB69AF" w:rsidRPr="00BB69AF" w:rsidRDefault="00BB69AF" w:rsidP="00BB69AF">
      <w:pPr>
        <w:spacing w:line="480" w:lineRule="auto"/>
      </w:pPr>
    </w:p>
    <w:sectPr w:rsidR="00BB69AF" w:rsidRPr="00BB69AF" w:rsidSect="0037064B">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979D8" w14:textId="77777777" w:rsidR="00752BBF" w:rsidRDefault="00752BBF">
      <w:r>
        <w:separator/>
      </w:r>
    </w:p>
  </w:endnote>
  <w:endnote w:type="continuationSeparator" w:id="0">
    <w:p w14:paraId="08823C67" w14:textId="77777777" w:rsidR="00752BBF" w:rsidRDefault="00752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MinionPro-Regular">
    <w:panose1 w:val="020B0604020202020204"/>
    <w:charset w:val="4D"/>
    <w:family w:val="auto"/>
    <w:pitch w:val="default"/>
    <w:sig w:usb0="00000003" w:usb1="00000000" w:usb2="00000000" w:usb3="00000000" w:csb0="00000001" w:csb1="00000000"/>
  </w:font>
  <w:font w:name="AlegreyaRoman-Regular">
    <w:altName w:val="Calibri"/>
    <w:panose1 w:val="020B0604020202020204"/>
    <w:charset w:val="4D"/>
    <w:family w:val="auto"/>
    <w:notTrueType/>
    <w:pitch w:val="default"/>
    <w:sig w:usb0="00000003" w:usb1="00000000" w:usb2="00000000" w:usb3="00000000" w:csb0="00000001" w:csb1="00000000"/>
  </w:font>
  <w:font w:name="Alegreya">
    <w:altName w:val="Calibri"/>
    <w:panose1 w:val="00000500000000000000"/>
    <w:charset w:val="4D"/>
    <w:family w:val="auto"/>
    <w:pitch w:val="default"/>
    <w:sig w:usb0="00000003" w:usb1="00000000" w:usb2="00000000" w:usb3="00000000" w:csb0="00000001" w:csb1="00000000"/>
  </w:font>
  <w:font w:name="Alegreya Sans">
    <w:panose1 w:val="00000500000000000000"/>
    <w:charset w:val="00"/>
    <w:family w:val="auto"/>
    <w:pitch w:val="variable"/>
    <w:sig w:usb0="6000028F"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7E8B8" w14:textId="77777777" w:rsidR="00752BBF" w:rsidRDefault="00752BBF">
      <w:r>
        <w:separator/>
      </w:r>
    </w:p>
  </w:footnote>
  <w:footnote w:type="continuationSeparator" w:id="0">
    <w:p w14:paraId="7494E868" w14:textId="77777777" w:rsidR="00752BBF" w:rsidRDefault="00752BBF">
      <w:r>
        <w:continuationSeparator/>
      </w:r>
    </w:p>
  </w:footnote>
  <w:footnote w:id="1">
    <w:p w14:paraId="631B6498" w14:textId="49B4173D" w:rsidR="00814FD1" w:rsidRPr="00814FD1" w:rsidRDefault="00814FD1" w:rsidP="00814FD1">
      <w:pPr>
        <w:pStyle w:val="Footer"/>
      </w:pPr>
      <w:r w:rsidRPr="00814FD1">
        <w:rPr>
          <w:rStyle w:val="FootnoteReference"/>
        </w:rPr>
        <w:footnoteRef/>
      </w:r>
      <w:r w:rsidRPr="00814FD1">
        <w:rPr>
          <w:rFonts w:eastAsia="Times New Roman" w:cs="Times New Roman"/>
        </w:rPr>
        <w:t xml:space="preserve"> </w:t>
      </w:r>
      <w:bookmarkStart w:id="0" w:name="_Hlk125468803"/>
      <w:bookmarkStart w:id="1" w:name="_Hlk125468804"/>
      <w:bookmarkStart w:id="2" w:name="_Hlk125468805"/>
      <w:bookmarkStart w:id="3" w:name="_Hlk125468806"/>
      <w:r w:rsidRPr="00814FD1">
        <w:rPr>
          <w:rFonts w:eastAsia="Times New Roman" w:cs="Times New Roman"/>
        </w:rPr>
        <w:t xml:space="preserve">In this manuscript, gender dysphoria in lower case will be used to refer the experience of distress, whereas Gender Dysphoria in title case will be used to refer to the diagnosis in the </w:t>
      </w:r>
      <w:r w:rsidRPr="00814FD1">
        <w:rPr>
          <w:rFonts w:eastAsia="Times New Roman" w:cs="Times New Roman"/>
          <w:i/>
        </w:rPr>
        <w:t>Diagnostic and Statistical Manual of Mental Disorders (DSM), 5th Edition, Text Revision</w:t>
      </w:r>
      <w:r w:rsidR="00044118">
        <w:rPr>
          <w:rFonts w:eastAsia="Times New Roman" w:cs="Times New Roman"/>
          <w:i/>
        </w:rPr>
        <w:t xml:space="preserve"> </w:t>
      </w:r>
      <w:r w:rsidR="00044118">
        <w:rPr>
          <w:rFonts w:eastAsia="Times New Roman" w:cs="Times New Roman"/>
          <w:iCs/>
        </w:rPr>
        <w:t>(</w:t>
      </w:r>
      <w:r w:rsidR="00044118" w:rsidRPr="0077178A">
        <w:rPr>
          <w:rFonts w:eastAsia="Times New Roman" w:cs="Times New Roman"/>
        </w:rPr>
        <w:t>American Psychiatric Association</w:t>
      </w:r>
      <w:r w:rsidR="00044118">
        <w:rPr>
          <w:rFonts w:eastAsia="Times New Roman" w:cs="Times New Roman"/>
        </w:rPr>
        <w:t xml:space="preserve"> 2022)</w:t>
      </w:r>
      <w:r w:rsidRPr="00814FD1">
        <w:rPr>
          <w:rFonts w:eastAsia="Times New Roman" w:cs="Times New Roman"/>
        </w:rPr>
        <w:t>.</w:t>
      </w:r>
      <w:bookmarkEnd w:id="0"/>
      <w:bookmarkEnd w:id="1"/>
      <w:bookmarkEnd w:id="2"/>
      <w:bookmarkEnd w:id="3"/>
    </w:p>
    <w:p w14:paraId="766D6F2E" w14:textId="7D37DCB7" w:rsidR="00814FD1" w:rsidRDefault="00814FD1">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135D6"/>
    <w:multiLevelType w:val="hybridMultilevel"/>
    <w:tmpl w:val="C8108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196073"/>
    <w:multiLevelType w:val="hybridMultilevel"/>
    <w:tmpl w:val="CC440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EB1EF1"/>
    <w:multiLevelType w:val="hybridMultilevel"/>
    <w:tmpl w:val="06DC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A35BBD"/>
    <w:multiLevelType w:val="hybridMultilevel"/>
    <w:tmpl w:val="44D4E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C4734F"/>
    <w:multiLevelType w:val="hybridMultilevel"/>
    <w:tmpl w:val="C37AC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9702B5"/>
    <w:multiLevelType w:val="hybridMultilevel"/>
    <w:tmpl w:val="1FD6C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D1283B"/>
    <w:multiLevelType w:val="hybridMultilevel"/>
    <w:tmpl w:val="0E8C9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247615"/>
    <w:multiLevelType w:val="hybridMultilevel"/>
    <w:tmpl w:val="8FDA18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6A266A6"/>
    <w:multiLevelType w:val="hybridMultilevel"/>
    <w:tmpl w:val="8BD4E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4977642">
    <w:abstractNumId w:val="3"/>
  </w:num>
  <w:num w:numId="2" w16cid:durableId="897933912">
    <w:abstractNumId w:val="5"/>
  </w:num>
  <w:num w:numId="3" w16cid:durableId="1069497228">
    <w:abstractNumId w:val="6"/>
  </w:num>
  <w:num w:numId="4" w16cid:durableId="535391338">
    <w:abstractNumId w:val="4"/>
  </w:num>
  <w:num w:numId="5" w16cid:durableId="118647594">
    <w:abstractNumId w:val="2"/>
  </w:num>
  <w:num w:numId="6" w16cid:durableId="773331073">
    <w:abstractNumId w:val="0"/>
  </w:num>
  <w:num w:numId="7" w16cid:durableId="211114533">
    <w:abstractNumId w:val="8"/>
  </w:num>
  <w:num w:numId="8" w16cid:durableId="1696809709">
    <w:abstractNumId w:val="1"/>
  </w:num>
  <w:num w:numId="9" w16cid:durableId="14102745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D4D"/>
    <w:rsid w:val="00001E63"/>
    <w:rsid w:val="0001027D"/>
    <w:rsid w:val="00044118"/>
    <w:rsid w:val="000A4474"/>
    <w:rsid w:val="000B0C3E"/>
    <w:rsid w:val="000D06EC"/>
    <w:rsid w:val="000F2DB6"/>
    <w:rsid w:val="000F4AB2"/>
    <w:rsid w:val="00147D9A"/>
    <w:rsid w:val="00174D7E"/>
    <w:rsid w:val="00196F6A"/>
    <w:rsid w:val="001C739E"/>
    <w:rsid w:val="00211526"/>
    <w:rsid w:val="002526CA"/>
    <w:rsid w:val="00290E27"/>
    <w:rsid w:val="002E28D2"/>
    <w:rsid w:val="002E33E0"/>
    <w:rsid w:val="002E6224"/>
    <w:rsid w:val="003266EE"/>
    <w:rsid w:val="00334C10"/>
    <w:rsid w:val="003671BE"/>
    <w:rsid w:val="0037064B"/>
    <w:rsid w:val="00370A9F"/>
    <w:rsid w:val="003C6F91"/>
    <w:rsid w:val="003D6A9E"/>
    <w:rsid w:val="003E0CC8"/>
    <w:rsid w:val="003F1835"/>
    <w:rsid w:val="004004D2"/>
    <w:rsid w:val="004263DF"/>
    <w:rsid w:val="00430E49"/>
    <w:rsid w:val="00443A17"/>
    <w:rsid w:val="00444804"/>
    <w:rsid w:val="00454BDB"/>
    <w:rsid w:val="004605E3"/>
    <w:rsid w:val="00475D4C"/>
    <w:rsid w:val="004D0640"/>
    <w:rsid w:val="004E5BCD"/>
    <w:rsid w:val="00514B29"/>
    <w:rsid w:val="005A056A"/>
    <w:rsid w:val="005E1D29"/>
    <w:rsid w:val="005E3419"/>
    <w:rsid w:val="006160E7"/>
    <w:rsid w:val="00631D3E"/>
    <w:rsid w:val="006609C3"/>
    <w:rsid w:val="006A76C2"/>
    <w:rsid w:val="00722D91"/>
    <w:rsid w:val="0075259B"/>
    <w:rsid w:val="00752BBF"/>
    <w:rsid w:val="0075628C"/>
    <w:rsid w:val="007645C3"/>
    <w:rsid w:val="00777FE3"/>
    <w:rsid w:val="007C3979"/>
    <w:rsid w:val="007D40DA"/>
    <w:rsid w:val="007E6E5A"/>
    <w:rsid w:val="00814FD1"/>
    <w:rsid w:val="00826494"/>
    <w:rsid w:val="008655D2"/>
    <w:rsid w:val="00872A80"/>
    <w:rsid w:val="008862AB"/>
    <w:rsid w:val="008A0ABE"/>
    <w:rsid w:val="008B0680"/>
    <w:rsid w:val="008B1B47"/>
    <w:rsid w:val="00935CB6"/>
    <w:rsid w:val="00980EC1"/>
    <w:rsid w:val="00A2156D"/>
    <w:rsid w:val="00A33445"/>
    <w:rsid w:val="00A76D4E"/>
    <w:rsid w:val="00AA5717"/>
    <w:rsid w:val="00B72787"/>
    <w:rsid w:val="00B75D74"/>
    <w:rsid w:val="00B8656D"/>
    <w:rsid w:val="00B97EAB"/>
    <w:rsid w:val="00BB69AF"/>
    <w:rsid w:val="00BB7D33"/>
    <w:rsid w:val="00BC03BD"/>
    <w:rsid w:val="00BD6EE9"/>
    <w:rsid w:val="00C3597E"/>
    <w:rsid w:val="00C364B6"/>
    <w:rsid w:val="00C610AA"/>
    <w:rsid w:val="00C76D4D"/>
    <w:rsid w:val="00C96663"/>
    <w:rsid w:val="00CA328A"/>
    <w:rsid w:val="00CF4794"/>
    <w:rsid w:val="00D842E4"/>
    <w:rsid w:val="00D90383"/>
    <w:rsid w:val="00D959F8"/>
    <w:rsid w:val="00DB0957"/>
    <w:rsid w:val="00E141BB"/>
    <w:rsid w:val="00E36346"/>
    <w:rsid w:val="00E84B78"/>
    <w:rsid w:val="00EB25E0"/>
    <w:rsid w:val="00EB6B0F"/>
    <w:rsid w:val="00EE4FBE"/>
    <w:rsid w:val="00F271E4"/>
    <w:rsid w:val="00F82A06"/>
    <w:rsid w:val="00FC06CC"/>
    <w:rsid w:val="00FE3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7E68C"/>
  <w15:chartTrackingRefBased/>
  <w15:docId w15:val="{8E239781-CCFA-DD4A-8E2B-A2734F513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D4D"/>
  </w:style>
  <w:style w:type="paragraph" w:styleId="Heading1">
    <w:name w:val="heading 1"/>
    <w:basedOn w:val="Normal"/>
    <w:next w:val="Normal"/>
    <w:link w:val="Heading1Char"/>
    <w:uiPriority w:val="9"/>
    <w:qFormat/>
    <w:rsid w:val="007562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62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76C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14FD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76D4D"/>
    <w:pPr>
      <w:tabs>
        <w:tab w:val="center" w:pos="4680"/>
        <w:tab w:val="right" w:pos="9360"/>
      </w:tabs>
    </w:pPr>
  </w:style>
  <w:style w:type="character" w:customStyle="1" w:styleId="FooterChar">
    <w:name w:val="Footer Char"/>
    <w:basedOn w:val="DefaultParagraphFont"/>
    <w:link w:val="Footer"/>
    <w:uiPriority w:val="99"/>
    <w:rsid w:val="00C76D4D"/>
  </w:style>
  <w:style w:type="character" w:styleId="PageNumber">
    <w:name w:val="page number"/>
    <w:basedOn w:val="DefaultParagraphFont"/>
    <w:uiPriority w:val="99"/>
    <w:semiHidden/>
    <w:unhideWhenUsed/>
    <w:rsid w:val="00C76D4D"/>
  </w:style>
  <w:style w:type="table" w:styleId="TableGrid">
    <w:name w:val="Table Grid"/>
    <w:basedOn w:val="TableNormal"/>
    <w:uiPriority w:val="39"/>
    <w:rsid w:val="000D06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656D"/>
    <w:pPr>
      <w:spacing w:line="276" w:lineRule="auto"/>
      <w:ind w:left="720"/>
      <w:contextualSpacing/>
    </w:pPr>
    <w:rPr>
      <w:rFonts w:ascii="Arial" w:eastAsia="Arial" w:hAnsi="Arial" w:cs="Arial"/>
      <w:sz w:val="22"/>
      <w:szCs w:val="22"/>
      <w:lang w:val="en"/>
    </w:rPr>
  </w:style>
  <w:style w:type="paragraph" w:styleId="Revision">
    <w:name w:val="Revision"/>
    <w:hidden/>
    <w:uiPriority w:val="99"/>
    <w:semiHidden/>
    <w:rsid w:val="00D90383"/>
  </w:style>
  <w:style w:type="paragraph" w:styleId="Header">
    <w:name w:val="header"/>
    <w:basedOn w:val="Normal"/>
    <w:link w:val="HeaderChar"/>
    <w:uiPriority w:val="99"/>
    <w:unhideWhenUsed/>
    <w:rsid w:val="00D90383"/>
    <w:pPr>
      <w:tabs>
        <w:tab w:val="center" w:pos="4680"/>
        <w:tab w:val="right" w:pos="9360"/>
      </w:tabs>
    </w:pPr>
  </w:style>
  <w:style w:type="character" w:customStyle="1" w:styleId="HeaderChar">
    <w:name w:val="Header Char"/>
    <w:basedOn w:val="DefaultParagraphFont"/>
    <w:link w:val="Header"/>
    <w:uiPriority w:val="99"/>
    <w:rsid w:val="00D90383"/>
  </w:style>
  <w:style w:type="character" w:styleId="Hyperlink">
    <w:name w:val="Hyperlink"/>
    <w:basedOn w:val="DefaultParagraphFont"/>
    <w:uiPriority w:val="99"/>
    <w:unhideWhenUsed/>
    <w:rsid w:val="008A0ABE"/>
    <w:rPr>
      <w:color w:val="0563C1" w:themeColor="hyperlink"/>
      <w:u w:val="single"/>
    </w:rPr>
  </w:style>
  <w:style w:type="character" w:styleId="UnresolvedMention">
    <w:name w:val="Unresolved Mention"/>
    <w:basedOn w:val="DefaultParagraphFont"/>
    <w:uiPriority w:val="99"/>
    <w:semiHidden/>
    <w:unhideWhenUsed/>
    <w:rsid w:val="008A0ABE"/>
    <w:rPr>
      <w:color w:val="605E5C"/>
      <w:shd w:val="clear" w:color="auto" w:fill="E1DFDD"/>
    </w:rPr>
  </w:style>
  <w:style w:type="character" w:styleId="CommentReference">
    <w:name w:val="annotation reference"/>
    <w:basedOn w:val="DefaultParagraphFont"/>
    <w:uiPriority w:val="99"/>
    <w:semiHidden/>
    <w:unhideWhenUsed/>
    <w:rsid w:val="00777FE3"/>
    <w:rPr>
      <w:sz w:val="16"/>
      <w:szCs w:val="16"/>
    </w:rPr>
  </w:style>
  <w:style w:type="paragraph" w:styleId="CommentText">
    <w:name w:val="annotation text"/>
    <w:basedOn w:val="Normal"/>
    <w:link w:val="CommentTextChar"/>
    <w:uiPriority w:val="99"/>
    <w:unhideWhenUsed/>
    <w:rsid w:val="00777FE3"/>
    <w:rPr>
      <w:sz w:val="20"/>
      <w:szCs w:val="20"/>
    </w:rPr>
  </w:style>
  <w:style w:type="character" w:customStyle="1" w:styleId="CommentTextChar">
    <w:name w:val="Comment Text Char"/>
    <w:basedOn w:val="DefaultParagraphFont"/>
    <w:link w:val="CommentText"/>
    <w:uiPriority w:val="99"/>
    <w:rsid w:val="00777FE3"/>
    <w:rPr>
      <w:sz w:val="20"/>
      <w:szCs w:val="20"/>
    </w:rPr>
  </w:style>
  <w:style w:type="paragraph" w:styleId="CommentSubject">
    <w:name w:val="annotation subject"/>
    <w:basedOn w:val="CommentText"/>
    <w:next w:val="CommentText"/>
    <w:link w:val="CommentSubjectChar"/>
    <w:uiPriority w:val="99"/>
    <w:semiHidden/>
    <w:unhideWhenUsed/>
    <w:rsid w:val="00777FE3"/>
    <w:rPr>
      <w:b/>
      <w:bCs/>
    </w:rPr>
  </w:style>
  <w:style w:type="character" w:customStyle="1" w:styleId="CommentSubjectChar">
    <w:name w:val="Comment Subject Char"/>
    <w:basedOn w:val="CommentTextChar"/>
    <w:link w:val="CommentSubject"/>
    <w:uiPriority w:val="99"/>
    <w:semiHidden/>
    <w:rsid w:val="00777FE3"/>
    <w:rPr>
      <w:b/>
      <w:bCs/>
      <w:sz w:val="20"/>
      <w:szCs w:val="20"/>
    </w:rPr>
  </w:style>
  <w:style w:type="paragraph" w:styleId="BalloonText">
    <w:name w:val="Balloon Text"/>
    <w:basedOn w:val="Normal"/>
    <w:link w:val="BalloonTextChar"/>
    <w:uiPriority w:val="99"/>
    <w:semiHidden/>
    <w:unhideWhenUsed/>
    <w:rsid w:val="00FC06C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6CC"/>
    <w:rPr>
      <w:rFonts w:ascii="Segoe UI" w:hAnsi="Segoe UI" w:cs="Segoe UI"/>
      <w:sz w:val="18"/>
      <w:szCs w:val="18"/>
    </w:rPr>
  </w:style>
  <w:style w:type="character" w:customStyle="1" w:styleId="Heading2Char">
    <w:name w:val="Heading 2 Char"/>
    <w:basedOn w:val="DefaultParagraphFont"/>
    <w:link w:val="Heading2"/>
    <w:uiPriority w:val="9"/>
    <w:rsid w:val="0075628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562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A76C2"/>
    <w:rPr>
      <w:rFonts w:asciiTheme="majorHAnsi" w:eastAsiaTheme="majorEastAsia" w:hAnsiTheme="majorHAnsi" w:cstheme="majorBidi"/>
      <w:color w:val="1F3763" w:themeColor="accent1" w:themeShade="7F"/>
    </w:rPr>
  </w:style>
  <w:style w:type="paragraph" w:styleId="FootnoteText">
    <w:name w:val="footnote text"/>
    <w:basedOn w:val="Normal"/>
    <w:link w:val="FootnoteTextChar"/>
    <w:uiPriority w:val="99"/>
    <w:semiHidden/>
    <w:unhideWhenUsed/>
    <w:rsid w:val="00814FD1"/>
    <w:rPr>
      <w:sz w:val="20"/>
      <w:szCs w:val="20"/>
    </w:rPr>
  </w:style>
  <w:style w:type="character" w:customStyle="1" w:styleId="FootnoteTextChar">
    <w:name w:val="Footnote Text Char"/>
    <w:basedOn w:val="DefaultParagraphFont"/>
    <w:link w:val="FootnoteText"/>
    <w:uiPriority w:val="99"/>
    <w:semiHidden/>
    <w:rsid w:val="00814FD1"/>
    <w:rPr>
      <w:sz w:val="20"/>
      <w:szCs w:val="20"/>
    </w:rPr>
  </w:style>
  <w:style w:type="character" w:styleId="FootnoteReference">
    <w:name w:val="footnote reference"/>
    <w:basedOn w:val="DefaultParagraphFont"/>
    <w:uiPriority w:val="99"/>
    <w:semiHidden/>
    <w:unhideWhenUsed/>
    <w:rsid w:val="00814FD1"/>
    <w:rPr>
      <w:vertAlign w:val="superscript"/>
    </w:rPr>
  </w:style>
  <w:style w:type="character" w:customStyle="1" w:styleId="Heading4Char">
    <w:name w:val="Heading 4 Char"/>
    <w:basedOn w:val="DefaultParagraphFont"/>
    <w:link w:val="Heading4"/>
    <w:uiPriority w:val="9"/>
    <w:rsid w:val="00814FD1"/>
    <w:rPr>
      <w:rFonts w:asciiTheme="majorHAnsi" w:eastAsiaTheme="majorEastAsia" w:hAnsiTheme="majorHAnsi" w:cstheme="majorBidi"/>
      <w:i/>
      <w:iCs/>
      <w:color w:val="2F5496" w:themeColor="accent1" w:themeShade="BF"/>
    </w:rPr>
  </w:style>
  <w:style w:type="paragraph" w:customStyle="1" w:styleId="NoParagraphStyle">
    <w:name w:val="[No Paragraph Style]"/>
    <w:rsid w:val="001C739E"/>
    <w:pPr>
      <w:autoSpaceDE w:val="0"/>
      <w:autoSpaceDN w:val="0"/>
      <w:adjustRightInd w:val="0"/>
      <w:spacing w:line="288" w:lineRule="auto"/>
      <w:textAlignment w:val="center"/>
    </w:pPr>
    <w:rPr>
      <w:rFonts w:ascii="MinionPro-Regular" w:hAnsi="MinionPro-Regular" w:cs="MinionPro-Regular"/>
      <w:color w:val="000000"/>
    </w:rPr>
  </w:style>
  <w:style w:type="paragraph" w:customStyle="1" w:styleId="BodyParagraph">
    <w:name w:val="Body Paragraph"/>
    <w:basedOn w:val="NoParagraphStyle"/>
    <w:uiPriority w:val="99"/>
    <w:rsid w:val="001C739E"/>
    <w:pPr>
      <w:spacing w:line="300" w:lineRule="atLeast"/>
      <w:ind w:firstLine="600"/>
      <w:jc w:val="both"/>
    </w:pPr>
    <w:rPr>
      <w:rFonts w:ascii="AlegreyaRoman-Regular" w:hAnsi="AlegreyaRoman-Regular" w:cs="AlegreyaRoman-Regular"/>
    </w:rPr>
  </w:style>
  <w:style w:type="paragraph" w:customStyle="1" w:styleId="TableHeader">
    <w:name w:val="Table Header"/>
    <w:basedOn w:val="Heading2"/>
    <w:uiPriority w:val="99"/>
    <w:rsid w:val="001C739E"/>
    <w:pPr>
      <w:keepLines w:val="0"/>
      <w:autoSpaceDE w:val="0"/>
      <w:autoSpaceDN w:val="0"/>
      <w:adjustRightInd w:val="0"/>
      <w:spacing w:before="300" w:line="300" w:lineRule="atLeast"/>
      <w:jc w:val="both"/>
      <w:textAlignment w:val="center"/>
      <w:outlineLvl w:val="9"/>
    </w:pPr>
    <w:rPr>
      <w:rFonts w:ascii="Alegreya" w:eastAsiaTheme="minorHAnsi" w:hAnsi="Alegreya" w:cs="Alegreya"/>
      <w:b/>
      <w:bCs/>
      <w:color w:val="000000"/>
      <w:spacing w:val="7"/>
      <w:sz w:val="24"/>
      <w:szCs w:val="24"/>
    </w:rPr>
  </w:style>
  <w:style w:type="paragraph" w:customStyle="1" w:styleId="TableText">
    <w:name w:val="Table Text"/>
    <w:basedOn w:val="Normal"/>
    <w:uiPriority w:val="99"/>
    <w:rsid w:val="001C739E"/>
    <w:pPr>
      <w:autoSpaceDE w:val="0"/>
      <w:autoSpaceDN w:val="0"/>
      <w:adjustRightInd w:val="0"/>
      <w:spacing w:line="240" w:lineRule="atLeast"/>
      <w:textAlignment w:val="center"/>
    </w:pPr>
    <w:rPr>
      <w:rFonts w:ascii="Alegreya Sans" w:hAnsi="Alegreya Sans" w:cs="Alegreya San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592909">
      <w:bodyDiv w:val="1"/>
      <w:marLeft w:val="0"/>
      <w:marRight w:val="0"/>
      <w:marTop w:val="0"/>
      <w:marBottom w:val="0"/>
      <w:divBdr>
        <w:top w:val="none" w:sz="0" w:space="0" w:color="auto"/>
        <w:left w:val="none" w:sz="0" w:space="0" w:color="auto"/>
        <w:bottom w:val="none" w:sz="0" w:space="0" w:color="auto"/>
        <w:right w:val="none" w:sz="0" w:space="0" w:color="auto"/>
      </w:divBdr>
    </w:div>
    <w:div w:id="452750824">
      <w:bodyDiv w:val="1"/>
      <w:marLeft w:val="0"/>
      <w:marRight w:val="0"/>
      <w:marTop w:val="0"/>
      <w:marBottom w:val="0"/>
      <w:divBdr>
        <w:top w:val="none" w:sz="0" w:space="0" w:color="auto"/>
        <w:left w:val="none" w:sz="0" w:space="0" w:color="auto"/>
        <w:bottom w:val="none" w:sz="0" w:space="0" w:color="auto"/>
        <w:right w:val="none" w:sz="0" w:space="0" w:color="auto"/>
      </w:divBdr>
    </w:div>
    <w:div w:id="821581163">
      <w:bodyDiv w:val="1"/>
      <w:marLeft w:val="0"/>
      <w:marRight w:val="0"/>
      <w:marTop w:val="0"/>
      <w:marBottom w:val="0"/>
      <w:divBdr>
        <w:top w:val="none" w:sz="0" w:space="0" w:color="auto"/>
        <w:left w:val="none" w:sz="0" w:space="0" w:color="auto"/>
        <w:bottom w:val="none" w:sz="0" w:space="0" w:color="auto"/>
        <w:right w:val="none" w:sz="0" w:space="0" w:color="auto"/>
      </w:divBdr>
    </w:div>
    <w:div w:id="958684980">
      <w:bodyDiv w:val="1"/>
      <w:marLeft w:val="0"/>
      <w:marRight w:val="0"/>
      <w:marTop w:val="0"/>
      <w:marBottom w:val="0"/>
      <w:divBdr>
        <w:top w:val="none" w:sz="0" w:space="0" w:color="auto"/>
        <w:left w:val="none" w:sz="0" w:space="0" w:color="auto"/>
        <w:bottom w:val="none" w:sz="0" w:space="0" w:color="auto"/>
        <w:right w:val="none" w:sz="0" w:space="0" w:color="auto"/>
      </w:divBdr>
    </w:div>
    <w:div w:id="1932351827">
      <w:bodyDiv w:val="1"/>
      <w:marLeft w:val="0"/>
      <w:marRight w:val="0"/>
      <w:marTop w:val="0"/>
      <w:marBottom w:val="0"/>
      <w:divBdr>
        <w:top w:val="none" w:sz="0" w:space="0" w:color="auto"/>
        <w:left w:val="none" w:sz="0" w:space="0" w:color="auto"/>
        <w:bottom w:val="none" w:sz="0" w:space="0" w:color="auto"/>
        <w:right w:val="none" w:sz="0" w:space="0" w:color="auto"/>
      </w:divBdr>
    </w:div>
    <w:div w:id="204042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7/s13178-019-00381-5" TargetMode="External"/><Relationship Id="rId18" Type="http://schemas.openxmlformats.org/officeDocument/2006/relationships/hyperlink" Target="https://doi.org/10.1016/j.cpr.2020.101875" TargetMode="External"/><Relationship Id="rId26" Type="http://schemas.openxmlformats.org/officeDocument/2006/relationships/hyperlink" Target="https://doi.org/10.1037/sgd0000548" TargetMode="External"/><Relationship Id="rId39" Type="http://schemas.openxmlformats.org/officeDocument/2006/relationships/hyperlink" Target="https://doi.org/10.1089/trgh.2015.0001" TargetMode="External"/><Relationship Id="rId21" Type="http://schemas.openxmlformats.org/officeDocument/2006/relationships/hyperlink" Target="https://doi.org/10.1080/00224490701586730" TargetMode="External"/><Relationship Id="rId34" Type="http://schemas.openxmlformats.org/officeDocument/2006/relationships/hyperlink" Target="https://doi.org/10.1037/sgd0000439" TargetMode="External"/><Relationship Id="rId42" Type="http://schemas.openxmlformats.org/officeDocument/2006/relationships/hyperlink" Target="https://doi.org/10.1089/trgh.2017.003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97/00004583-199702000-00017" TargetMode="External"/><Relationship Id="rId29" Type="http://schemas.openxmlformats.org/officeDocument/2006/relationships/hyperlink" Target="https://doi.org/10.1037/0000215-0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37/sgd0000460" TargetMode="External"/><Relationship Id="rId24" Type="http://schemas.openxmlformats.org/officeDocument/2006/relationships/hyperlink" Target="https://doi.org/10.1037/sah0000189" TargetMode="External"/><Relationship Id="rId32" Type="http://schemas.openxmlformats.org/officeDocument/2006/relationships/hyperlink" Target="https://doi.org/10.1080/00918369.2020.1868185" TargetMode="External"/><Relationship Id="rId37" Type="http://schemas.openxmlformats.org/officeDocument/2006/relationships/hyperlink" Target="https://doi.org/10.1007/s13178-019-00423-y" TargetMode="External"/><Relationship Id="rId40" Type="http://schemas.openxmlformats.org/officeDocument/2006/relationships/hyperlink" Target="https://doi.org/10.1037/sgd0000081"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89/trgh.2017.0053" TargetMode="External"/><Relationship Id="rId23" Type="http://schemas.openxmlformats.org/officeDocument/2006/relationships/hyperlink" Target="https://doi.org/10.1007/s10508-019-01556-2" TargetMode="External"/><Relationship Id="rId28" Type="http://schemas.openxmlformats.org/officeDocument/2006/relationships/hyperlink" Target="https://doi.org/10.1037/a0029597" TargetMode="External"/><Relationship Id="rId36" Type="http://schemas.openxmlformats.org/officeDocument/2006/relationships/hyperlink" Target="https://doi.org/10.1037/fam0000561" TargetMode="External"/><Relationship Id="rId10" Type="http://schemas.openxmlformats.org/officeDocument/2006/relationships/hyperlink" Target="https://doi.org/10.1007/s10508-015-0490-8" TargetMode="External"/><Relationship Id="rId19" Type="http://schemas.openxmlformats.org/officeDocument/2006/relationships/hyperlink" Target="https://doi.org/10.1007/s10508-015-0573-6" TargetMode="External"/><Relationship Id="rId31" Type="http://schemas.openxmlformats.org/officeDocument/2006/relationships/hyperlink" Target="https://doi.org/10.1111/1467-9566.12829"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037/sgd0000516" TargetMode="External"/><Relationship Id="rId14" Type="http://schemas.openxmlformats.org/officeDocument/2006/relationships/hyperlink" Target="https://doi.org/10.2105/AJPH.2013.301241" TargetMode="External"/><Relationship Id="rId22" Type="http://schemas.openxmlformats.org/officeDocument/2006/relationships/hyperlink" Target="https://doi.org/10.1177/0160597615604651" TargetMode="External"/><Relationship Id="rId27" Type="http://schemas.openxmlformats.org/officeDocument/2006/relationships/hyperlink" Target="https://doi.org/10.1037/sgd0000463" TargetMode="External"/><Relationship Id="rId30" Type="http://schemas.openxmlformats.org/officeDocument/2006/relationships/hyperlink" Target="https://doi.org/10.1111/soc4.12297" TargetMode="External"/><Relationship Id="rId35" Type="http://schemas.openxmlformats.org/officeDocument/2006/relationships/hyperlink" Target="https://doi.org/10.1007/s10508-020-01754-3" TargetMode="External"/><Relationship Id="rId43" Type="http://schemas.openxmlformats.org/officeDocument/2006/relationships/hyperlink" Target="https://doi.org/10.1177/1468796814547058" TargetMode="External"/><Relationship Id="rId8" Type="http://schemas.openxmlformats.org/officeDocument/2006/relationships/hyperlink" Target="mailto:chloe.goldbach@siu.edu" TargetMode="External"/><Relationship Id="rId3" Type="http://schemas.openxmlformats.org/officeDocument/2006/relationships/styles" Target="styles.xml"/><Relationship Id="rId12" Type="http://schemas.openxmlformats.org/officeDocument/2006/relationships/hyperlink" Target="https://doi.org/10.2105/AJPH.2015.302763" TargetMode="External"/><Relationship Id="rId17" Type="http://schemas.openxmlformats.org/officeDocument/2006/relationships/hyperlink" Target="https://doi.org/10.1080/15532739.2011.700873" TargetMode="External"/><Relationship Id="rId25" Type="http://schemas.openxmlformats.org/officeDocument/2006/relationships/hyperlink" Target="https://doi.org/10.1080/00918369.2020.1868186" TargetMode="External"/><Relationship Id="rId33" Type="http://schemas.openxmlformats.org/officeDocument/2006/relationships/hyperlink" Target="https://doi.org/10.1089/trgh.2020.0042" TargetMode="External"/><Relationship Id="rId38" Type="http://schemas.openxmlformats.org/officeDocument/2006/relationships/hyperlink" Target="https://doi.org/10.1002/j.1556-6678.2011.tb00057.x" TargetMode="External"/><Relationship Id="rId20" Type="http://schemas.openxmlformats.org/officeDocument/2006/relationships/hyperlink" Target="https://doi.org/10.1089/trgh.2018.0014" TargetMode="External"/><Relationship Id="rId41" Type="http://schemas.openxmlformats.org/officeDocument/2006/relationships/hyperlink" Target="https://doi.org/10.4135/97815443938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5715B-430C-44B1-A693-592ABB9E8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20</Pages>
  <Words>8632</Words>
  <Characters>49204</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57721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 Billard</dc:creator>
  <cp:keywords/>
  <dc:description/>
  <cp:lastModifiedBy>TJ Billard</cp:lastModifiedBy>
  <cp:revision>10</cp:revision>
  <dcterms:created xsi:type="dcterms:W3CDTF">2023-01-31T19:17:00Z</dcterms:created>
  <dcterms:modified xsi:type="dcterms:W3CDTF">2023-05-19T20:35:00Z</dcterms:modified>
</cp:coreProperties>
</file>