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a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</w:t>
      </w:r>
      <w:r>
        <w:t xml:space="preserve"> </w:t>
      </w:r>
      <w:r>
        <w:t xml:space="preserve">the production, hosting, and maintenance of OER. At its core, Lantern is</w:t>
      </w:r>
      <w:r>
        <w:t xml:space="preserve"> </w:t>
      </w:r>
      <w:r>
        <w:t xml:space="preserve">a 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Portable:</w:t>
      </w:r>
      <w:r>
        <w:t xml:space="preserve"> </w:t>
      </w:r>
      <w:r>
        <w:t xml:space="preserve">Lantern can be used on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under an open license. The</w:t>
      </w:r>
      <w:r>
        <w:t xml:space="preserve"> </w:t>
      </w:r>
      <w:r>
        <w:t xml:space="preserve">first edition of Lantern is available on GitHub and assumes that the</w:t>
      </w:r>
      <w:r>
        <w:t xml:space="preserve"> </w:t>
      </w:r>
      <w:r>
        <w:t xml:space="preserve">user has created a free GitHub account, but Lantern itself can 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</w:t>
      </w:r>
      <w:r>
        <w:t xml:space="preserve"> </w:t>
      </w:r>
      <w:r>
        <w:rPr>
          <w:bCs/>
          <w:b/>
        </w:rPr>
        <w:t xml:space="preserve">–Anita Walz, Assistant</w:t>
      </w:r>
      <w:r>
        <w:rPr>
          <w:bCs/>
          <w:b/>
        </w:rPr>
        <w:t xml:space="preserve"> </w:t>
      </w:r>
      <w:r>
        <w:rPr>
          <w:bCs/>
          <w:b/>
        </w:rPr>
        <w:t xml:space="preserve">Director 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rPr>
          <w:bCs/>
          <w:b/>
        </w:rPr>
        <w:t xml:space="preserve">–Kathy Clark, Director,</w:t>
      </w:r>
      <w:r>
        <w:rPr>
          <w:bCs/>
          <w:b/>
        </w:rPr>
        <w:t xml:space="preserve"> </w:t>
      </w:r>
      <w:r>
        <w:rPr>
          <w:bCs/>
          <w:b/>
        </w:rP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 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</w:t>
      </w:r>
      <w:r>
        <w:t xml:space="preserve"> </w:t>
      </w:r>
      <w:r>
        <w:rPr>
          <w:bCs/>
          <w:b/>
        </w:rPr>
        <w:t xml:space="preserve">–Tim</w:t>
      </w:r>
      <w:r>
        <w:rPr>
          <w:bCs/>
          <w:b/>
        </w:rPr>
        <w:t xml:space="preserve"> </w:t>
      </w:r>
      <w:r>
        <w:rPr>
          <w:bCs/>
          <w:b/>
        </w:rP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6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that Northwestern</w:t>
      </w:r>
      <w:r>
        <w:t xml:space="preserve"> </w:t>
      </w:r>
      <w:r>
        <w:t xml:space="preserve">University Libraries supports, and developing and releasing new features</w:t>
      </w:r>
      <w:r>
        <w:t xml:space="preserve"> </w:t>
      </w:r>
      <w:r>
        <w:t xml:space="preserve">as 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r>
        <w:rPr>
          <w:iCs/>
          <w:i/>
          <w:bCs/>
          <w:b/>
        </w:rPr>
        <w:t xml:space="preserve">Introduction to Material Science and Engineering</w:t>
      </w:r>
      <w:r>
        <w:t xml:space="preserve"> </w:t>
      </w:r>
      <w:r>
        <w:t xml:space="preserve">by Kenneth Shull,</w:t>
      </w:r>
      <w:r>
        <w:t xml:space="preserve"> </w:t>
      </w:r>
      <w:r>
        <w:t xml:space="preserve">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2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4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5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48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8"/>
    <w:bookmarkStart w:id="50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49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0"/>
    <w:bookmarkEnd w:id="51"/>
    <w:bookmarkEnd w:id="52"/>
    <w:bookmarkEnd w:id="53"/>
    <w:bookmarkStart w:id="55" w:name="appendix"/>
    <w:p>
      <w:pPr>
        <w:pStyle w:val="Heading1"/>
      </w:pPr>
      <w:r>
        <w:t xml:space="preserve">Appendix</w:t>
      </w:r>
    </w:p>
    <w:bookmarkStart w:id="54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was developed with support from ARL’s Venture fund.</dc:description>
  <dc:language>en</dc:language>
  <cp:keywords/>
  <dcterms:created xsi:type="dcterms:W3CDTF">2022-01-31T15:35:25Z</dcterms:created>
  <dcterms:modified xsi:type="dcterms:W3CDTF">2022-01-31T15:35:25Z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