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Chính sách chi tiêu và phê duyệt chi phí</w:t>
      </w:r>
    </w:p>
    <w:p>
      <w:pPr>
        <w:pStyle w:val="Heading1"/>
      </w:pPr>
      <w:r>
        <w:t>1. Nguyên tắc chi tiêu chung</w:t>
      </w:r>
    </w:p>
    <w:p>
      <w:r>
        <w:t>Mọi khoản chi của công ty phải phục vụ mục đích công việc, có hóa đơn hoặc chứng từ chi tiết, và được nộp trong vòng 30 ngày kể từ ngày giao dịch. Giao dịch trên 25 USD không có chứng từ sẽ không được hoàn tiền.</w:t>
      </w:r>
    </w:p>
    <w:p>
      <w:pPr>
        <w:pStyle w:val="Heading1"/>
      </w:pPr>
      <w:r>
        <w:t>2. Ma trận hạn mức phê duyệt</w:t>
      </w:r>
    </w:p>
    <w:p>
      <w:r>
        <w:t>Các hạn mức sau áp dụng cho mọi khoản mua sắm của bộ phận:</w:t>
        <w:br/>
      </w:r>
      <w:r>
        <w:t>- Chi phí dưới 500 USD: cần trưởng nhóm phê duyệt.</w:t>
        <w:br/>
      </w:r>
      <w:r>
        <w:t>- Chi phí từ 500 đến 5.000 USD: cần quản lý bộ phận phê duyệt.</w:t>
        <w:br/>
      </w:r>
      <w:r>
        <w:t>- Chi phí trên 5.000 USD: cần CFO hoặc giám đốc điều hành phê duyệt.</w:t>
        <w:br/>
      </w:r>
    </w:p>
    <w:p>
      <w:pPr>
        <w:pStyle w:val="Heading1"/>
      </w:pPr>
      <w:r>
        <w:t>3. Quy trình gửi hóa đơn</w:t>
      </w:r>
    </w:p>
    <w:p>
      <w:r>
        <w:t>Hóa đơn từ nhà cung cấp phải được gửi trực tiếp đến finance-receipts@enterprise.com. Mỗi hóa đơn cần có tên nhà cung cấp, số hóa đơn, số tiền, loại tiền tệ và ngày phát hành. Thanh toán được xử lý theo lịch net-30 sau khi bộ phận liên quan xác nhận lần cuối.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