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Sổ tay nhân sự và chính sách HR</w:t>
      </w:r>
    </w:p>
    <w:p>
      <w:pPr>
        <w:pStyle w:val="Heading1"/>
      </w:pPr>
      <w:r>
        <w:t>1. Giờ làm việc cốt lõi</w:t>
      </w:r>
    </w:p>
    <w:p>
      <w:r>
        <w:t>Giờ làm việc cốt lõi của công ty là từ 9:00 đến 17:00, từ thứ Hai đến thứ Sáu. Nhân viên cần sẵn sàng phối hợp trong khung giờ này. Các thỏa thuận làm việc linh hoạt có thể được trao đổi với trưởng bộ phận.</w:t>
      </w:r>
    </w:p>
    <w:p>
      <w:pPr>
        <w:pStyle w:val="Heading1"/>
      </w:pPr>
      <w:r>
        <w:t>2. Nghỉ phép năm và thời gian nghỉ</w:t>
      </w:r>
    </w:p>
    <w:p>
      <w:r>
        <w:t>Tất cả nhân viên toàn thời gian được hưởng 15 ngày nghỉ phép có lương trong mỗi năm dương lịch. Yêu cầu nghỉ phép phải được gửi qua cổng HR và được quản lý bộ phận phê duyệt ít nhất 5 ngày làm việc trước ngày bắt đầu nghỉ. Tối đa 5 ngày phép chưa sử dụng có thể được chuyển sang năm tiếp theo.</w:t>
      </w:r>
    </w:p>
    <w:p>
      <w:pPr>
        <w:pStyle w:val="Heading1"/>
      </w:pPr>
      <w:r>
        <w:t>3. Phúc lợi sức khỏe và chăm sóc nhân viên</w:t>
      </w:r>
    </w:p>
    <w:p>
      <w:r>
        <w:t>Công ty cung cấp bảo hiểm sức khỏe, nha khoa và thị lực cho toàn bộ nhân viên toàn thời gian. Chi phí bảo hiểm của nhân viên được công ty chi trả 100%, và chi trả 50% cho người phụ thuộc. Ngoài ra, nhân viên nhận khoản hỗ trợ chăm sóc sức khỏe 50 USD mỗi tháng cho phòng tập hoặc hoạt động wellness.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