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Spend &amp; Expense Approvals</w:t>
      </w:r>
    </w:p>
    <w:p>
      <w:pPr>
        <w:pStyle w:val="Heading1"/>
      </w:pPr>
      <w:r>
        <w:t>1. General Expenditure Policies</w:t>
      </w:r>
    </w:p>
    <w:p>
      <w:r>
        <w:t>All corporate expenses must be business-related, documented with itemized receipts, and submitted within 30 days of the transaction. Unreceipted transactions above $25 will not be reimbursed.</w:t>
      </w:r>
    </w:p>
    <w:p>
      <w:pPr>
        <w:pStyle w:val="Heading1"/>
      </w:pPr>
      <w:r>
        <w:t>2. Approval Limit Matrix</w:t>
      </w:r>
    </w:p>
    <w:p>
      <w:r>
        <w:t>The following limits apply to all departmental purchases:</w:t>
        <w:br/>
      </w:r>
      <w:r>
        <w:t>- Expenses under $500: Department Lead approval required.</w:t>
        <w:br/>
      </w:r>
      <w:r>
        <w:t>- Expenses from $500 to $5,000: Department Manager approval required.</w:t>
        <w:br/>
      </w:r>
      <w:r>
        <w:t>- Expenses above $5,000: CFO or Executive Director approval required.</w:t>
        <w:br/>
      </w:r>
    </w:p>
    <w:p>
      <w:pPr>
        <w:pStyle w:val="Heading1"/>
      </w:pPr>
      <w:r>
        <w:t>3. Invoice Submission Flow</w:t>
      </w:r>
    </w:p>
    <w:p>
      <w:r>
        <w:t>Invoices from vendors must be sent directly to finance-receipts@enterprise.com. Each invoice must include the Vendor Name, Invoice Number, Amount, Currency, and Issue Date. Payments are processed on a net-30 schedule after final department 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