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Enterprise Employee Handbook &amp; HR Policy</w:t>
      </w:r>
    </w:p>
    <w:p>
      <w:pPr>
        <w:pStyle w:val="Heading1"/>
      </w:pPr>
      <w:r>
        <w:t>1. Core Working Hours</w:t>
      </w:r>
    </w:p>
    <w:p>
      <w:r>
        <w:t>Our core working hours are from 9:00 AM to 5:00 PM, Monday through Friday. Employees are expected to be available during these hours. Flexible working arrangements can be discussed with department leads.</w:t>
      </w:r>
    </w:p>
    <w:p>
      <w:pPr>
        <w:pStyle w:val="Heading1"/>
      </w:pPr>
      <w:r>
        <w:t>2. Annual Leave and Time Off</w:t>
      </w:r>
    </w:p>
    <w:p>
      <w:r>
        <w:t>All full-time employees are entitled to 15 days of paid annual leave per calendar year. Leave requests must be submitted through the HR portal and approved by the department manager at least 5 business days in advance. Unused leaves up to 5 days can be carried over to the next year.</w:t>
      </w:r>
    </w:p>
    <w:p>
      <w:pPr>
        <w:pStyle w:val="Heading1"/>
      </w:pPr>
      <w:r>
        <w:t>3. Health and Wellness Benefits</w:t>
      </w:r>
    </w:p>
    <w:p>
      <w:r>
        <w:t>We offer comprehensive health, dental, and vision insurance coverage to all full-time employees. Premium costs are 100% covered by the company for employees, and 50% covered for dependents. Additionally, employees receive a wellness stipend of $50 per month for gym memberships or wellness activities.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