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Finansman Ürün Kataloğu</w:t>
      </w:r>
    </w:p>
    <w:p>
      <w:r>
        <w:rPr>
          <w:i/>
        </w:rPr>
        <w:t>Sürüm 1.0 · Ekim 2026 · Finansman Politikaları Birimi (örnek)</w:t>
      </w:r>
    </w:p>
    <w:p>
      <w:pPr>
        <w:pStyle w:val="Heading1"/>
      </w:pPr>
      <w:r>
        <w:t>Finansman Ürün Kataloğu · Bölüm 1: Amaç ve Kapsam</w:t>
      </w:r>
    </w:p>
    <w:p>
      <w:r>
        <w:t>Bu katalog, şubelerde sunulan, kâr payı esaslı bireysel finansman ürünlerini, kimlere uygun olduklarını, tipik vade aralıklarını ve temel koşullarını özetler. Oranlar ve ücretler için Kâr Payı ve Ücret Politikası, gerekli belgeler için Ürün Bazında Gerekli Evrak Listesi esas alınır.</w:t>
      </w:r>
    </w:p>
    <w:p>
      <w:pPr>
        <w:pStyle w:val="Heading1"/>
      </w:pPr>
      <w:r>
        <w:t>Finansman Ürün Kataloğu · Bölüm 2: İhtiyaç Finansmanı</w:t>
      </w:r>
    </w:p>
    <w:p>
      <w:r>
        <w:t>2.1 Kimler için: Düzenli geliri olan 18 yaşını doldurmuş bireysel müşteriler; eğitim, sağlık, tadilat gibi kişisel ihtiyaçlar için.</w:t>
      </w:r>
    </w:p>
    <w:p>
      <w:r>
        <w:t>2.2 Vade aralığı: 3 ile 36 ay arası.</w:t>
      </w:r>
    </w:p>
    <w:p>
      <w:r>
        <w:t>2.3 Temel koşullar: Finansman tutarı 10.000 TL ile 500.000 TL arasındadır. Aylık taksit, belgelenen net aylık gelirin %50'sini aşamaz. Emekliler maaşlarını bankamızdan alıyorlarsa başvurabilir.</w:t>
      </w:r>
    </w:p>
    <w:p>
      <w:pPr>
        <w:pStyle w:val="Heading1"/>
      </w:pPr>
      <w:r>
        <w:t>Finansman Ürün Kataloğu · Bölüm 3: Araç Finansmanı</w:t>
      </w:r>
    </w:p>
    <w:p>
      <w:r>
        <w:t>3.1 Kimler için: Sıfır ya da en fazla 8 yaşındaki ikinci el binek otomobil almak isteyen bireysel müşteriler.</w:t>
      </w:r>
    </w:p>
    <w:p>
      <w:r>
        <w:t>3.2 Vade aralığı: 12 ile 48 ay arası.</w:t>
      </w:r>
    </w:p>
    <w:p>
      <w:r>
        <w:t>3.3 Temel koşullar: Finansman tutarı araç değerinin en fazla %70'idir. Araç üzerine banka lehine rehin konur ve finansman süresince kasko poliçesi zorunludur.</w:t>
      </w:r>
    </w:p>
    <w:p>
      <w:pPr>
        <w:pStyle w:val="Heading1"/>
      </w:pPr>
      <w:r>
        <w:t>Finansman Ürün Kataloğu · Bölüm 4: Konut Finansmanı</w:t>
      </w:r>
    </w:p>
    <w:p>
      <w:r>
        <w:t>4.1 Kimler için: Konut satın almak isteyen bireysel müşteriler; ilk evini alacak müşteriler dahil.</w:t>
      </w:r>
    </w:p>
    <w:p>
      <w:r>
        <w:t>4.2 Vade aralığı: 12 ile 120 ay arası.</w:t>
      </w:r>
    </w:p>
    <w:p>
      <w:r>
        <w:t>4.3 Temel koşullar: Finansman tutarı ekspertiz değerinin en fazla %80'idir. Konut üzerine banka lehine ipotek tesis edilir; DASK ve konut sigortası zorunludur. Ekspertiz bankanın anlaşmalı ekspertiz firmasınca yapılır.</w:t>
      </w:r>
    </w:p>
    <w:p>
      <w:pPr>
        <w:pStyle w:val="Heading1"/>
      </w:pPr>
      <w:r>
        <w:t>Finansman Ürün Kataloğu · Bölüm 5: Genel Notlar</w:t>
      </w:r>
    </w:p>
    <w:p>
      <w:r>
        <w:t>Finansman kararını şube değil, Finansman Tahsis Birimi verir. Şube personeli müşteriye kesin onay ya da ret bilgisi vermez; başvurunun değerlendirmede olduğunu bildirir.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Eğitim amaçlı örnek dokümandır. Gerçek bir banka politikası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Finansman Ürün Kataloğu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