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Kâr Payı ve Ücret Politikası</w:t>
      </w:r>
    </w:p>
    <w:p>
      <w:r>
        <w:rPr>
          <w:i/>
        </w:rPr>
        <w:t>Sürüm 1.0 · Ekim 2026 · Finansman Politikaları Birimi (örnek)</w:t>
      </w:r>
    </w:p>
    <w:p>
      <w:pPr>
        <w:pStyle w:val="Heading1"/>
      </w:pPr>
      <w:r>
        <w:t>Kâr Payı ve Ücret Politikası · Bölüm 1: Amaç</w:t>
      </w:r>
    </w:p>
    <w:p>
      <w:r>
        <w:t>Bu politika, bireysel finansmanlarda uygulanan oranların ve ücretlerin hangi kurallarla belirlendiğini ve müşteriye nasıl bildirildiğini açıklar.</w:t>
      </w:r>
    </w:p>
    <w:p>
      <w:pPr>
        <w:pStyle w:val="Heading1"/>
      </w:pPr>
      <w:r>
        <w:t>Kâr Payı ve Ücret Politikası · Bölüm 2: Genel İlkeler</w:t>
      </w:r>
    </w:p>
    <w:p>
      <w:r>
        <w:t>Finansman kâr payı oranları ürün bazında Genel Müdürlük tarafından ilan edilir. Şubeler ilan edilen oranları değiştiremez ve müşteriye özel oran taahhüdünde bulunamaz.</w:t>
      </w:r>
    </w:p>
    <w:p>
      <w:r>
        <w:t>Müşteriye finansman kullandırımından önce toplam maliyeti gösteren ödeme planı verilir.</w:t>
      </w:r>
    </w:p>
    <w:p>
      <w:pPr>
        <w:pStyle w:val="Heading1"/>
      </w:pPr>
      <w:r>
        <w:t>Kâr Payı ve Ücret Politikası · Bölüm 3: Finansman Tahsis Ücreti</w:t>
      </w:r>
    </w:p>
    <w:p>
      <w:r>
        <w:t>Finansman tahsis ücreti, kullandırılan finansman tutarının en fazla binde 5'idir ve kullandırım sırasında bir kez alınır.</w:t>
      </w:r>
    </w:p>
    <w:p>
      <w:pPr>
        <w:pStyle w:val="Heading1"/>
      </w:pPr>
      <w:r>
        <w:t>Kâr Payı ve Ücret Politikası · Bölüm 4: Erken Kapama Ücreti</w:t>
      </w:r>
    </w:p>
    <w:p>
      <w:r>
        <w:t>4.1 Kalan vadesi 36 ay ve daha kısa olan konut finansmanlarında erken kapama ücreti, kalan anaparanın en fazla %1'idir.</w:t>
      </w:r>
    </w:p>
    <w:p>
      <w:r>
        <w:t>4.2 Kalan vadesi 36 ayı aşan konut finansmanlarında erken kapama ücreti, kalan anaparanın en fazla %2'sidir.</w:t>
      </w:r>
    </w:p>
    <w:p>
      <w:r>
        <w:t>4.3 İhtiyaç ve araç finansmanlarında erken kapama ücreti, kalan vadesi 12 ay ve daha kısa ise kalan anaparanın en fazla %1'i, 12 aydan uzun ise en fazla %2'sidir.</w:t>
      </w:r>
    </w:p>
    <w:p>
      <w:r>
        <w:t>4.4 Kısmi erken ödemelerde aynı oranlar, erken ödenen anapara tutarı üzerinden uygulanır.</w:t>
      </w:r>
    </w:p>
    <w:p>
      <w:pPr>
        <w:pStyle w:val="Heading1"/>
      </w:pPr>
      <w:r>
        <w:t>Kâr Payı ve Ücret Politikası · Bölüm 5: Diğer Ücretler</w:t>
      </w:r>
    </w:p>
    <w:p>
      <w:r>
        <w:t>5.1 Konut finansmanlarında ekspertiz ücreti, ekspertiz firmasının faturası tutarında müşteriye yansıtılır.</w:t>
      </w:r>
    </w:p>
    <w:p>
      <w:r>
        <w:t>5.2 Gecikmeli taksitlerde gecikme bedeli, ödeme planında yazan oran üzerinden gün bazında hesaplanır.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Eğitim amaçlı örnek dokümandır. Gerçek bir banka politikası değildir.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Kâr Payı ve Ücret Politikası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