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6B6B6B"/>
          <w:sz w:val="17"/>
        </w:rPr>
        <w:t>PRODUCT REQUIREMENTS  /  BUILD SPECIFICATION</w:t>
      </w:r>
    </w:p>
    <w:p>
      <w:pPr>
        <w:spacing w:after="40"/>
      </w:pPr>
      <w:r>
        <w:rPr>
          <w:rFonts w:ascii="Calibri" w:hAnsi="Calibri"/>
          <w:b/>
          <w:color w:val="112A40"/>
          <w:sz w:val="56"/>
        </w:rPr>
        <w:t>Client Platform — Functional &amp; Non-Functional Requirements</w:t>
      </w:r>
    </w:p>
    <w:p>
      <w:pPr>
        <w:pStyle w:val="Heading2"/>
      </w:pPr>
      <w:r>
        <w:t>Eight Pillars, from first conversation to collected cash</w:t>
      </w:r>
    </w:p>
    <w:p>
      <w:pPr>
        <w:spacing w:before="120" w:after="160"/>
        <w:ind w:left="198"/>
        <w:pBdr>
          <w:left w:val="single" w:sz="18" w:space="8" w:color="B08D57"/>
        </w:pBdr>
        <w:shd w:val="clear" w:color="auto" w:fill="F4F1E8"/>
      </w:pPr>
      <w:r>
        <w:rPr>
          <w:rFonts w:ascii="Calibri" w:hAnsi="Calibri"/>
          <w:b/>
          <w:color w:val="1A1A1A"/>
          <w:sz w:val="19"/>
        </w:rPr>
        <w:t>NORTH-STAR QUESTION</w:t>
      </w:r>
      <w:r>
        <w:rPr>
          <w:rFonts w:ascii="Calibri" w:hAnsi="Calibri"/>
          <w:color w:val="1A1A1A"/>
          <w:sz w:val="19"/>
        </w:rPr>
        <w:t xml:space="preserve">  Do we have the right clients, moving through the right stages, priced from what delivery will actually cost, on the right commercial terms, delivering the right outcomes, to protect and grow revenue now and next?</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5159"/>
        <w:gridCol w:w="5159"/>
      </w:tblGrid>
      <w:tr>
        <w:tc>
          <w:tcPr>
            <w:tcW w:type="dxa" w:w="2948"/>
          </w:tcPr>
          <w:p>
            <w:pPr>
              <w:spacing w:after="0" w:line="252" w:lineRule="auto"/>
              <w:jc w:val="left"/>
            </w:pPr>
            <w:r>
              <w:rPr>
                <w:rFonts w:ascii="Calibri" w:hAnsi="Calibri"/>
                <w:b/>
                <w:color w:val="1A1A1A"/>
                <w:sz w:val="18"/>
              </w:rPr>
              <w:t>DOCUMENT PURPOSE</w:t>
            </w:r>
          </w:p>
        </w:tc>
        <w:tc>
          <w:tcPr>
            <w:tcW w:type="dxa" w:w="7370"/>
          </w:tcPr>
          <w:p>
            <w:pPr>
              <w:spacing w:after="0" w:line="252" w:lineRule="auto"/>
              <w:jc w:val="left"/>
            </w:pPr>
            <w:r>
              <w:rPr>
                <w:rFonts w:ascii="Calibri" w:hAnsi="Calibri"/>
                <w:color w:val="1A1A1A"/>
                <w:sz w:val="18"/>
              </w:rPr>
              <w:t>State the testable functional and non-functional requirements, and the feature set, for the client platform</w:t>
            </w:r>
          </w:p>
        </w:tc>
      </w:tr>
      <w:tr>
        <w:tc>
          <w:tcPr>
            <w:tcW w:type="dxa" w:w="2948"/>
            <w:shd w:val="clear" w:color="auto" w:fill="FAFBFC"/>
          </w:tcPr>
          <w:p>
            <w:pPr>
              <w:spacing w:after="0" w:line="252" w:lineRule="auto"/>
              <w:jc w:val="left"/>
            </w:pPr>
            <w:r>
              <w:rPr>
                <w:rFonts w:ascii="Calibri" w:hAnsi="Calibri"/>
                <w:b/>
                <w:color w:val="1A1A1A"/>
                <w:sz w:val="18"/>
              </w:rPr>
              <w:t>PRIMARY AUDIENCE</w:t>
            </w:r>
          </w:p>
        </w:tc>
        <w:tc>
          <w:tcPr>
            <w:tcW w:type="dxa" w:w="7370"/>
            <w:shd w:val="clear" w:color="auto" w:fill="FAFBFC"/>
          </w:tcPr>
          <w:p>
            <w:pPr>
              <w:spacing w:after="0" w:line="252" w:lineRule="auto"/>
              <w:jc w:val="left"/>
            </w:pPr>
            <w:r>
              <w:rPr>
                <w:rFonts w:ascii="Calibri" w:hAnsi="Calibri"/>
                <w:color w:val="1A1A1A"/>
                <w:sz w:val="18"/>
              </w:rPr>
              <w:t>Product, engineering, design, sales, delivery, finance, partnerships, and leadership</w:t>
            </w:r>
          </w:p>
        </w:tc>
      </w:tr>
      <w:tr>
        <w:tc>
          <w:tcPr>
            <w:tcW w:type="dxa" w:w="2948"/>
          </w:tcPr>
          <w:p>
            <w:pPr>
              <w:spacing w:after="0" w:line="252" w:lineRule="auto"/>
              <w:jc w:val="left"/>
            </w:pPr>
            <w:r>
              <w:rPr>
                <w:rFonts w:ascii="Calibri" w:hAnsi="Calibri"/>
                <w:b/>
                <w:color w:val="1A1A1A"/>
                <w:sz w:val="18"/>
              </w:rPr>
              <w:t>REVIEW MODE</w:t>
            </w:r>
          </w:p>
        </w:tc>
        <w:tc>
          <w:tcPr>
            <w:tcW w:type="dxa" w:w="7370"/>
          </w:tcPr>
          <w:p>
            <w:pPr>
              <w:spacing w:after="0" w:line="252" w:lineRule="auto"/>
              <w:jc w:val="left"/>
            </w:pPr>
            <w:r>
              <w:rPr>
                <w:rFonts w:ascii="Calibri" w:hAnsi="Calibri"/>
                <w:color w:val="1A1A1A"/>
                <w:sz w:val="18"/>
              </w:rPr>
              <w:t>Build specification — every requirement is either implemented, partially implemented, or scoped as new work</w:t>
            </w:r>
          </w:p>
        </w:tc>
      </w:tr>
      <w:tr>
        <w:tc>
          <w:tcPr>
            <w:tcW w:type="dxa" w:w="2948"/>
            <w:shd w:val="clear" w:color="auto" w:fill="FAFBFC"/>
          </w:tcPr>
          <w:p>
            <w:pPr>
              <w:spacing w:after="0" w:line="252" w:lineRule="auto"/>
              <w:jc w:val="left"/>
            </w:pPr>
            <w:r>
              <w:rPr>
                <w:rFonts w:ascii="Calibri" w:hAnsi="Calibri"/>
                <w:b/>
                <w:color w:val="1A1A1A"/>
                <w:sz w:val="18"/>
              </w:rPr>
              <w:t>SUPERSEDES</w:t>
            </w:r>
          </w:p>
        </w:tc>
        <w:tc>
          <w:tcPr>
            <w:tcW w:type="dxa" w:w="7370"/>
            <w:shd w:val="clear" w:color="auto" w:fill="FAFBFC"/>
          </w:tcPr>
          <w:p>
            <w:pPr>
              <w:spacing w:after="0" w:line="252" w:lineRule="auto"/>
              <w:jc w:val="left"/>
            </w:pPr>
            <w:r>
              <w:rPr>
                <w:rFonts w:ascii="Calibri" w:hAnsi="Calibri"/>
                <w:color w:val="1A1A1A"/>
                <w:sz w:val="18"/>
              </w:rPr>
              <w:t>Nothing. Derives from and makes testable the two architecture documents named below</w:t>
            </w:r>
          </w:p>
        </w:tc>
      </w:tr>
      <w:tr>
        <w:tc>
          <w:tcPr>
            <w:tcW w:type="dxa" w:w="2948"/>
          </w:tcPr>
          <w:p>
            <w:pPr>
              <w:spacing w:after="0" w:line="252" w:lineRule="auto"/>
              <w:jc w:val="left"/>
            </w:pPr>
            <w:r>
              <w:rPr>
                <w:rFonts w:ascii="Calibri" w:hAnsi="Calibri"/>
                <w:b/>
                <w:color w:val="1A1A1A"/>
                <w:sz w:val="18"/>
              </w:rPr>
              <w:t>PREPARED</w:t>
            </w:r>
          </w:p>
        </w:tc>
        <w:tc>
          <w:tcPr>
            <w:tcW w:type="dxa" w:w="7370"/>
          </w:tcPr>
          <w:p>
            <w:pPr>
              <w:spacing w:after="0" w:line="252" w:lineRule="auto"/>
              <w:jc w:val="left"/>
            </w:pPr>
            <w:r>
              <w:rPr>
                <w:rFonts w:ascii="Calibri" w:hAnsi="Calibri"/>
                <w:color w:val="1A1A1A"/>
                <w:sz w:val="18"/>
              </w:rPr>
              <w:t>24 August 2026</w:t>
            </w:r>
          </w:p>
        </w:tc>
      </w:tr>
    </w:tbl>
    <w:p>
      <w:pPr>
        <w:spacing w:after="80"/>
      </w:pPr>
    </w:p>
    <w:p>
      <w:r>
        <w:rPr>
          <w:rFonts w:ascii="Consolas" w:hAnsi="Consolas"/>
          <w:color w:val="8B2E2E"/>
        </w:rPr>
        <w:t>CLIENT &gt; PIPELINE &gt; PARTNER &gt; PRICING &gt; CONTRACT &gt; DELIVERY &gt; REVENUE &gt; INTELLIGENCE</w:t>
      </w:r>
    </w:p>
    <w:p>
      <w:pPr>
        <w:pStyle w:val="Heading1"/>
      </w:pPr>
      <w:r>
        <w:t>Contents</w:t>
      </w:r>
    </w:p>
    <w:p>
      <w:r>
        <w:rPr>
          <w:color w:val="6B6B6B"/>
          <w:sz w:val="18"/>
        </w:rPr>
        <w:fldChar w:fldCharType="begin"/>
        <w:instrText xml:space="preserve">TOC \o "1-2" \h \z \u</w:instrText>
        <w:fldChar w:fldCharType="separate"/>
        <w:t>Right-click here and choose Update Field to build the table of contents.</w:t>
        <w:fldChar w:fldCharType="end"/>
      </w:r>
    </w:p>
    <w:p>
      <w:r>
        <w:br w:type="page"/>
      </w:r>
    </w:p>
    <w:p>
      <w:pPr>
        <w:pStyle w:val="Heading1"/>
      </w:pPr>
      <w:r>
        <w:t>Section 0 — Context and how to read this</w:t>
      </w:r>
    </w:p>
    <w:p>
      <w:pPr>
        <w:pStyle w:val="Heading2"/>
      </w:pPr>
      <w:r>
        <w:t>Where this comes from</w:t>
      </w:r>
    </w:p>
    <w:p>
      <w:r>
        <w:rPr>
          <w:rFonts w:ascii="Calibri" w:hAnsi="Calibri"/>
          <w:color w:val="1A1A1A"/>
        </w:rPr>
        <w:t>Two architecture documents define the product intent:</w:t>
      </w:r>
    </w:p>
    <w:p>
      <w:pPr>
        <w:pStyle w:val="ListBullet"/>
        <w:spacing w:after="60"/>
      </w:pPr>
      <w:r>
        <w:rPr>
          <w:rFonts w:ascii="Calibri" w:hAnsi="Calibri"/>
          <w:color w:val="1F4E79"/>
          <w:u w:val="single"/>
        </w:rPr>
        <w:t>Client Management Platform — Seven Pillars</w:t>
      </w:r>
      <w:r>
        <w:rPr>
          <w:rFonts w:ascii="Calibri" w:hAnsi="Calibri"/>
          <w:color w:val="1A1A1A"/>
        </w:rPr>
        <w:t xml:space="preserve"> — Client, Pipeline, Partner, Contract, Delivery, Revenue, Client Intelligence.</w:t>
      </w:r>
    </w:p>
    <w:p>
      <w:pPr>
        <w:pStyle w:val="ListBullet"/>
        <w:spacing w:after="60"/>
      </w:pPr>
      <w:r>
        <w:rPr>
          <w:rFonts w:ascii="Calibri" w:hAnsi="Calibri"/>
          <w:color w:val="1F4E79"/>
          <w:u w:val="single"/>
        </w:rPr>
        <w:t>Engagement Pricing &amp; Quotation Desk</w:t>
      </w:r>
      <w:r>
        <w:rPr>
          <w:rFonts w:ascii="Calibri" w:hAnsi="Calibri"/>
          <w:color w:val="1A1A1A"/>
        </w:rPr>
        <w:t xml:space="preserve"> — Catalog, Sizing, Cost, Feasibility, Price, Decision, Quotation.</w:t>
      </w:r>
    </w:p>
    <w:p>
      <w:r>
        <w:rPr>
          <w:rFonts w:ascii="Calibri" w:hAnsi="Calibri"/>
          <w:color w:val="1A1A1A"/>
        </w:rPr>
        <w:t>Both are architecture narratives. They describe what should be true, not what can be built and tested. This document converts them into requirements.</w:t>
      </w:r>
    </w:p>
    <w:p>
      <w:r>
        <w:rPr>
          <w:rFonts w:ascii="Calibri" w:hAnsi="Calibri"/>
          <w:color w:val="1A1A1A"/>
        </w:rPr>
        <w:t xml:space="preserve">The second document was written as a </w:t>
      </w:r>
      <w:r>
        <w:rPr>
          <w:rFonts w:ascii="Calibri" w:hAnsi="Calibri"/>
          <w:b/>
          <w:color w:val="1A1A1A"/>
        </w:rPr>
        <w:t>separate employee-platform product</w:t>
      </w:r>
      <w:r>
        <w:rPr>
          <w:rFonts w:ascii="Calibri" w:hAnsi="Calibri"/>
          <w:color w:val="1A1A1A"/>
        </w:rPr>
        <w:t xml:space="preserve">, deliberately fenced off from the client platform so that salary-derived cost rates and named staff availability could never cross. </w:t>
      </w:r>
      <w:r>
        <w:rPr>
          <w:rFonts w:ascii="Calibri" w:hAnsi="Calibri"/>
          <w:b/>
          <w:color w:val="1A1A1A"/>
        </w:rPr>
        <w:t>That decision is reversed here.</w:t>
      </w:r>
      <w:r>
        <w:rPr>
          <w:rFonts w:ascii="Calibri" w:hAnsi="Calibri"/>
          <w:color w:val="1A1A1A"/>
        </w:rPr>
        <w:t xml:space="preserve"> The pricing desk becomes </w:t>
      </w:r>
      <w:r>
        <w:rPr>
          <w:rFonts w:ascii="Calibri" w:hAnsi="Calibri"/>
          <w:b/>
          <w:color w:val="1A1A1A"/>
        </w:rPr>
        <w:t>Pillar 4</w:t>
      </w:r>
      <w:r>
        <w:rPr>
          <w:rFonts w:ascii="Calibri" w:hAnsi="Calibri"/>
          <w:color w:val="1A1A1A"/>
        </w:rPr>
        <w:t xml:space="preserve"> of a single client platform. What was a platform boundary becomes a field-level permission boundary — see </w:t>
      </w:r>
      <w:r>
        <w:rPr>
          <w:rFonts w:ascii="Calibri" w:hAnsi="Calibri"/>
          <w:color w:val="1F4E79"/>
          <w:u w:val="single"/>
        </w:rPr>
        <w:t>Decision D-1</w:t>
      </w:r>
      <w:r>
        <w:rPr>
          <w:rFonts w:ascii="Calibri" w:hAnsi="Calibri"/>
          <w:color w:val="1A1A1A"/>
        </w:rPr>
        <w:t xml:space="preserve"> and the security requirements that pay for it.</w:t>
      </w:r>
    </w:p>
    <w:p>
      <w:r>
        <w:rPr>
          <w:rFonts w:ascii="Calibri" w:hAnsi="Calibri"/>
          <w:color w:val="1A1A1A"/>
        </w:rPr>
        <w:t xml:space="preserve">The current implementation is described in </w:t>
      </w:r>
      <w:r>
        <w:rPr>
          <w:rFonts w:ascii="Calibri" w:hAnsi="Calibri"/>
          <w:color w:val="1F4E79"/>
          <w:u w:val="single"/>
        </w:rPr>
        <w:t>CRM-OVERVIEW.md</w:t>
      </w:r>
      <w:r>
        <w:rPr>
          <w:rFonts w:ascii="Calibri" w:hAnsi="Calibri"/>
          <w:color w:val="1A1A1A"/>
        </w:rPr>
        <w:t>. Every requirement below is tagged against it.</w:t>
      </w:r>
    </w:p>
    <w:p>
      <w:pPr>
        <w:pStyle w:val="Heading2"/>
      </w:pPr>
      <w:r>
        <w:t>The eight pillars</w:t>
      </w:r>
    </w:p>
    <w:p>
      <w:r>
        <w:rPr>
          <w:rFonts w:ascii="Calibri" w:hAnsi="Calibri"/>
          <w:color w:val="1A1A1A"/>
        </w:rPr>
        <w:t>Pricing inserts at position 4 — the point where an opportunity becomes a promise — leaving the source numbering of Pillars 1 to 3 intact.</w:t>
      </w:r>
    </w:p>
    <w:p>
      <w:pPr>
        <w:spacing w:after="0" w:line="240" w:lineRule="auto"/>
        <w:ind w:left="227"/>
        <w:shd w:val="clear" w:color="auto" w:fill="F4F4F4"/>
      </w:pPr>
      <w:r>
        <w:rPr>
          <w:rFonts w:ascii="Consolas" w:hAnsi="Consolas"/>
          <w:color w:val="333333"/>
          <w:sz w:val="17"/>
        </w:rPr>
        <w:t xml:space="preserve">   ┌─ 1 CLIENT ──────────── who they are</w:t>
      </w:r>
    </w:p>
    <w:p>
      <w:pPr>
        <w:spacing w:after="0" w:line="240" w:lineRule="auto"/>
        <w:ind w:left="227"/>
        <w:shd w:val="clear" w:color="auto" w:fill="F4F4F4"/>
      </w:pPr>
      <w:r>
        <w:rPr>
          <w:rFonts w:ascii="Consolas" w:hAnsi="Consolas"/>
          <w:color w:val="333333"/>
          <w:sz w:val="17"/>
        </w:rPr>
        <w:t xml:space="preserve">   │</w:t>
      </w:r>
    </w:p>
    <w:p>
      <w:pPr>
        <w:spacing w:after="0" w:line="240" w:lineRule="auto"/>
        <w:ind w:left="227"/>
        <w:shd w:val="clear" w:color="auto" w:fill="F4F4F4"/>
      </w:pPr>
      <w:r>
        <w:rPr>
          <w:rFonts w:ascii="Consolas" w:hAnsi="Consolas"/>
          <w:color w:val="333333"/>
          <w:sz w:val="17"/>
        </w:rPr>
        <w:t xml:space="preserve">   ├─ 2 PIPELINE ────────── what is in play</w:t>
      </w:r>
    </w:p>
    <w:p>
      <w:pPr>
        <w:spacing w:after="0" w:line="240" w:lineRule="auto"/>
        <w:ind w:left="227"/>
        <w:shd w:val="clear" w:color="auto" w:fill="F4F4F4"/>
      </w:pPr>
      <w:r>
        <w:rPr>
          <w:rFonts w:ascii="Consolas" w:hAnsi="Consolas"/>
          <w:color w:val="333333"/>
          <w:sz w:val="17"/>
        </w:rPr>
        <w:t xml:space="preserve">   │        │</w:t>
      </w:r>
    </w:p>
    <w:p>
      <w:pPr>
        <w:spacing w:after="0" w:line="240" w:lineRule="auto"/>
        <w:ind w:left="227"/>
        <w:shd w:val="clear" w:color="auto" w:fill="F4F4F4"/>
      </w:pPr>
      <w:r>
        <w:rPr>
          <w:rFonts w:ascii="Consolas" w:hAnsi="Consolas"/>
          <w:color w:val="333333"/>
          <w:sz w:val="17"/>
        </w:rPr>
        <w:t xml:space="preserve">   │        ├─ 3 PARTNER ── who brought it</w:t>
      </w:r>
    </w:p>
    <w:p>
      <w:pPr>
        <w:spacing w:after="0" w:line="240" w:lineRule="auto"/>
        <w:ind w:left="227"/>
        <w:shd w:val="clear" w:color="auto" w:fill="F4F4F4"/>
      </w:pPr>
      <w:r>
        <w:rPr>
          <w:rFonts w:ascii="Consolas" w:hAnsi="Consolas"/>
          <w:color w:val="333333"/>
          <w:sz w:val="17"/>
        </w:rPr>
        <w:t xml:space="preserve">   │        │</w:t>
      </w:r>
    </w:p>
    <w:p>
      <w:pPr>
        <w:spacing w:after="0" w:line="240" w:lineRule="auto"/>
        <w:ind w:left="227"/>
        <w:shd w:val="clear" w:color="auto" w:fill="F4F4F4"/>
      </w:pPr>
      <w:r>
        <w:rPr>
          <w:rFonts w:ascii="Consolas" w:hAnsi="Consolas"/>
          <w:color w:val="333333"/>
          <w:sz w:val="17"/>
        </w:rPr>
        <w:t xml:space="preserve">   │        ▼</w:t>
      </w:r>
    </w:p>
    <w:p>
      <w:pPr>
        <w:spacing w:after="0" w:line="240" w:lineRule="auto"/>
        <w:ind w:left="227"/>
        <w:shd w:val="clear" w:color="auto" w:fill="F4F4F4"/>
      </w:pPr>
      <w:r>
        <w:rPr>
          <w:rFonts w:ascii="Consolas" w:hAnsi="Consolas"/>
          <w:color w:val="333333"/>
          <w:sz w:val="17"/>
        </w:rPr>
        <w:t xml:space="preserve">   ├─ 4 PRICING ─────────── what it costs, what we charge, what we send</w:t>
      </w:r>
    </w:p>
    <w:p>
      <w:pPr>
        <w:spacing w:after="0" w:line="240" w:lineRule="auto"/>
        <w:ind w:left="227"/>
        <w:shd w:val="clear" w:color="auto" w:fill="F4F4F4"/>
      </w:pPr>
      <w:r>
        <w:rPr>
          <w:rFonts w:ascii="Consolas" w:hAnsi="Consolas"/>
          <w:color w:val="333333"/>
          <w:sz w:val="17"/>
        </w:rPr>
        <w:t xml:space="preserve">   │        │</w:t>
      </w:r>
    </w:p>
    <w:p>
      <w:pPr>
        <w:spacing w:after="0" w:line="240" w:lineRule="auto"/>
        <w:ind w:left="227"/>
        <w:shd w:val="clear" w:color="auto" w:fill="F4F4F4"/>
      </w:pPr>
      <w:r>
        <w:rPr>
          <w:rFonts w:ascii="Consolas" w:hAnsi="Consolas"/>
          <w:color w:val="333333"/>
          <w:sz w:val="17"/>
        </w:rPr>
        <w:t xml:space="preserve">   │        ▼</w:t>
      </w:r>
    </w:p>
    <w:p>
      <w:pPr>
        <w:spacing w:after="0" w:line="240" w:lineRule="auto"/>
        <w:ind w:left="227"/>
        <w:shd w:val="clear" w:color="auto" w:fill="F4F4F4"/>
      </w:pPr>
      <w:r>
        <w:rPr>
          <w:rFonts w:ascii="Consolas" w:hAnsi="Consolas"/>
          <w:color w:val="333333"/>
          <w:sz w:val="17"/>
        </w:rPr>
        <w:t xml:space="preserve">   ├─ 5 CONTRACT ────────── what we agreed</w:t>
      </w:r>
    </w:p>
    <w:p>
      <w:pPr>
        <w:spacing w:after="0" w:line="240" w:lineRule="auto"/>
        <w:ind w:left="227"/>
        <w:shd w:val="clear" w:color="auto" w:fill="F4F4F4"/>
      </w:pPr>
      <w:r>
        <w:rPr>
          <w:rFonts w:ascii="Consolas" w:hAnsi="Consolas"/>
          <w:color w:val="333333"/>
          <w:sz w:val="17"/>
        </w:rPr>
        <w:t xml:space="preserve">   │        │</w:t>
      </w:r>
    </w:p>
    <w:p>
      <w:pPr>
        <w:spacing w:after="0" w:line="240" w:lineRule="auto"/>
        <w:ind w:left="227"/>
        <w:shd w:val="clear" w:color="auto" w:fill="F4F4F4"/>
      </w:pPr>
      <w:r>
        <w:rPr>
          <w:rFonts w:ascii="Consolas" w:hAnsi="Consolas"/>
          <w:color w:val="333333"/>
          <w:sz w:val="17"/>
        </w:rPr>
        <w:t xml:space="preserve">   │        ▼</w:t>
      </w:r>
    </w:p>
    <w:p>
      <w:pPr>
        <w:spacing w:after="0" w:line="240" w:lineRule="auto"/>
        <w:ind w:left="227"/>
        <w:shd w:val="clear" w:color="auto" w:fill="F4F4F4"/>
      </w:pPr>
      <w:r>
        <w:rPr>
          <w:rFonts w:ascii="Consolas" w:hAnsi="Consolas"/>
          <w:color w:val="333333"/>
          <w:sz w:val="17"/>
        </w:rPr>
        <w:t xml:space="preserve">   ├─ 6 DELIVERY ────────── what we delivered</w:t>
      </w:r>
    </w:p>
    <w:p>
      <w:pPr>
        <w:spacing w:after="0" w:line="240" w:lineRule="auto"/>
        <w:ind w:left="227"/>
        <w:shd w:val="clear" w:color="auto" w:fill="F4F4F4"/>
      </w:pPr>
      <w:r>
        <w:rPr>
          <w:rFonts w:ascii="Consolas" w:hAnsi="Consolas"/>
          <w:color w:val="333333"/>
          <w:sz w:val="17"/>
        </w:rPr>
        <w:t xml:space="preserve">   │        │</w:t>
      </w:r>
    </w:p>
    <w:p>
      <w:pPr>
        <w:spacing w:after="0" w:line="240" w:lineRule="auto"/>
        <w:ind w:left="227"/>
        <w:shd w:val="clear" w:color="auto" w:fill="F4F4F4"/>
      </w:pPr>
      <w:r>
        <w:rPr>
          <w:rFonts w:ascii="Consolas" w:hAnsi="Consolas"/>
          <w:color w:val="333333"/>
          <w:sz w:val="17"/>
        </w:rPr>
        <w:t xml:space="preserve">   │        ▼</w:t>
      </w:r>
    </w:p>
    <w:p>
      <w:pPr>
        <w:spacing w:after="0" w:line="240" w:lineRule="auto"/>
        <w:ind w:left="227"/>
        <w:shd w:val="clear" w:color="auto" w:fill="F4F4F4"/>
      </w:pPr>
      <w:r>
        <w:rPr>
          <w:rFonts w:ascii="Consolas" w:hAnsi="Consolas"/>
          <w:color w:val="333333"/>
          <w:sz w:val="17"/>
        </w:rPr>
        <w:t xml:space="preserve">   ├─ 7 REVENUE ─────────── what we earned and collected</w:t>
      </w:r>
    </w:p>
    <w:p>
      <w:pPr>
        <w:spacing w:after="0" w:line="240" w:lineRule="auto"/>
        <w:ind w:left="227"/>
        <w:shd w:val="clear" w:color="auto" w:fill="F4F4F4"/>
      </w:pPr>
      <w:r>
        <w:rPr>
          <w:rFonts w:ascii="Consolas" w:hAnsi="Consolas"/>
          <w:color w:val="333333"/>
          <w:sz w:val="17"/>
        </w:rPr>
        <w:t xml:space="preserve">   │</w:t>
      </w:r>
    </w:p>
    <w:p>
      <w:pPr>
        <w:spacing w:after="0" w:line="240" w:lineRule="auto"/>
        <w:ind w:left="227"/>
        <w:shd w:val="clear" w:color="auto" w:fill="F4F4F4"/>
      </w:pPr>
      <w:r>
        <w:rPr>
          <w:rFonts w:ascii="Consolas" w:hAnsi="Consolas"/>
          <w:color w:val="333333"/>
          <w:sz w:val="17"/>
        </w:rPr>
        <w:t xml:space="preserve">   └─ 8 INTELLIGENCE ────── what needs attention, and who acts</w:t>
      </w:r>
    </w:p>
    <w:p>
      <w:pPr>
        <w:spacing w:after="80"/>
      </w:pPr>
    </w:p>
    <w:p>
      <w:pPr>
        <w:pStyle w:val="Heading2"/>
      </w:pPr>
      <w:r>
        <w:t>Status tags</w:t>
      </w:r>
    </w:p>
    <w:p>
      <w:r>
        <w:rPr>
          <w:rFonts w:ascii="Calibri" w:hAnsi="Calibri"/>
          <w:color w:val="1A1A1A"/>
        </w:rPr>
        <w:t>Every functional requirement carries one:</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5159"/>
        <w:gridCol w:w="5159"/>
      </w:tblGrid>
      <w:tr>
        <w:trPr>
          <w:tblHeader w:val="true"/>
        </w:trPr>
        <w:tc>
          <w:tcPr>
            <w:tcW w:type="dxa" w:w="2948"/>
            <w:shd w:val="clear" w:color="auto" w:fill="E8EDF2"/>
          </w:tcPr>
          <w:p>
            <w:pPr>
              <w:spacing w:after="0"/>
              <w:jc w:val="left"/>
            </w:pPr>
            <w:r>
              <w:rPr>
                <w:rFonts w:ascii="Calibri" w:hAnsi="Calibri"/>
                <w:b/>
                <w:color w:val="1A1A1A"/>
                <w:sz w:val="18"/>
              </w:rPr>
              <w:t>Tag</w:t>
            </w:r>
          </w:p>
        </w:tc>
        <w:tc>
          <w:tcPr>
            <w:tcW w:type="dxa" w:w="7370"/>
            <w:shd w:val="clear" w:color="auto" w:fill="E8EDF2"/>
          </w:tcPr>
          <w:p>
            <w:pPr>
              <w:spacing w:after="0"/>
              <w:jc w:val="left"/>
            </w:pPr>
            <w:r>
              <w:rPr>
                <w:rFonts w:ascii="Calibri" w:hAnsi="Calibri"/>
                <w:b/>
                <w:color w:val="1A1A1A"/>
                <w:sz w:val="18"/>
              </w:rPr>
              <w:t>Meaning</w:t>
            </w:r>
          </w:p>
        </w:tc>
      </w:tr>
      <w:tr>
        <w:tc>
          <w:tcPr>
            <w:tcW w:type="dxa" w:w="2948"/>
          </w:tcPr>
          <w:p>
            <w:pPr>
              <w:spacing w:after="0" w:line="252" w:lineRule="auto"/>
              <w:jc w:val="left"/>
            </w:pPr>
            <w:r>
              <w:rPr>
                <w:rFonts w:ascii="Calibri" w:hAnsi="Calibri"/>
                <w:b/>
                <w:color w:val="1E6B33"/>
                <w:sz w:val="18"/>
              </w:rPr>
              <w:t>EXISTS</w:t>
            </w:r>
          </w:p>
        </w:tc>
        <w:tc>
          <w:tcPr>
            <w:tcW w:type="dxa" w:w="7370"/>
          </w:tcPr>
          <w:p>
            <w:pPr>
              <w:spacing w:after="0" w:line="252" w:lineRule="auto"/>
              <w:jc w:val="left"/>
            </w:pPr>
            <w:r>
              <w:rPr>
                <w:rFonts w:ascii="Calibri" w:hAnsi="Calibri"/>
                <w:color w:val="1A1A1A"/>
                <w:sz w:val="18"/>
              </w:rPr>
              <w:t>Implemented and working today. Listed so the specification is complete, and so nobody rebuilds it</w:t>
            </w:r>
          </w:p>
        </w:tc>
      </w:tr>
      <w:tr>
        <w:tc>
          <w:tcPr>
            <w:tcW w:type="dxa" w:w="2948"/>
            <w:shd w:val="clear" w:color="auto" w:fill="FAFBFC"/>
          </w:tcPr>
          <w:p>
            <w:pPr>
              <w:spacing w:after="0" w:line="252" w:lineRule="auto"/>
              <w:jc w:val="left"/>
            </w:pPr>
            <w:r>
              <w:rPr>
                <w:rFonts w:ascii="Calibri" w:hAnsi="Calibri"/>
                <w:b/>
                <w:color w:val="9A5B00"/>
                <w:sz w:val="18"/>
              </w:rPr>
              <w:t>PARTIAL</w:t>
            </w:r>
          </w:p>
        </w:tc>
        <w:tc>
          <w:tcPr>
            <w:tcW w:type="dxa" w:w="7370"/>
            <w:shd w:val="clear" w:color="auto" w:fill="FAFBFC"/>
          </w:tcPr>
          <w:p>
            <w:pPr>
              <w:spacing w:after="0" w:line="252" w:lineRule="auto"/>
              <w:jc w:val="left"/>
            </w:pPr>
            <w:r>
              <w:rPr>
                <w:rFonts w:ascii="Calibri" w:hAnsi="Calibri"/>
                <w:color w:val="1A1A1A"/>
                <w:sz w:val="18"/>
              </w:rPr>
              <w:t>Something is there, but it does not meet the requirement as stated. The gap is named in the row</w:t>
            </w:r>
          </w:p>
        </w:tc>
      </w:tr>
      <w:tr>
        <w:tc>
          <w:tcPr>
            <w:tcW w:type="dxa" w:w="2948"/>
          </w:tcPr>
          <w:p>
            <w:pPr>
              <w:spacing w:after="0" w:line="252" w:lineRule="auto"/>
              <w:jc w:val="left"/>
            </w:pPr>
            <w:r>
              <w:rPr>
                <w:rFonts w:ascii="Calibri" w:hAnsi="Calibri"/>
                <w:b/>
                <w:color w:val="1F4E79"/>
                <w:sz w:val="18"/>
              </w:rPr>
              <w:t>NEW</w:t>
            </w:r>
          </w:p>
        </w:tc>
        <w:tc>
          <w:tcPr>
            <w:tcW w:type="dxa" w:w="7370"/>
          </w:tcPr>
          <w:p>
            <w:pPr>
              <w:spacing w:after="0" w:line="252" w:lineRule="auto"/>
              <w:jc w:val="left"/>
            </w:pPr>
            <w:r>
              <w:rPr>
                <w:rFonts w:ascii="Calibri" w:hAnsi="Calibri"/>
                <w:color w:val="1A1A1A"/>
                <w:sz w:val="18"/>
              </w:rPr>
              <w:t>No implementation. Net new build</w:t>
            </w:r>
          </w:p>
        </w:tc>
      </w:tr>
      <w:tr>
        <w:tc>
          <w:tcPr>
            <w:tcW w:type="dxa" w:w="2948"/>
            <w:shd w:val="clear" w:color="auto" w:fill="FAFBFC"/>
          </w:tcPr>
          <w:p>
            <w:pPr>
              <w:spacing w:after="0" w:line="252" w:lineRule="auto"/>
              <w:jc w:val="left"/>
            </w:pPr>
            <w:r>
              <w:rPr>
                <w:rFonts w:ascii="Calibri" w:hAnsi="Calibri"/>
                <w:b/>
                <w:color w:val="1A1A1A"/>
                <w:sz w:val="18"/>
              </w:rPr>
              <w:t>WITHDRAWN</w:t>
            </w:r>
          </w:p>
        </w:tc>
        <w:tc>
          <w:tcPr>
            <w:tcW w:type="dxa" w:w="7370"/>
            <w:shd w:val="clear" w:color="auto" w:fill="FAFBFC"/>
          </w:tcPr>
          <w:p>
            <w:pPr>
              <w:spacing w:after="0" w:line="252" w:lineRule="auto"/>
              <w:jc w:val="left"/>
            </w:pPr>
            <w:r>
              <w:rPr>
                <w:rFonts w:ascii="Calibri" w:hAnsi="Calibri"/>
                <w:color w:val="1A1A1A"/>
                <w:sz w:val="18"/>
              </w:rPr>
              <w:t>Proposed in the initial draft and cut during review. The row is kept, struck through, with the reason and the date. It is not built</w:t>
            </w:r>
          </w:p>
        </w:tc>
      </w:tr>
    </w:tbl>
    <w:p>
      <w:pPr>
        <w:spacing w:after="80"/>
      </w:pPr>
    </w:p>
    <w:p>
      <w:pPr>
        <w:pStyle w:val="Heading2"/>
      </w:pPr>
      <w:r>
        <w:t>Requirement identifiers</w:t>
      </w:r>
    </w:p>
    <w:p>
      <w:pPr>
        <w:pStyle w:val="ListBullet"/>
        <w:spacing w:after="60"/>
      </w:pPr>
      <w:r>
        <w:rPr>
          <w:rFonts w:ascii="Consolas" w:hAnsi="Consolas"/>
          <w:color w:val="8B2E2E"/>
        </w:rPr>
        <w:t>FR-P&lt;pillar&gt;-&lt;nn&gt;</w:t>
      </w:r>
      <w:r>
        <w:rPr>
          <w:rFonts w:ascii="Calibri" w:hAnsi="Calibri"/>
          <w:color w:val="1A1A1A"/>
        </w:rPr>
        <w:t xml:space="preserve"> — functional requirement owned by a pillar.</w:t>
      </w:r>
    </w:p>
    <w:p>
      <w:pPr>
        <w:pStyle w:val="ListBullet"/>
        <w:spacing w:after="60"/>
      </w:pPr>
      <w:r>
        <w:rPr>
          <w:rFonts w:ascii="Consolas" w:hAnsi="Consolas"/>
          <w:color w:val="8B2E2E"/>
        </w:rPr>
        <w:t>FR-X-&lt;nn&gt;</w:t>
      </w:r>
      <w:r>
        <w:rPr>
          <w:rFonts w:ascii="Calibri" w:hAnsi="Calibri"/>
          <w:color w:val="1A1A1A"/>
        </w:rPr>
        <w:t xml:space="preserve"> — cross-cutting functional requirement, owned by the platform rather than a pillar.</w:t>
      </w:r>
    </w:p>
    <w:p>
      <w:pPr>
        <w:pStyle w:val="ListBullet"/>
        <w:spacing w:after="60"/>
      </w:pPr>
      <w:r>
        <w:rPr>
          <w:rFonts w:ascii="Consolas" w:hAnsi="Consolas"/>
          <w:color w:val="8B2E2E"/>
        </w:rPr>
        <w:t>NFR-&lt;GROUP&gt;-&lt;nn&gt;</w:t>
      </w:r>
      <w:r>
        <w:rPr>
          <w:rFonts w:ascii="Calibri" w:hAnsi="Calibri"/>
          <w:color w:val="1A1A1A"/>
        </w:rPr>
        <w:t xml:space="preserve"> — non-functional requirement.</w:t>
      </w:r>
    </w:p>
    <w:p>
      <w:r>
        <w:rPr>
          <w:rFonts w:ascii="Calibri" w:hAnsi="Calibri"/>
          <w:color w:val="1A1A1A"/>
        </w:rPr>
        <w:t>Identifiers are permanent. If a requirement is dropped, its number is retired rather than reused.</w:t>
      </w:r>
    </w:p>
    <w:p>
      <w:pPr>
        <w:pStyle w:val="Heading2"/>
      </w:pPr>
      <w:r>
        <w:t>Revision history</w:t>
      </w:r>
    </w:p>
    <w:p>
      <w:r>
        <w:rPr>
          <w:rFonts w:ascii="Calibri" w:hAnsi="Calibri"/>
          <w:color w:val="1A1A1A"/>
        </w:rPr>
        <w:t>The initial draft was derived from the two source documents plus an audit of the codebase, with no business input. It is being reviewed pillar by pillar. Each row records what changed and on whose decision.</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439"/>
        <w:gridCol w:w="3439"/>
        <w:gridCol w:w="3439"/>
      </w:tblGrid>
      <w:tr>
        <w:trPr>
          <w:tblHeader w:val="true"/>
        </w:trPr>
        <w:tc>
          <w:tcPr>
            <w:tcW w:type="dxa" w:w="2494"/>
            <w:shd w:val="clear" w:color="auto" w:fill="E8EDF2"/>
          </w:tcPr>
          <w:p>
            <w:pPr>
              <w:spacing w:after="0"/>
              <w:jc w:val="left"/>
            </w:pPr>
            <w:r>
              <w:rPr>
                <w:rFonts w:ascii="Calibri" w:hAnsi="Calibri"/>
                <w:b/>
                <w:color w:val="1A1A1A"/>
                <w:sz w:val="18"/>
              </w:rPr>
              <w:t>Date</w:t>
            </w:r>
          </w:p>
        </w:tc>
        <w:tc>
          <w:tcPr>
            <w:tcW w:type="dxa" w:w="3912"/>
            <w:shd w:val="clear" w:color="auto" w:fill="E8EDF2"/>
          </w:tcPr>
          <w:p>
            <w:pPr>
              <w:spacing w:after="0"/>
              <w:jc w:val="left"/>
            </w:pPr>
            <w:r>
              <w:rPr>
                <w:rFonts w:ascii="Calibri" w:hAnsi="Calibri"/>
                <w:b/>
                <w:color w:val="1A1A1A"/>
                <w:sz w:val="18"/>
              </w:rPr>
              <w:t>Scope</w:t>
            </w:r>
          </w:p>
        </w:tc>
        <w:tc>
          <w:tcPr>
            <w:tcW w:type="dxa" w:w="3912"/>
            <w:shd w:val="clear" w:color="auto" w:fill="E8EDF2"/>
          </w:tcPr>
          <w:p>
            <w:pPr>
              <w:spacing w:after="0"/>
              <w:jc w:val="left"/>
            </w:pPr>
            <w:r>
              <w:rPr>
                <w:rFonts w:ascii="Calibri" w:hAnsi="Calibri"/>
                <w:b/>
                <w:color w:val="1A1A1A"/>
                <w:sz w:val="18"/>
              </w:rPr>
              <w:t>Decisions taken</w:t>
            </w:r>
          </w:p>
        </w:tc>
      </w:tr>
      <w:tr>
        <w:tc>
          <w:tcPr>
            <w:tcW w:type="dxa" w:w="2494"/>
          </w:tcPr>
          <w:p>
            <w:pPr>
              <w:spacing w:after="0" w:line="252" w:lineRule="auto"/>
              <w:jc w:val="left"/>
            </w:pPr>
            <w:r>
              <w:rPr>
                <w:rFonts w:ascii="Calibri" w:hAnsi="Calibri"/>
                <w:color w:val="1A1A1A"/>
                <w:sz w:val="18"/>
              </w:rPr>
              <w:t>24 Aug 2026</w:t>
            </w:r>
          </w:p>
        </w:tc>
        <w:tc>
          <w:tcPr>
            <w:tcW w:type="dxa" w:w="3912"/>
          </w:tcPr>
          <w:p>
            <w:pPr>
              <w:spacing w:after="0" w:line="252" w:lineRule="auto"/>
              <w:jc w:val="left"/>
            </w:pPr>
            <w:r>
              <w:rPr>
                <w:rFonts w:ascii="Calibri" w:hAnsi="Calibri"/>
                <w:color w:val="1A1A1A"/>
                <w:sz w:val="18"/>
              </w:rPr>
              <w:t>Initial draft</w:t>
            </w:r>
          </w:p>
        </w:tc>
        <w:tc>
          <w:tcPr>
            <w:tcW w:type="dxa" w:w="3912"/>
          </w:tcPr>
          <w:p>
            <w:pPr>
              <w:spacing w:after="0" w:line="252" w:lineRule="auto"/>
              <w:jc w:val="left"/>
            </w:pPr>
            <w:r>
              <w:rPr>
                <w:rFonts w:ascii="Calibri" w:hAnsi="Calibri"/>
                <w:color w:val="1A1A1A"/>
                <w:sz w:val="18"/>
              </w:rPr>
              <w:t>188 functional and 56 non-functional requirements authored from the source documents and a codebase audit. Unvalidated</w:t>
            </w:r>
          </w:p>
        </w:tc>
      </w:tr>
      <w:tr>
        <w:tc>
          <w:tcPr>
            <w:tcW w:type="dxa" w:w="2494"/>
            <w:shd w:val="clear" w:color="auto" w:fill="FAFBFC"/>
          </w:tcPr>
          <w:p>
            <w:pPr>
              <w:spacing w:after="0" w:line="252" w:lineRule="auto"/>
              <w:jc w:val="left"/>
            </w:pPr>
            <w:r>
              <w:rPr>
                <w:rFonts w:ascii="Calibri" w:hAnsi="Calibri"/>
                <w:color w:val="1A1A1A"/>
                <w:sz w:val="18"/>
              </w:rPr>
              <w:t>25 Aug 2026</w:t>
            </w:r>
          </w:p>
        </w:tc>
        <w:tc>
          <w:tcPr>
            <w:tcW w:type="dxa" w:w="3912"/>
            <w:shd w:val="clear" w:color="auto" w:fill="FAFBFC"/>
          </w:tcPr>
          <w:p>
            <w:pPr>
              <w:spacing w:after="0" w:line="252" w:lineRule="auto"/>
              <w:jc w:val="left"/>
            </w:pPr>
            <w:r>
              <w:rPr>
                <w:rFonts w:ascii="Calibri" w:hAnsi="Calibri"/>
                <w:b/>
                <w:color w:val="1A1A1A"/>
                <w:sz w:val="18"/>
              </w:rPr>
              <w:t>Review paused after Pillar 5</w:t>
            </w:r>
          </w:p>
        </w:tc>
        <w:tc>
          <w:tcPr>
            <w:tcW w:type="dxa" w:w="3912"/>
            <w:shd w:val="clear" w:color="auto" w:fill="FAFBFC"/>
          </w:tcPr>
          <w:p>
            <w:pPr>
              <w:spacing w:after="0" w:line="252" w:lineRule="auto"/>
              <w:jc w:val="left"/>
            </w:pPr>
            <w:r>
              <w:rPr>
                <w:rFonts w:ascii="Calibri" w:hAnsi="Calibri"/>
                <w:color w:val="1A1A1A"/>
                <w:sz w:val="18"/>
              </w:rPr>
              <w:t xml:space="preserve">Pillars 1–5 reviewed and agreed. </w:t>
            </w:r>
            <w:r>
              <w:rPr>
                <w:rFonts w:ascii="Calibri" w:hAnsi="Calibri"/>
                <w:b/>
                <w:color w:val="1A1A1A"/>
                <w:sz w:val="18"/>
              </w:rPr>
              <w:t>Pillars 6, 7, 8 and Section C remain UNREVIEWED</w:t>
            </w:r>
            <w:r>
              <w:rPr>
                <w:rFonts w:ascii="Calibri" w:hAnsi="Calibri"/>
                <w:color w:val="1A1A1A"/>
                <w:sz w:val="18"/>
              </w:rPr>
              <w:t xml:space="preserve"> and are marked as such in place. Work moved to building the Pillar 4 cost engine. Outstanding reconciliation: FR-P5-07 now permits milestone-triggered billing, which FR-P6-04 and FR-P7-05 must support</w:t>
            </w:r>
          </w:p>
        </w:tc>
      </w:tr>
      <w:tr>
        <w:tc>
          <w:tcPr>
            <w:tcW w:type="dxa" w:w="2494"/>
          </w:tcPr>
          <w:p>
            <w:pPr>
              <w:spacing w:after="0" w:line="252" w:lineRule="auto"/>
              <w:jc w:val="left"/>
            </w:pPr>
            <w:r>
              <w:rPr>
                <w:rFonts w:ascii="Calibri" w:hAnsi="Calibri"/>
                <w:color w:val="1A1A1A"/>
                <w:sz w:val="18"/>
              </w:rPr>
              <w:t>24 Aug 2026</w:t>
            </w:r>
          </w:p>
        </w:tc>
        <w:tc>
          <w:tcPr>
            <w:tcW w:type="dxa" w:w="3912"/>
          </w:tcPr>
          <w:p>
            <w:pPr>
              <w:spacing w:after="0" w:line="252" w:lineRule="auto"/>
              <w:jc w:val="left"/>
            </w:pPr>
            <w:r>
              <w:rPr>
                <w:rFonts w:ascii="Calibri" w:hAnsi="Calibri"/>
                <w:b/>
                <w:color w:val="1A1A1A"/>
                <w:sz w:val="18"/>
              </w:rPr>
              <w:t>Pillar 1 reviewed</w:t>
            </w:r>
          </w:p>
        </w:tc>
        <w:tc>
          <w:tcPr>
            <w:tcW w:type="dxa" w:w="3912"/>
          </w:tcPr>
          <w:p>
            <w:pPr>
              <w:spacing w:after="0" w:line="252" w:lineRule="auto"/>
              <w:jc w:val="left"/>
            </w:pPr>
            <w:r>
              <w:rPr>
                <w:rFonts w:ascii="Calibri" w:hAnsi="Calibri"/>
                <w:color w:val="1A1A1A"/>
                <w:sz w:val="18"/>
              </w:rPr>
              <w:t>Client group structure cut — reporting is per legal entity (</w:t>
            </w:r>
            <w:r>
              <w:rPr>
                <w:rFonts w:ascii="Calibri" w:hAnsi="Calibri"/>
                <w:b/>
                <w:color w:val="1A1A1A"/>
                <w:sz w:val="18"/>
              </w:rPr>
              <w:t>Q-5 closed</w:t>
            </w:r>
            <w:r>
              <w:rPr>
                <w:rFonts w:ascii="Calibri" w:hAnsi="Calibri"/>
                <w:color w:val="1A1A1A"/>
                <w:sz w:val="18"/>
              </w:rPr>
              <w:t>). Merge built for both contacts and companies; duplicate detection stays contacts-only. All four contact relationship fields kept, with relationship strength specified as computed rather than manual. Domain enrichment cut. Data-quality worklist cut. Structured client profile added to feed Pillar 4 sizing</w:t>
            </w:r>
          </w:p>
        </w:tc>
      </w:tr>
      <w:tr>
        <w:tc>
          <w:tcPr>
            <w:tcW w:type="dxa" w:w="2494"/>
            <w:shd w:val="clear" w:color="auto" w:fill="FAFBFC"/>
          </w:tcPr>
          <w:p>
            <w:pPr>
              <w:spacing w:after="0" w:line="252" w:lineRule="auto"/>
              <w:jc w:val="left"/>
            </w:pPr>
            <w:r>
              <w:rPr>
                <w:rFonts w:ascii="Calibri" w:hAnsi="Calibri"/>
                <w:color w:val="1A1A1A"/>
                <w:sz w:val="18"/>
              </w:rPr>
              <w:t>25 Aug 2026</w:t>
            </w:r>
          </w:p>
        </w:tc>
        <w:tc>
          <w:tcPr>
            <w:tcW w:type="dxa" w:w="3912"/>
            <w:shd w:val="clear" w:color="auto" w:fill="FAFBFC"/>
          </w:tcPr>
          <w:p>
            <w:pPr>
              <w:spacing w:after="0" w:line="252" w:lineRule="auto"/>
              <w:jc w:val="left"/>
            </w:pPr>
            <w:r>
              <w:rPr>
                <w:rFonts w:ascii="Calibri" w:hAnsi="Calibri"/>
                <w:b/>
                <w:color w:val="1A1A1A"/>
                <w:sz w:val="18"/>
              </w:rPr>
              <w:t>Pillar 5 reviewed</w:t>
            </w:r>
          </w:p>
        </w:tc>
        <w:tc>
          <w:tcPr>
            <w:tcW w:type="dxa" w:w="3912"/>
            <w:shd w:val="clear" w:color="auto" w:fill="FAFBFC"/>
          </w:tcPr>
          <w:p>
            <w:pPr>
              <w:spacing w:after="0" w:line="252" w:lineRule="auto"/>
              <w:jc w:val="left"/>
            </w:pPr>
            <w:r>
              <w:rPr>
                <w:rFonts w:ascii="Calibri" w:hAnsi="Calibri"/>
                <w:color w:val="1A1A1A"/>
                <w:sz w:val="18"/>
              </w:rPr>
              <w:t xml:space="preserve">Contract stays </w:t>
            </w:r>
            <w:r>
              <w:rPr>
                <w:rFonts w:ascii="Calibri" w:hAnsi="Calibri"/>
                <w:b/>
                <w:color w:val="1A1A1A"/>
                <w:sz w:val="18"/>
              </w:rPr>
              <w:t>one-per-opportunity</w:t>
            </w:r>
            <w:r>
              <w:rPr>
                <w:rFonts w:ascii="Calibri" w:hAnsi="Calibri"/>
                <w:color w:val="1A1A1A"/>
                <w:sz w:val="18"/>
              </w:rPr>
              <w:t xml:space="preserve"> — FR-P5-01 withdrawn; a renewal is a new opportunity, and amendments and change orders attach as child records. Document upload with versioning confirmed; no e-signature. Billing schedule supports </w:t>
            </w:r>
            <w:r>
              <w:rPr>
                <w:rFonts w:ascii="Calibri" w:hAnsi="Calibri"/>
                <w:b/>
                <w:color w:val="1A1A1A"/>
                <w:sz w:val="18"/>
              </w:rPr>
              <w:t>both date-based and milestone-triggered</w:t>
            </w:r>
            <w:r>
              <w:rPr>
                <w:rFonts w:ascii="Calibri" w:hAnsi="Calibri"/>
                <w:color w:val="1A1A1A"/>
                <w:sz w:val="18"/>
              </w:rPr>
              <w:t xml:space="preserve"> instalments. Added FR-P5-16 for GSTIN, place of supply, SAC code, billing address and invoicing contact, none of which exist anywhere in the schema. Added FR-P5-17 to record payments against instalments. Contract access goes to super admins and holders of the financial permission — not deal owners or delivery leads</w:t>
            </w:r>
          </w:p>
        </w:tc>
      </w:tr>
      <w:tr>
        <w:tc>
          <w:tcPr>
            <w:tcW w:type="dxa" w:w="2494"/>
          </w:tcPr>
          <w:p>
            <w:pPr>
              <w:spacing w:after="0" w:line="252" w:lineRule="auto"/>
              <w:jc w:val="left"/>
            </w:pPr>
            <w:r>
              <w:rPr>
                <w:rFonts w:ascii="Calibri" w:hAnsi="Calibri"/>
                <w:color w:val="1A1A1A"/>
                <w:sz w:val="18"/>
              </w:rPr>
              <w:t>25 Aug 2026</w:t>
            </w:r>
          </w:p>
        </w:tc>
        <w:tc>
          <w:tcPr>
            <w:tcW w:type="dxa" w:w="3912"/>
          </w:tcPr>
          <w:p>
            <w:pPr>
              <w:spacing w:after="0" w:line="252" w:lineRule="auto"/>
              <w:jc w:val="left"/>
            </w:pPr>
            <w:r>
              <w:rPr>
                <w:rFonts w:ascii="Calibri" w:hAnsi="Calibri"/>
                <w:b/>
                <w:color w:val="1A1A1A"/>
                <w:sz w:val="18"/>
              </w:rPr>
              <w:t>Pillar 4 reviewed</w:t>
            </w:r>
          </w:p>
        </w:tc>
        <w:tc>
          <w:tcPr>
            <w:tcW w:type="dxa" w:w="3912"/>
          </w:tcPr>
          <w:p>
            <w:pPr>
              <w:spacing w:after="0" w:line="252" w:lineRule="auto"/>
              <w:jc w:val="left"/>
            </w:pPr>
            <w:r>
              <w:rPr>
                <w:rFonts w:ascii="Calibri" w:hAnsi="Calibri"/>
                <w:b/>
                <w:color w:val="1A1A1A"/>
                <w:sz w:val="18"/>
              </w:rPr>
              <w:t>Costing model corrected from role-hours to resource-weeks.</w:t>
            </w:r>
            <w:r>
              <w:rPr>
                <w:rFonts w:ascii="Calibri" w:hAnsi="Calibri"/>
                <w:color w:val="1A1A1A"/>
                <w:sz w:val="18"/>
              </w:rPr>
              <w:t xml:space="preserve"> Cost builds per resource per week as base + seat + support, summed over the team and their weeks, plus non-labour, then uplifted by GNR (gross non-recoverable) on the total. Every input pre-filled and editable, with custom cost variables allowed (FR-P4-55, FR-P4-56). Added FR-P4-54 for a delivery-role taxonomy, which nothing in the platform has and which everything else here depends on. Target margin is guidance — cost sets the floor, the market sets the price. Effort capture by role, stage and week confirmed in scope, making calibration real. </w:t>
            </w:r>
            <w:r>
              <w:rPr>
                <w:rFonts w:ascii="Calibri" w:hAnsi="Calibri"/>
                <w:b/>
                <w:color w:val="1A1A1A"/>
                <w:sz w:val="18"/>
              </w:rPr>
              <w:t>Q-1 closed:</w:t>
            </w:r>
            <w:r>
              <w:rPr>
                <w:rFonts w:ascii="Calibri" w:hAnsi="Calibri"/>
                <w:color w:val="1A1A1A"/>
                <w:sz w:val="18"/>
              </w:rPr>
              <w:t xml:space="preserve"> the financial permission is granted per user, not per role</w:t>
            </w:r>
          </w:p>
        </w:tc>
      </w:tr>
      <w:tr>
        <w:tc>
          <w:tcPr>
            <w:tcW w:type="dxa" w:w="2494"/>
            <w:shd w:val="clear" w:color="auto" w:fill="FAFBFC"/>
          </w:tcPr>
          <w:p>
            <w:pPr>
              <w:spacing w:after="0" w:line="252" w:lineRule="auto"/>
              <w:jc w:val="left"/>
            </w:pPr>
            <w:r>
              <w:rPr>
                <w:rFonts w:ascii="Calibri" w:hAnsi="Calibri"/>
                <w:color w:val="1A1A1A"/>
                <w:sz w:val="18"/>
              </w:rPr>
              <w:t>25 Aug 2026</w:t>
            </w:r>
          </w:p>
        </w:tc>
        <w:tc>
          <w:tcPr>
            <w:tcW w:type="dxa" w:w="3912"/>
            <w:shd w:val="clear" w:color="auto" w:fill="FAFBFC"/>
          </w:tcPr>
          <w:p>
            <w:pPr>
              <w:spacing w:after="0" w:line="252" w:lineRule="auto"/>
              <w:jc w:val="left"/>
            </w:pPr>
            <w:r>
              <w:rPr>
                <w:rFonts w:ascii="Calibri" w:hAnsi="Calibri"/>
                <w:b/>
                <w:color w:val="1A1A1A"/>
                <w:sz w:val="18"/>
              </w:rPr>
              <w:t>Pillar 3 reviewed</w:t>
            </w:r>
          </w:p>
        </w:tc>
        <w:tc>
          <w:tcPr>
            <w:tcW w:type="dxa" w:w="3912"/>
            <w:shd w:val="clear" w:color="auto" w:fill="FAFBFC"/>
          </w:tcPr>
          <w:p>
            <w:pPr>
              <w:spacing w:after="0" w:line="252" w:lineRule="auto"/>
              <w:jc w:val="left"/>
            </w:pPr>
            <w:r>
              <w:rPr>
                <w:rFonts w:ascii="Calibri" w:hAnsi="Calibri"/>
                <w:color w:val="1A1A1A"/>
                <w:sz w:val="18"/>
              </w:rPr>
              <w:t>Formal referral registration, attribution windows, credit types and shared-credit splits all cut — attribution stays informal, one partner per deal (</w:t>
            </w:r>
            <w:r>
              <w:rPr>
                <w:rFonts w:ascii="Calibri" w:hAnsi="Calibri"/>
                <w:b/>
                <w:color w:val="1A1A1A"/>
                <w:sz w:val="18"/>
              </w:rPr>
              <w:t>Q-2 closed</w:t>
            </w:r>
            <w:r>
              <w:rPr>
                <w:rFonts w:ascii="Calibri" w:hAnsi="Calibri"/>
                <w:color w:val="1A1A1A"/>
                <w:sz w:val="18"/>
              </w:rPr>
              <w:t xml:space="preserve">). Partner agreements kept with an optional fee basis, since some partners are paid and some are reciprocal. Fee obligations and settlement kept for paid partners. Partner-facing access rejected; co-sell reduced to an internal view. Added FR-P3-16 to resolve the two competing partner foreign keys on </w:t>
            </w:r>
            <w:r>
              <w:rPr>
                <w:rFonts w:ascii="Consolas" w:hAnsi="Consolas"/>
                <w:color w:val="8B2E2E"/>
                <w:sz w:val="18"/>
              </w:rPr>
              <w:t>deals</w:t>
            </w:r>
            <w:r>
              <w:rPr>
                <w:rFonts w:ascii="Calibri" w:hAnsi="Calibri"/>
                <w:color w:val="1A1A1A"/>
                <w:sz w:val="18"/>
              </w:rPr>
              <w:t>. Tiers and coverage flagged as thin</w:t>
            </w:r>
          </w:p>
        </w:tc>
      </w:tr>
      <w:tr>
        <w:tc>
          <w:tcPr>
            <w:tcW w:type="dxa" w:w="2494"/>
          </w:tcPr>
          <w:p>
            <w:pPr>
              <w:spacing w:after="0" w:line="252" w:lineRule="auto"/>
              <w:jc w:val="left"/>
            </w:pPr>
            <w:r>
              <w:rPr>
                <w:rFonts w:ascii="Calibri" w:hAnsi="Calibri"/>
                <w:color w:val="1A1A1A"/>
                <w:sz w:val="18"/>
              </w:rPr>
              <w:t>25 Aug 2026</w:t>
            </w:r>
          </w:p>
        </w:tc>
        <w:tc>
          <w:tcPr>
            <w:tcW w:type="dxa" w:w="3912"/>
          </w:tcPr>
          <w:p>
            <w:pPr>
              <w:spacing w:after="0" w:line="252" w:lineRule="auto"/>
              <w:jc w:val="left"/>
            </w:pPr>
            <w:r>
              <w:rPr>
                <w:rFonts w:ascii="Calibri" w:hAnsi="Calibri"/>
                <w:b/>
                <w:color w:val="1A1A1A"/>
                <w:sz w:val="18"/>
              </w:rPr>
              <w:t>Pillar 2 reviewed</w:t>
            </w:r>
          </w:p>
        </w:tc>
        <w:tc>
          <w:tcPr>
            <w:tcW w:type="dxa" w:w="3912"/>
          </w:tcPr>
          <w:p>
            <w:pPr>
              <w:spacing w:after="0" w:line="252" w:lineRule="auto"/>
              <w:jc w:val="left"/>
            </w:pPr>
            <w:r>
              <w:rPr>
                <w:rFonts w:ascii="Calibri" w:hAnsi="Calibri"/>
                <w:color w:val="1A1A1A"/>
                <w:sz w:val="18"/>
              </w:rPr>
              <w:t xml:space="preserve">Nothing cut — every requirement traces to the source document. Qualification is six named fields with no scoring or gating. Stage criteria </w:t>
            </w:r>
            <w:r>
              <w:rPr>
                <w:rFonts w:ascii="Calibri" w:hAnsi="Calibri"/>
                <w:b/>
                <w:color w:val="1A1A1A"/>
                <w:sz w:val="18"/>
              </w:rPr>
              <w:t>warn without blocking</w:t>
            </w:r>
            <w:r>
              <w:rPr>
                <w:rFonts w:ascii="Calibri" w:hAnsi="Calibri"/>
                <w:color w:val="1A1A1A"/>
                <w:sz w:val="18"/>
              </w:rPr>
              <w:t xml:space="preserve"> and record the incomplete move. Forecast gets a dedicated page, plus commit / best-case / pipeline categories and targets with a coverage ratio. Win/loss reasons become a controlled list with the competitor and their price. Correction: FR-P2-05 and FR-P2-13 were described in the review plan as invented; both are named in the source document</w:t>
            </w:r>
          </w:p>
        </w:tc>
      </w:tr>
    </w:tbl>
    <w:p>
      <w:pPr>
        <w:spacing w:after="80"/>
      </w:pPr>
    </w:p>
    <w:p>
      <w:pPr>
        <w:pStyle w:val="Heading2"/>
      </w:pPr>
      <w:r>
        <w:t>Reading a requirement row</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5159"/>
        <w:gridCol w:w="5159"/>
      </w:tblGrid>
      <w:tr>
        <w:trPr>
          <w:tblHeader w:val="true"/>
        </w:trPr>
        <w:tc>
          <w:tcPr>
            <w:tcW w:type="dxa" w:w="2948"/>
            <w:shd w:val="clear" w:color="auto" w:fill="E8EDF2"/>
          </w:tcPr>
          <w:p>
            <w:pPr>
              <w:spacing w:after="0"/>
              <w:jc w:val="left"/>
            </w:pPr>
            <w:r>
              <w:rPr>
                <w:rFonts w:ascii="Calibri" w:hAnsi="Calibri"/>
                <w:b/>
                <w:color w:val="1A1A1A"/>
                <w:sz w:val="18"/>
              </w:rPr>
              <w:t>Column</w:t>
            </w:r>
          </w:p>
        </w:tc>
        <w:tc>
          <w:tcPr>
            <w:tcW w:type="dxa" w:w="7370"/>
            <w:shd w:val="clear" w:color="auto" w:fill="E8EDF2"/>
          </w:tcPr>
          <w:p>
            <w:pPr>
              <w:spacing w:after="0"/>
              <w:jc w:val="left"/>
            </w:pPr>
            <w:r>
              <w:rPr>
                <w:rFonts w:ascii="Calibri" w:hAnsi="Calibri"/>
                <w:b/>
                <w:color w:val="1A1A1A"/>
                <w:sz w:val="18"/>
              </w:rPr>
              <w:t>Meaning</w:t>
            </w:r>
          </w:p>
        </w:tc>
      </w:tr>
      <w:tr>
        <w:tc>
          <w:tcPr>
            <w:tcW w:type="dxa" w:w="2948"/>
          </w:tcPr>
          <w:p>
            <w:pPr>
              <w:spacing w:after="0" w:line="252" w:lineRule="auto"/>
              <w:jc w:val="left"/>
            </w:pPr>
            <w:r>
              <w:rPr>
                <w:rFonts w:ascii="Calibri" w:hAnsi="Calibri"/>
                <w:b/>
                <w:color w:val="1A1A1A"/>
                <w:sz w:val="18"/>
              </w:rPr>
              <w:t>ID</w:t>
            </w:r>
          </w:p>
        </w:tc>
        <w:tc>
          <w:tcPr>
            <w:tcW w:type="dxa" w:w="7370"/>
          </w:tcPr>
          <w:p>
            <w:pPr>
              <w:spacing w:after="0" w:line="252" w:lineRule="auto"/>
              <w:jc w:val="left"/>
            </w:pPr>
            <w:r>
              <w:rPr>
                <w:rFonts w:ascii="Calibri" w:hAnsi="Calibri"/>
                <w:color w:val="1A1A1A"/>
                <w:sz w:val="18"/>
              </w:rPr>
              <w:t>Permanent identifier</w:t>
            </w:r>
          </w:p>
        </w:tc>
      </w:tr>
      <w:tr>
        <w:tc>
          <w:tcPr>
            <w:tcW w:type="dxa" w:w="2948"/>
            <w:shd w:val="clear" w:color="auto" w:fill="FAFBFC"/>
          </w:tcPr>
          <w:p>
            <w:pPr>
              <w:spacing w:after="0" w:line="252" w:lineRule="auto"/>
              <w:jc w:val="left"/>
            </w:pPr>
            <w:r>
              <w:rPr>
                <w:rFonts w:ascii="Calibri" w:hAnsi="Calibri"/>
                <w:b/>
                <w:color w:val="1A1A1A"/>
                <w:sz w:val="18"/>
              </w:rPr>
              <w:t>Requirement</w:t>
            </w:r>
          </w:p>
        </w:tc>
        <w:tc>
          <w:tcPr>
            <w:tcW w:type="dxa" w:w="7370"/>
            <w:shd w:val="clear" w:color="auto" w:fill="FAFBFC"/>
          </w:tcPr>
          <w:p>
            <w:pPr>
              <w:spacing w:after="0" w:line="252" w:lineRule="auto"/>
              <w:jc w:val="left"/>
            </w:pPr>
            <w:r>
              <w:rPr>
                <w:rFonts w:ascii="Calibri" w:hAnsi="Calibri"/>
                <w:color w:val="1A1A1A"/>
                <w:sz w:val="18"/>
              </w:rPr>
              <w:t>What the system must do, stated so that it can be shown to be true or false</w:t>
            </w:r>
          </w:p>
        </w:tc>
      </w:tr>
      <w:tr>
        <w:tc>
          <w:tcPr>
            <w:tcW w:type="dxa" w:w="2948"/>
          </w:tcPr>
          <w:p>
            <w:pPr>
              <w:spacing w:after="0" w:line="252" w:lineRule="auto"/>
              <w:jc w:val="left"/>
            </w:pPr>
            <w:r>
              <w:rPr>
                <w:rFonts w:ascii="Calibri" w:hAnsi="Calibri"/>
                <w:b/>
                <w:color w:val="1A1A1A"/>
                <w:sz w:val="18"/>
              </w:rPr>
              <w:t>Acceptance</w:t>
            </w:r>
          </w:p>
        </w:tc>
        <w:tc>
          <w:tcPr>
            <w:tcW w:type="dxa" w:w="7370"/>
          </w:tcPr>
          <w:p>
            <w:pPr>
              <w:spacing w:after="0" w:line="252" w:lineRule="auto"/>
              <w:jc w:val="left"/>
            </w:pPr>
            <w:r>
              <w:rPr>
                <w:rFonts w:ascii="Calibri" w:hAnsi="Calibri"/>
                <w:color w:val="1A1A1A"/>
                <w:sz w:val="18"/>
              </w:rPr>
              <w:t>The observable condition that settles it</w:t>
            </w:r>
          </w:p>
        </w:tc>
      </w:tr>
      <w:tr>
        <w:tc>
          <w:tcPr>
            <w:tcW w:type="dxa" w:w="2948"/>
            <w:shd w:val="clear" w:color="auto" w:fill="FAFBFC"/>
          </w:tcPr>
          <w:p>
            <w:pPr>
              <w:spacing w:after="0" w:line="252" w:lineRule="auto"/>
              <w:jc w:val="left"/>
            </w:pPr>
            <w:r>
              <w:rPr>
                <w:rFonts w:ascii="Calibri" w:hAnsi="Calibri"/>
                <w:b/>
                <w:color w:val="1A1A1A"/>
                <w:sz w:val="18"/>
              </w:rPr>
              <w:t>Status</w:t>
            </w:r>
          </w:p>
        </w:tc>
        <w:tc>
          <w:tcPr>
            <w:tcW w:type="dxa" w:w="7370"/>
            <w:shd w:val="clear" w:color="auto" w:fill="FAFBFC"/>
          </w:tcPr>
          <w:p>
            <w:pPr>
              <w:spacing w:after="0" w:line="252" w:lineRule="auto"/>
              <w:jc w:val="left"/>
            </w:pPr>
            <w:r>
              <w:rPr>
                <w:rFonts w:ascii="Calibri" w:hAnsi="Calibri"/>
                <w:color w:val="1A1A1A"/>
                <w:sz w:val="18"/>
              </w:rPr>
              <w:t>EXISTS / PARTIAL / NEW, with the gap named where partial</w:t>
            </w:r>
          </w:p>
        </w:tc>
      </w:tr>
      <w:tr>
        <w:tc>
          <w:tcPr>
            <w:tcW w:type="dxa" w:w="2948"/>
          </w:tcPr>
          <w:p>
            <w:pPr>
              <w:spacing w:after="0" w:line="252" w:lineRule="auto"/>
              <w:jc w:val="left"/>
            </w:pPr>
            <w:r>
              <w:rPr>
                <w:rFonts w:ascii="Calibri" w:hAnsi="Calibri"/>
                <w:b/>
                <w:color w:val="1A1A1A"/>
                <w:sz w:val="18"/>
              </w:rPr>
              <w:t>Lands in</w:t>
            </w:r>
          </w:p>
        </w:tc>
        <w:tc>
          <w:tcPr>
            <w:tcW w:type="dxa" w:w="7370"/>
          </w:tcPr>
          <w:p>
            <w:pPr>
              <w:spacing w:after="0" w:line="252" w:lineRule="auto"/>
              <w:jc w:val="left"/>
            </w:pPr>
            <w:r>
              <w:rPr>
                <w:rFonts w:ascii="Calibri" w:hAnsi="Calibri"/>
                <w:color w:val="1A1A1A"/>
                <w:sz w:val="18"/>
              </w:rPr>
              <w:t>The existing file or the new module the work belongs to</w:t>
            </w:r>
          </w:p>
        </w:tc>
      </w:tr>
    </w:tbl>
    <w:p>
      <w:pPr>
        <w:spacing w:after="80"/>
      </w:pPr>
    </w:p>
    <w:p>
      <w:r>
        <w:br w:type="page"/>
      </w:r>
    </w:p>
    <w:p>
      <w:pPr>
        <w:pStyle w:val="Heading1"/>
      </w:pPr>
      <w:r>
        <w:t>Section A — The pillar model</w:t>
      </w:r>
    </w:p>
    <w:p>
      <w:pPr>
        <w:pStyle w:val="Heading2"/>
      </w:pPr>
      <w:r>
        <w:t>What each pillar owns</w:t>
      </w:r>
    </w:p>
    <w:p>
      <w:pPr>
        <w:spacing w:before="120" w:after="160"/>
        <w:ind w:left="198"/>
        <w:pBdr>
          <w:left w:val="single" w:sz="18" w:space="8" w:color="B08D57"/>
        </w:pBdr>
        <w:shd w:val="clear" w:color="auto" w:fill="F4F1E8"/>
      </w:pPr>
      <w:r>
        <w:rPr>
          <w:rFonts w:ascii="Calibri" w:hAnsi="Calibri"/>
          <w:b/>
          <w:color w:val="1A1A1A"/>
          <w:sz w:val="19"/>
        </w:rPr>
        <w:t>ARCHITECTURE PRINCIPLE</w:t>
      </w:r>
      <w:r>
        <w:rPr>
          <w:rFonts w:ascii="Calibri" w:hAnsi="Calibri"/>
          <w:color w:val="1A1A1A"/>
          <w:sz w:val="19"/>
        </w:rPr>
        <w:t xml:space="preserve">  Each pillar owns a distinct business truth. Other pillars may consume and enrich that truth, but must not create a competing version of it.</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579"/>
        <w:gridCol w:w="2579"/>
        <w:gridCol w:w="2579"/>
        <w:gridCol w:w="2579"/>
      </w:tblGrid>
      <w:tr>
        <w:trPr>
          <w:tblHeader w:val="true"/>
        </w:trPr>
        <w:tc>
          <w:tcPr>
            <w:tcW w:type="dxa" w:w="1814"/>
            <w:shd w:val="clear" w:color="auto" w:fill="E8EDF2"/>
          </w:tcPr>
          <w:p>
            <w:pPr>
              <w:spacing w:after="0"/>
              <w:jc w:val="left"/>
            </w:pPr>
            <w:r>
              <w:rPr>
                <w:rFonts w:ascii="Calibri" w:hAnsi="Calibri"/>
                <w:b/>
                <w:color w:val="1A1A1A"/>
                <w:sz w:val="18"/>
              </w:rPr>
              <w:t>#</w:t>
            </w:r>
          </w:p>
        </w:tc>
        <w:tc>
          <w:tcPr>
            <w:tcW w:type="dxa" w:w="2835"/>
            <w:shd w:val="clear" w:color="auto" w:fill="E8EDF2"/>
          </w:tcPr>
          <w:p>
            <w:pPr>
              <w:spacing w:after="0"/>
              <w:jc w:val="left"/>
            </w:pPr>
            <w:r>
              <w:rPr>
                <w:rFonts w:ascii="Calibri" w:hAnsi="Calibri"/>
                <w:b/>
                <w:color w:val="1A1A1A"/>
                <w:sz w:val="18"/>
              </w:rPr>
              <w:t>Pillar</w:t>
            </w:r>
          </w:p>
        </w:tc>
        <w:tc>
          <w:tcPr>
            <w:tcW w:type="dxa" w:w="2835"/>
            <w:shd w:val="clear" w:color="auto" w:fill="E8EDF2"/>
          </w:tcPr>
          <w:p>
            <w:pPr>
              <w:spacing w:after="0"/>
              <w:jc w:val="left"/>
            </w:pPr>
            <w:r>
              <w:rPr>
                <w:rFonts w:ascii="Calibri" w:hAnsi="Calibri"/>
                <w:b/>
                <w:color w:val="1A1A1A"/>
                <w:sz w:val="18"/>
              </w:rPr>
              <w:t>Owns</w:t>
            </w:r>
          </w:p>
        </w:tc>
        <w:tc>
          <w:tcPr>
            <w:tcW w:type="dxa" w:w="2835"/>
            <w:shd w:val="clear" w:color="auto" w:fill="E8EDF2"/>
          </w:tcPr>
          <w:p>
            <w:pPr>
              <w:spacing w:after="0"/>
              <w:jc w:val="left"/>
            </w:pPr>
            <w:r>
              <w:rPr>
                <w:rFonts w:ascii="Calibri" w:hAnsi="Calibri"/>
                <w:b/>
                <w:color w:val="1A1A1A"/>
                <w:sz w:val="18"/>
              </w:rPr>
              <w:t>Explicitly does not own</w:t>
            </w:r>
          </w:p>
        </w:tc>
      </w:tr>
      <w:tr>
        <w:tc>
          <w:tcPr>
            <w:tcW w:type="dxa" w:w="1814"/>
          </w:tcPr>
          <w:p>
            <w:pPr>
              <w:spacing w:after="0" w:line="252" w:lineRule="auto"/>
              <w:jc w:val="left"/>
            </w:pPr>
            <w:r>
              <w:rPr>
                <w:rFonts w:ascii="Calibri" w:hAnsi="Calibri"/>
                <w:color w:val="1A1A1A"/>
                <w:sz w:val="18"/>
              </w:rPr>
              <w:t>1</w:t>
            </w:r>
          </w:p>
        </w:tc>
        <w:tc>
          <w:tcPr>
            <w:tcW w:type="dxa" w:w="2835"/>
          </w:tcPr>
          <w:p>
            <w:pPr>
              <w:spacing w:after="0" w:line="252" w:lineRule="auto"/>
              <w:jc w:val="left"/>
            </w:pPr>
            <w:r>
              <w:rPr>
                <w:rFonts w:ascii="Calibri" w:hAnsi="Calibri"/>
                <w:b/>
                <w:color w:val="1A1A1A"/>
                <w:sz w:val="18"/>
              </w:rPr>
              <w:t>Client</w:t>
            </w:r>
          </w:p>
        </w:tc>
        <w:tc>
          <w:tcPr>
            <w:tcW w:type="dxa" w:w="2835"/>
          </w:tcPr>
          <w:p>
            <w:pPr>
              <w:spacing w:after="0" w:line="252" w:lineRule="auto"/>
              <w:jc w:val="left"/>
            </w:pPr>
            <w:r>
              <w:rPr>
                <w:rFonts w:ascii="Calibri" w:hAnsi="Calibri"/>
                <w:color w:val="1A1A1A"/>
                <w:sz w:val="18"/>
              </w:rPr>
              <w:t>Account and contact identity, group structure, segmentation, lifecycle status, billing entity designation</w:t>
            </w:r>
          </w:p>
        </w:tc>
        <w:tc>
          <w:tcPr>
            <w:tcW w:type="dxa" w:w="2835"/>
          </w:tcPr>
          <w:p>
            <w:pPr>
              <w:spacing w:after="0" w:line="252" w:lineRule="auto"/>
              <w:jc w:val="left"/>
            </w:pPr>
            <w:r>
              <w:rPr>
                <w:rFonts w:ascii="Calibri" w:hAnsi="Calibri"/>
                <w:color w:val="1A1A1A"/>
                <w:sz w:val="18"/>
              </w:rPr>
              <w:t>Opportunity state, contract terms, revenue</w:t>
            </w:r>
          </w:p>
        </w:tc>
      </w:tr>
      <w:tr>
        <w:tc>
          <w:tcPr>
            <w:tcW w:type="dxa" w:w="1814"/>
            <w:shd w:val="clear" w:color="auto" w:fill="FAFBFC"/>
          </w:tcPr>
          <w:p>
            <w:pPr>
              <w:spacing w:after="0" w:line="252" w:lineRule="auto"/>
              <w:jc w:val="left"/>
            </w:pPr>
            <w:r>
              <w:rPr>
                <w:rFonts w:ascii="Calibri" w:hAnsi="Calibri"/>
                <w:color w:val="1A1A1A"/>
                <w:sz w:val="18"/>
              </w:rPr>
              <w:t>2</w:t>
            </w:r>
          </w:p>
        </w:tc>
        <w:tc>
          <w:tcPr>
            <w:tcW w:type="dxa" w:w="2835"/>
            <w:shd w:val="clear" w:color="auto" w:fill="FAFBFC"/>
          </w:tcPr>
          <w:p>
            <w:pPr>
              <w:spacing w:after="0" w:line="252" w:lineRule="auto"/>
              <w:jc w:val="left"/>
            </w:pPr>
            <w:r>
              <w:rPr>
                <w:rFonts w:ascii="Calibri" w:hAnsi="Calibri"/>
                <w:b/>
                <w:color w:val="1A1A1A"/>
                <w:sz w:val="18"/>
              </w:rPr>
              <w:t>Pipeline</w:t>
            </w:r>
          </w:p>
        </w:tc>
        <w:tc>
          <w:tcPr>
            <w:tcW w:type="dxa" w:w="2835"/>
            <w:shd w:val="clear" w:color="auto" w:fill="FAFBFC"/>
          </w:tcPr>
          <w:p>
            <w:pPr>
              <w:spacing w:after="0" w:line="252" w:lineRule="auto"/>
              <w:jc w:val="left"/>
            </w:pPr>
            <w:r>
              <w:rPr>
                <w:rFonts w:ascii="Calibri" w:hAnsi="Calibri"/>
                <w:color w:val="1A1A1A"/>
                <w:sz w:val="18"/>
              </w:rPr>
              <w:t>Opportunities, stages, qualification evidence, forecast, and the complete interaction record</w:t>
            </w:r>
          </w:p>
        </w:tc>
        <w:tc>
          <w:tcPr>
            <w:tcW w:type="dxa" w:w="2835"/>
            <w:shd w:val="clear" w:color="auto" w:fill="FAFBFC"/>
          </w:tcPr>
          <w:p>
            <w:pPr>
              <w:spacing w:after="0" w:line="252" w:lineRule="auto"/>
              <w:jc w:val="left"/>
            </w:pPr>
            <w:r>
              <w:rPr>
                <w:rFonts w:ascii="Calibri" w:hAnsi="Calibri"/>
                <w:color w:val="1A1A1A"/>
                <w:sz w:val="18"/>
              </w:rPr>
              <w:t>Signed commercial terms, price basis</w:t>
            </w:r>
          </w:p>
        </w:tc>
      </w:tr>
      <w:tr>
        <w:tc>
          <w:tcPr>
            <w:tcW w:type="dxa" w:w="1814"/>
          </w:tcPr>
          <w:p>
            <w:pPr>
              <w:spacing w:after="0" w:line="252" w:lineRule="auto"/>
              <w:jc w:val="left"/>
            </w:pPr>
            <w:r>
              <w:rPr>
                <w:rFonts w:ascii="Calibri" w:hAnsi="Calibri"/>
                <w:color w:val="1A1A1A"/>
                <w:sz w:val="18"/>
              </w:rPr>
              <w:t>3</w:t>
            </w:r>
          </w:p>
        </w:tc>
        <w:tc>
          <w:tcPr>
            <w:tcW w:type="dxa" w:w="2835"/>
          </w:tcPr>
          <w:p>
            <w:pPr>
              <w:spacing w:after="0" w:line="252" w:lineRule="auto"/>
              <w:jc w:val="left"/>
            </w:pPr>
            <w:r>
              <w:rPr>
                <w:rFonts w:ascii="Calibri" w:hAnsi="Calibri"/>
                <w:b/>
                <w:color w:val="1A1A1A"/>
                <w:sz w:val="18"/>
              </w:rPr>
              <w:t>Partner</w:t>
            </w:r>
          </w:p>
        </w:tc>
        <w:tc>
          <w:tcPr>
            <w:tcW w:type="dxa" w:w="2835"/>
          </w:tcPr>
          <w:p>
            <w:pPr>
              <w:spacing w:after="0" w:line="252" w:lineRule="auto"/>
              <w:jc w:val="left"/>
            </w:pPr>
            <w:r>
              <w:rPr>
                <w:rFonts w:ascii="Calibri" w:hAnsi="Calibri"/>
                <w:color w:val="1A1A1A"/>
                <w:sz w:val="18"/>
              </w:rPr>
              <w:t>Partner relationships, agreements, tiers, referral registration, attribution and fee obligations</w:t>
            </w:r>
          </w:p>
        </w:tc>
        <w:tc>
          <w:tcPr>
            <w:tcW w:type="dxa" w:w="2835"/>
          </w:tcPr>
          <w:p>
            <w:pPr>
              <w:spacing w:after="0" w:line="252" w:lineRule="auto"/>
              <w:jc w:val="left"/>
            </w:pPr>
            <w:r>
              <w:rPr>
                <w:rFonts w:ascii="Calibri" w:hAnsi="Calibri"/>
                <w:color w:val="1A1A1A"/>
                <w:sz w:val="18"/>
              </w:rPr>
              <w:t>The client relationship, the revenue record</w:t>
            </w:r>
          </w:p>
        </w:tc>
      </w:tr>
      <w:tr>
        <w:tc>
          <w:tcPr>
            <w:tcW w:type="dxa" w:w="1814"/>
            <w:shd w:val="clear" w:color="auto" w:fill="FAFBFC"/>
          </w:tcPr>
          <w:p>
            <w:pPr>
              <w:spacing w:after="0" w:line="252" w:lineRule="auto"/>
              <w:jc w:val="left"/>
            </w:pPr>
            <w:r>
              <w:rPr>
                <w:rFonts w:ascii="Calibri" w:hAnsi="Calibri"/>
                <w:color w:val="1A1A1A"/>
                <w:sz w:val="18"/>
              </w:rPr>
              <w:t>4</w:t>
            </w:r>
          </w:p>
        </w:tc>
        <w:tc>
          <w:tcPr>
            <w:tcW w:type="dxa" w:w="2835"/>
            <w:shd w:val="clear" w:color="auto" w:fill="FAFBFC"/>
          </w:tcPr>
          <w:p>
            <w:pPr>
              <w:spacing w:after="0" w:line="252" w:lineRule="auto"/>
              <w:jc w:val="left"/>
            </w:pPr>
            <w:r>
              <w:rPr>
                <w:rFonts w:ascii="Calibri" w:hAnsi="Calibri"/>
                <w:b/>
                <w:color w:val="1A1A1A"/>
                <w:sz w:val="18"/>
              </w:rPr>
              <w:t>Pricing</w:t>
            </w:r>
          </w:p>
        </w:tc>
        <w:tc>
          <w:tcPr>
            <w:tcW w:type="dxa" w:w="2835"/>
            <w:shd w:val="clear" w:color="auto" w:fill="FAFBFC"/>
          </w:tcPr>
          <w:p>
            <w:pPr>
              <w:spacing w:after="0" w:line="252" w:lineRule="auto"/>
              <w:jc w:val="left"/>
            </w:pPr>
            <w:r>
              <w:rPr>
                <w:rFonts w:ascii="Calibri" w:hAnsi="Calibri"/>
                <w:color w:val="1A1A1A"/>
                <w:sz w:val="18"/>
              </w:rPr>
              <w:t>Effort catalog, sizing drivers, cost rates, delivery cost, feasibility verdict, price, margin, bid decision, quotation document</w:t>
            </w:r>
          </w:p>
        </w:tc>
        <w:tc>
          <w:tcPr>
            <w:tcW w:type="dxa" w:w="2835"/>
            <w:shd w:val="clear" w:color="auto" w:fill="FAFBFC"/>
          </w:tcPr>
          <w:p>
            <w:pPr>
              <w:spacing w:after="0" w:line="252" w:lineRule="auto"/>
              <w:jc w:val="left"/>
            </w:pPr>
            <w:r>
              <w:rPr>
                <w:rFonts w:ascii="Calibri" w:hAnsi="Calibri"/>
                <w:color w:val="1A1A1A"/>
                <w:sz w:val="18"/>
              </w:rPr>
              <w:t>The signed agreement, the delivered work, the collected cash</w:t>
            </w:r>
          </w:p>
        </w:tc>
      </w:tr>
      <w:tr>
        <w:tc>
          <w:tcPr>
            <w:tcW w:type="dxa" w:w="1814"/>
          </w:tcPr>
          <w:p>
            <w:pPr>
              <w:spacing w:after="0" w:line="252" w:lineRule="auto"/>
              <w:jc w:val="left"/>
            </w:pPr>
            <w:r>
              <w:rPr>
                <w:rFonts w:ascii="Calibri" w:hAnsi="Calibri"/>
                <w:color w:val="1A1A1A"/>
                <w:sz w:val="18"/>
              </w:rPr>
              <w:t>5</w:t>
            </w:r>
          </w:p>
        </w:tc>
        <w:tc>
          <w:tcPr>
            <w:tcW w:type="dxa" w:w="2835"/>
          </w:tcPr>
          <w:p>
            <w:pPr>
              <w:spacing w:after="0" w:line="252" w:lineRule="auto"/>
              <w:jc w:val="left"/>
            </w:pPr>
            <w:r>
              <w:rPr>
                <w:rFonts w:ascii="Calibri" w:hAnsi="Calibri"/>
                <w:b/>
                <w:color w:val="1A1A1A"/>
                <w:sz w:val="18"/>
              </w:rPr>
              <w:t>Contract</w:t>
            </w:r>
          </w:p>
        </w:tc>
        <w:tc>
          <w:tcPr>
            <w:tcW w:type="dxa" w:w="2835"/>
          </w:tcPr>
          <w:p>
            <w:pPr>
              <w:spacing w:after="0" w:line="252" w:lineRule="auto"/>
              <w:jc w:val="left"/>
            </w:pPr>
            <w:r>
              <w:rPr>
                <w:rFonts w:ascii="Calibri" w:hAnsi="Calibri"/>
                <w:color w:val="1A1A1A"/>
                <w:sz w:val="18"/>
              </w:rPr>
              <w:t>Documents, negotiated value, contracted scope, terms, billing schedule, amendments, renewals</w:t>
            </w:r>
          </w:p>
        </w:tc>
        <w:tc>
          <w:tcPr>
            <w:tcW w:type="dxa" w:w="2835"/>
          </w:tcPr>
          <w:p>
            <w:pPr>
              <w:spacing w:after="0" w:line="252" w:lineRule="auto"/>
              <w:jc w:val="left"/>
            </w:pPr>
            <w:r>
              <w:rPr>
                <w:rFonts w:ascii="Calibri" w:hAnsi="Calibri"/>
                <w:color w:val="1A1A1A"/>
                <w:sz w:val="18"/>
              </w:rPr>
              <w:t>The quoted price basis, the delivery execution</w:t>
            </w:r>
          </w:p>
        </w:tc>
      </w:tr>
      <w:tr>
        <w:tc>
          <w:tcPr>
            <w:tcW w:type="dxa" w:w="1814"/>
            <w:shd w:val="clear" w:color="auto" w:fill="FAFBFC"/>
          </w:tcPr>
          <w:p>
            <w:pPr>
              <w:spacing w:after="0" w:line="252" w:lineRule="auto"/>
              <w:jc w:val="left"/>
            </w:pPr>
            <w:r>
              <w:rPr>
                <w:rFonts w:ascii="Calibri" w:hAnsi="Calibri"/>
                <w:color w:val="1A1A1A"/>
                <w:sz w:val="18"/>
              </w:rPr>
              <w:t>6</w:t>
            </w:r>
          </w:p>
        </w:tc>
        <w:tc>
          <w:tcPr>
            <w:tcW w:type="dxa" w:w="2835"/>
            <w:shd w:val="clear" w:color="auto" w:fill="FAFBFC"/>
          </w:tcPr>
          <w:p>
            <w:pPr>
              <w:spacing w:after="0" w:line="252" w:lineRule="auto"/>
              <w:jc w:val="left"/>
            </w:pPr>
            <w:r>
              <w:rPr>
                <w:rFonts w:ascii="Calibri" w:hAnsi="Calibri"/>
                <w:b/>
                <w:color w:val="1A1A1A"/>
                <w:sz w:val="18"/>
              </w:rPr>
              <w:t>Delivery</w:t>
            </w:r>
          </w:p>
        </w:tc>
        <w:tc>
          <w:tcPr>
            <w:tcW w:type="dxa" w:w="2835"/>
            <w:shd w:val="clear" w:color="auto" w:fill="FAFBFC"/>
          </w:tcPr>
          <w:p>
            <w:pPr>
              <w:spacing w:after="0" w:line="252" w:lineRule="auto"/>
              <w:jc w:val="left"/>
            </w:pPr>
            <w:r>
              <w:rPr>
                <w:rFonts w:ascii="Calibri" w:hAnsi="Calibri"/>
                <w:color w:val="1A1A1A"/>
                <w:sz w:val="18"/>
              </w:rPr>
              <w:t>Engagement record, delivery stages, milestones, deliverables, outcomes, schedule variance</w:t>
            </w:r>
          </w:p>
        </w:tc>
        <w:tc>
          <w:tcPr>
            <w:tcW w:type="dxa" w:w="2835"/>
            <w:shd w:val="clear" w:color="auto" w:fill="FAFBFC"/>
          </w:tcPr>
          <w:p>
            <w:pPr>
              <w:spacing w:after="0" w:line="252" w:lineRule="auto"/>
              <w:jc w:val="left"/>
            </w:pPr>
            <w:r>
              <w:rPr>
                <w:rFonts w:ascii="Calibri" w:hAnsi="Calibri"/>
                <w:color w:val="1A1A1A"/>
                <w:sz w:val="18"/>
              </w:rPr>
              <w:t>Who is staffed and how their time is spent; billing</w:t>
            </w:r>
          </w:p>
        </w:tc>
      </w:tr>
      <w:tr>
        <w:tc>
          <w:tcPr>
            <w:tcW w:type="dxa" w:w="1814"/>
          </w:tcPr>
          <w:p>
            <w:pPr>
              <w:spacing w:after="0" w:line="252" w:lineRule="auto"/>
              <w:jc w:val="left"/>
            </w:pPr>
            <w:r>
              <w:rPr>
                <w:rFonts w:ascii="Calibri" w:hAnsi="Calibri"/>
                <w:color w:val="1A1A1A"/>
                <w:sz w:val="18"/>
              </w:rPr>
              <w:t>7</w:t>
            </w:r>
          </w:p>
        </w:tc>
        <w:tc>
          <w:tcPr>
            <w:tcW w:type="dxa" w:w="2835"/>
          </w:tcPr>
          <w:p>
            <w:pPr>
              <w:spacing w:after="0" w:line="252" w:lineRule="auto"/>
              <w:jc w:val="left"/>
            </w:pPr>
            <w:r>
              <w:rPr>
                <w:rFonts w:ascii="Calibri" w:hAnsi="Calibri"/>
                <w:b/>
                <w:color w:val="1A1A1A"/>
                <w:sz w:val="18"/>
              </w:rPr>
              <w:t>Revenue</w:t>
            </w:r>
          </w:p>
        </w:tc>
        <w:tc>
          <w:tcPr>
            <w:tcW w:type="dxa" w:w="2835"/>
          </w:tcPr>
          <w:p>
            <w:pPr>
              <w:spacing w:after="0" w:line="252" w:lineRule="auto"/>
              <w:jc w:val="left"/>
            </w:pPr>
            <w:r>
              <w:rPr>
                <w:rFonts w:ascii="Calibri" w:hAnsi="Calibri"/>
                <w:color w:val="1A1A1A"/>
                <w:sz w:val="18"/>
              </w:rPr>
              <w:t>Contracted / invoiced / recognized / collected value, receivables, margin realization, LTV</w:t>
            </w:r>
          </w:p>
        </w:tc>
        <w:tc>
          <w:tcPr>
            <w:tcW w:type="dxa" w:w="2835"/>
          </w:tcPr>
          <w:p>
            <w:pPr>
              <w:spacing w:after="0" w:line="252" w:lineRule="auto"/>
              <w:jc w:val="left"/>
            </w:pPr>
            <w:r>
              <w:rPr>
                <w:rFonts w:ascii="Calibri" w:hAnsi="Calibri"/>
                <w:color w:val="1A1A1A"/>
                <w:sz w:val="18"/>
              </w:rPr>
              <w:t>The commitment that created it, the work that earned it</w:t>
            </w:r>
          </w:p>
        </w:tc>
      </w:tr>
      <w:tr>
        <w:tc>
          <w:tcPr>
            <w:tcW w:type="dxa" w:w="1814"/>
            <w:shd w:val="clear" w:color="auto" w:fill="FAFBFC"/>
          </w:tcPr>
          <w:p>
            <w:pPr>
              <w:spacing w:after="0" w:line="252" w:lineRule="auto"/>
              <w:jc w:val="left"/>
            </w:pPr>
            <w:r>
              <w:rPr>
                <w:rFonts w:ascii="Calibri" w:hAnsi="Calibri"/>
                <w:color w:val="1A1A1A"/>
                <w:sz w:val="18"/>
              </w:rPr>
              <w:t>8</w:t>
            </w:r>
          </w:p>
        </w:tc>
        <w:tc>
          <w:tcPr>
            <w:tcW w:type="dxa" w:w="2835"/>
            <w:shd w:val="clear" w:color="auto" w:fill="FAFBFC"/>
          </w:tcPr>
          <w:p>
            <w:pPr>
              <w:spacing w:after="0" w:line="252" w:lineRule="auto"/>
              <w:jc w:val="left"/>
            </w:pPr>
            <w:r>
              <w:rPr>
                <w:rFonts w:ascii="Calibri" w:hAnsi="Calibri"/>
                <w:b/>
                <w:color w:val="1A1A1A"/>
                <w:sz w:val="18"/>
              </w:rPr>
              <w:t>Intelligence</w:t>
            </w:r>
          </w:p>
        </w:tc>
        <w:tc>
          <w:tcPr>
            <w:tcW w:type="dxa" w:w="2835"/>
            <w:shd w:val="clear" w:color="auto" w:fill="FAFBFC"/>
          </w:tcPr>
          <w:p>
            <w:pPr>
              <w:spacing w:after="0" w:line="252" w:lineRule="auto"/>
              <w:jc w:val="left"/>
            </w:pPr>
            <w:r>
              <w:rPr>
                <w:rFonts w:ascii="Calibri" w:hAnsi="Calibri"/>
                <w:color w:val="1A1A1A"/>
                <w:sz w:val="18"/>
              </w:rPr>
              <w:t>Cross-pillar KPI semantics, health, exceptions, decisions, action trail</w:t>
            </w:r>
          </w:p>
        </w:tc>
        <w:tc>
          <w:tcPr>
            <w:tcW w:type="dxa" w:w="2835"/>
            <w:shd w:val="clear" w:color="auto" w:fill="FAFBFC"/>
          </w:tcPr>
          <w:p>
            <w:pPr>
              <w:spacing w:after="0" w:line="252" w:lineRule="auto"/>
              <w:jc w:val="left"/>
            </w:pPr>
            <w:r>
              <w:rPr>
                <w:rFonts w:ascii="Calibri" w:hAnsi="Calibri"/>
                <w:color w:val="1A1A1A"/>
                <w:sz w:val="18"/>
              </w:rPr>
              <w:t>Any source commercial truth of its own</w:t>
            </w:r>
          </w:p>
        </w:tc>
      </w:tr>
    </w:tbl>
    <w:p>
      <w:pPr>
        <w:spacing w:after="80"/>
      </w:pPr>
    </w:p>
    <w:p>
      <w:pPr>
        <w:pStyle w:val="Heading2"/>
      </w:pPr>
      <w:r>
        <w:t>The value chain — five numbers that must never collapse into one</w:t>
      </w:r>
    </w:p>
    <w:p>
      <w:r>
        <w:rPr>
          <w:rFonts w:ascii="Calibri" w:hAnsi="Calibri"/>
          <w:color w:val="1A1A1A"/>
        </w:rPr>
        <w:t>This is the single most important structural requirement in the document. Five distinct money figures exist for one engagement, and each must be retrievable independently at any point in time:</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439"/>
        <w:gridCol w:w="3439"/>
        <w:gridCol w:w="3439"/>
      </w:tblGrid>
      <w:tr>
        <w:trPr>
          <w:tblHeader w:val="true"/>
        </w:trPr>
        <w:tc>
          <w:tcPr>
            <w:tcW w:type="dxa" w:w="2494"/>
            <w:shd w:val="clear" w:color="auto" w:fill="E8EDF2"/>
          </w:tcPr>
          <w:p>
            <w:pPr>
              <w:spacing w:after="0"/>
              <w:jc w:val="left"/>
            </w:pPr>
            <w:r>
              <w:rPr>
                <w:rFonts w:ascii="Calibri" w:hAnsi="Calibri"/>
                <w:b/>
                <w:color w:val="1A1A1A"/>
                <w:sz w:val="18"/>
              </w:rPr>
              <w:t>Number</w:t>
            </w:r>
          </w:p>
        </w:tc>
        <w:tc>
          <w:tcPr>
            <w:tcW w:type="dxa" w:w="3912"/>
            <w:shd w:val="clear" w:color="auto" w:fill="E8EDF2"/>
          </w:tcPr>
          <w:p>
            <w:pPr>
              <w:spacing w:after="0"/>
              <w:jc w:val="left"/>
            </w:pPr>
            <w:r>
              <w:rPr>
                <w:rFonts w:ascii="Calibri" w:hAnsi="Calibri"/>
                <w:b/>
                <w:color w:val="1A1A1A"/>
                <w:sz w:val="18"/>
              </w:rPr>
              <w:t>Owned by</w:t>
            </w:r>
          </w:p>
        </w:tc>
        <w:tc>
          <w:tcPr>
            <w:tcW w:type="dxa" w:w="3912"/>
            <w:shd w:val="clear" w:color="auto" w:fill="E8EDF2"/>
          </w:tcPr>
          <w:p>
            <w:pPr>
              <w:spacing w:after="0"/>
              <w:jc w:val="left"/>
            </w:pPr>
            <w:r>
              <w:rPr>
                <w:rFonts w:ascii="Calibri" w:hAnsi="Calibri"/>
                <w:b/>
                <w:color w:val="1A1A1A"/>
                <w:sz w:val="18"/>
              </w:rPr>
              <w:t>Created when</w:t>
            </w:r>
          </w:p>
        </w:tc>
      </w:tr>
      <w:tr>
        <w:tc>
          <w:tcPr>
            <w:tcW w:type="dxa" w:w="2494"/>
          </w:tcPr>
          <w:p>
            <w:pPr>
              <w:spacing w:after="0" w:line="252" w:lineRule="auto"/>
              <w:jc w:val="left"/>
            </w:pPr>
            <w:r>
              <w:rPr>
                <w:rFonts w:ascii="Calibri" w:hAnsi="Calibri"/>
                <w:b/>
                <w:color w:val="1A1A1A"/>
                <w:sz w:val="18"/>
              </w:rPr>
              <w:t>Estimated cost</w:t>
            </w:r>
          </w:p>
        </w:tc>
        <w:tc>
          <w:tcPr>
            <w:tcW w:type="dxa" w:w="3912"/>
          </w:tcPr>
          <w:p>
            <w:pPr>
              <w:spacing w:after="0" w:line="252" w:lineRule="auto"/>
              <w:jc w:val="left"/>
            </w:pPr>
            <w:r>
              <w:rPr>
                <w:rFonts w:ascii="Calibri" w:hAnsi="Calibri"/>
                <w:color w:val="1A1A1A"/>
                <w:sz w:val="18"/>
              </w:rPr>
              <w:t>Pillar 4</w:t>
            </w:r>
          </w:p>
        </w:tc>
        <w:tc>
          <w:tcPr>
            <w:tcW w:type="dxa" w:w="3912"/>
          </w:tcPr>
          <w:p>
            <w:pPr>
              <w:spacing w:after="0" w:line="252" w:lineRule="auto"/>
              <w:jc w:val="left"/>
            </w:pPr>
            <w:r>
              <w:rPr>
                <w:rFonts w:ascii="Calibri" w:hAnsi="Calibri"/>
                <w:color w:val="1A1A1A"/>
                <w:sz w:val="18"/>
              </w:rPr>
              <w:t>The cost engine runs against sized effort</w:t>
            </w:r>
          </w:p>
        </w:tc>
      </w:tr>
      <w:tr>
        <w:tc>
          <w:tcPr>
            <w:tcW w:type="dxa" w:w="2494"/>
            <w:shd w:val="clear" w:color="auto" w:fill="FAFBFC"/>
          </w:tcPr>
          <w:p>
            <w:pPr>
              <w:spacing w:after="0" w:line="252" w:lineRule="auto"/>
              <w:jc w:val="left"/>
            </w:pPr>
            <w:r>
              <w:rPr>
                <w:rFonts w:ascii="Calibri" w:hAnsi="Calibri"/>
                <w:b/>
                <w:color w:val="1A1A1A"/>
                <w:sz w:val="18"/>
              </w:rPr>
              <w:t>Quoted value</w:t>
            </w:r>
          </w:p>
        </w:tc>
        <w:tc>
          <w:tcPr>
            <w:tcW w:type="dxa" w:w="3912"/>
            <w:shd w:val="clear" w:color="auto" w:fill="FAFBFC"/>
          </w:tcPr>
          <w:p>
            <w:pPr>
              <w:spacing w:after="0" w:line="252" w:lineRule="auto"/>
              <w:jc w:val="left"/>
            </w:pPr>
            <w:r>
              <w:rPr>
                <w:rFonts w:ascii="Calibri" w:hAnsi="Calibri"/>
                <w:color w:val="1A1A1A"/>
                <w:sz w:val="18"/>
              </w:rPr>
              <w:t>Pillar 4</w:t>
            </w:r>
          </w:p>
        </w:tc>
        <w:tc>
          <w:tcPr>
            <w:tcW w:type="dxa" w:w="3912"/>
            <w:shd w:val="clear" w:color="auto" w:fill="FAFBFC"/>
          </w:tcPr>
          <w:p>
            <w:pPr>
              <w:spacing w:after="0" w:line="252" w:lineRule="auto"/>
              <w:jc w:val="left"/>
            </w:pPr>
            <w:r>
              <w:rPr>
                <w:rFonts w:ascii="Calibri" w:hAnsi="Calibri"/>
                <w:color w:val="1A1A1A"/>
                <w:sz w:val="18"/>
              </w:rPr>
              <w:t>The quotation is approved and sent</w:t>
            </w:r>
          </w:p>
        </w:tc>
      </w:tr>
      <w:tr>
        <w:tc>
          <w:tcPr>
            <w:tcW w:type="dxa" w:w="2494"/>
          </w:tcPr>
          <w:p>
            <w:pPr>
              <w:spacing w:after="0" w:line="252" w:lineRule="auto"/>
              <w:jc w:val="left"/>
            </w:pPr>
            <w:r>
              <w:rPr>
                <w:rFonts w:ascii="Calibri" w:hAnsi="Calibri"/>
                <w:b/>
                <w:color w:val="1A1A1A"/>
                <w:sz w:val="18"/>
              </w:rPr>
              <w:t>Contracted value</w:t>
            </w:r>
          </w:p>
        </w:tc>
        <w:tc>
          <w:tcPr>
            <w:tcW w:type="dxa" w:w="3912"/>
          </w:tcPr>
          <w:p>
            <w:pPr>
              <w:spacing w:after="0" w:line="252" w:lineRule="auto"/>
              <w:jc w:val="left"/>
            </w:pPr>
            <w:r>
              <w:rPr>
                <w:rFonts w:ascii="Calibri" w:hAnsi="Calibri"/>
                <w:color w:val="1A1A1A"/>
                <w:sz w:val="18"/>
              </w:rPr>
              <w:t>Pillar 5</w:t>
            </w:r>
          </w:p>
        </w:tc>
        <w:tc>
          <w:tcPr>
            <w:tcW w:type="dxa" w:w="3912"/>
          </w:tcPr>
          <w:p>
            <w:pPr>
              <w:spacing w:after="0" w:line="252" w:lineRule="auto"/>
              <w:jc w:val="left"/>
            </w:pPr>
            <w:r>
              <w:rPr>
                <w:rFonts w:ascii="Calibri" w:hAnsi="Calibri"/>
                <w:color w:val="1A1A1A"/>
                <w:sz w:val="18"/>
              </w:rPr>
              <w:t>The SOW is signed, with a variance reason against the quote</w:t>
            </w:r>
          </w:p>
        </w:tc>
      </w:tr>
      <w:tr>
        <w:tc>
          <w:tcPr>
            <w:tcW w:type="dxa" w:w="2494"/>
            <w:shd w:val="clear" w:color="auto" w:fill="FAFBFC"/>
          </w:tcPr>
          <w:p>
            <w:pPr>
              <w:spacing w:after="0" w:line="252" w:lineRule="auto"/>
              <w:jc w:val="left"/>
            </w:pPr>
            <w:r>
              <w:rPr>
                <w:rFonts w:ascii="Calibri" w:hAnsi="Calibri"/>
                <w:b/>
                <w:color w:val="1A1A1A"/>
                <w:sz w:val="18"/>
              </w:rPr>
              <w:t>Invoiced / recognized value</w:t>
            </w:r>
          </w:p>
        </w:tc>
        <w:tc>
          <w:tcPr>
            <w:tcW w:type="dxa" w:w="3912"/>
            <w:shd w:val="clear" w:color="auto" w:fill="FAFBFC"/>
          </w:tcPr>
          <w:p>
            <w:pPr>
              <w:spacing w:after="0" w:line="252" w:lineRule="auto"/>
              <w:jc w:val="left"/>
            </w:pPr>
            <w:r>
              <w:rPr>
                <w:rFonts w:ascii="Calibri" w:hAnsi="Calibri"/>
                <w:color w:val="1A1A1A"/>
                <w:sz w:val="18"/>
              </w:rPr>
              <w:t>Pillar 7</w:t>
            </w:r>
          </w:p>
        </w:tc>
        <w:tc>
          <w:tcPr>
            <w:tcW w:type="dxa" w:w="3912"/>
            <w:shd w:val="clear" w:color="auto" w:fill="FAFBFC"/>
          </w:tcPr>
          <w:p>
            <w:pPr>
              <w:spacing w:after="0" w:line="252" w:lineRule="auto"/>
              <w:jc w:val="left"/>
            </w:pPr>
            <w:r>
              <w:rPr>
                <w:rFonts w:ascii="Calibri" w:hAnsi="Calibri"/>
                <w:color w:val="1A1A1A"/>
                <w:sz w:val="18"/>
              </w:rPr>
              <w:t>A billing event fires from a contract schedule or a delivery milestone</w:t>
            </w:r>
          </w:p>
        </w:tc>
      </w:tr>
      <w:tr>
        <w:tc>
          <w:tcPr>
            <w:tcW w:type="dxa" w:w="2494"/>
          </w:tcPr>
          <w:p>
            <w:pPr>
              <w:spacing w:after="0" w:line="252" w:lineRule="auto"/>
              <w:jc w:val="left"/>
            </w:pPr>
            <w:r>
              <w:rPr>
                <w:rFonts w:ascii="Calibri" w:hAnsi="Calibri"/>
                <w:b/>
                <w:color w:val="1A1A1A"/>
                <w:sz w:val="18"/>
              </w:rPr>
              <w:t>Collected value</w:t>
            </w:r>
          </w:p>
        </w:tc>
        <w:tc>
          <w:tcPr>
            <w:tcW w:type="dxa" w:w="3912"/>
          </w:tcPr>
          <w:p>
            <w:pPr>
              <w:spacing w:after="0" w:line="252" w:lineRule="auto"/>
              <w:jc w:val="left"/>
            </w:pPr>
            <w:r>
              <w:rPr>
                <w:rFonts w:ascii="Calibri" w:hAnsi="Calibri"/>
                <w:color w:val="1A1A1A"/>
                <w:sz w:val="18"/>
              </w:rPr>
              <w:t>Pillar 7</w:t>
            </w:r>
          </w:p>
        </w:tc>
        <w:tc>
          <w:tcPr>
            <w:tcW w:type="dxa" w:w="3912"/>
          </w:tcPr>
          <w:p>
            <w:pPr>
              <w:spacing w:after="0" w:line="252" w:lineRule="auto"/>
              <w:jc w:val="left"/>
            </w:pPr>
            <w:r>
              <w:rPr>
                <w:rFonts w:ascii="Calibri" w:hAnsi="Calibri"/>
                <w:color w:val="1A1A1A"/>
                <w:sz w:val="18"/>
              </w:rPr>
              <w:t>Payment is received against an invoice</w:t>
            </w:r>
          </w:p>
        </w:tc>
      </w:tr>
    </w:tbl>
    <w:p>
      <w:pPr>
        <w:spacing w:after="80"/>
      </w:pPr>
    </w:p>
    <w:p>
      <w:pPr>
        <w:spacing w:before="120" w:after="160"/>
        <w:ind w:left="198"/>
        <w:pBdr>
          <w:left w:val="single" w:sz="18" w:space="8" w:color="B08D57"/>
        </w:pBdr>
        <w:shd w:val="clear" w:color="auto" w:fill="F4F1E8"/>
      </w:pPr>
      <w:r>
        <w:rPr>
          <w:rFonts w:ascii="Calibri" w:hAnsi="Calibri"/>
          <w:b/>
          <w:color w:val="1A1A1A"/>
          <w:sz w:val="19"/>
        </w:rPr>
        <w:t>IMPORTANT CONTROL</w:t>
      </w:r>
      <w:r>
        <w:rPr>
          <w:rFonts w:ascii="Calibri" w:hAnsi="Calibri"/>
          <w:color w:val="1A1A1A"/>
          <w:sz w:val="19"/>
        </w:rPr>
        <w:t xml:space="preserve">  No number in this chain may silently overwrite the one before it. Retain the value, the approver, the date, and the variance reason at every transition. The differences between these five numbers are the most useful measures in the platform; collapsing them destroys the only evidence that the estimates, the pricing, or the collections are going wrong.</w:t>
      </w:r>
    </w:p>
    <w:p>
      <w:r>
        <w:rPr>
          <w:rFonts w:ascii="Calibri" w:hAnsi="Calibri"/>
          <w:color w:val="1A1A1A"/>
        </w:rPr>
        <w:t xml:space="preserve">The current implementation gets the first half of this right and the second half not at all. </w:t>
      </w:r>
      <w:r>
        <w:rPr>
          <w:rFonts w:ascii="Consolas" w:hAnsi="Consolas"/>
          <w:color w:val="8B2E2E"/>
        </w:rPr>
        <w:t>deals_with_value.effective_value</w:t>
      </w:r>
      <w:r>
        <w:rPr>
          <w:rFonts w:ascii="Calibri" w:hAnsi="Calibri"/>
          <w:color w:val="1A1A1A"/>
        </w:rPr>
        <w:t xml:space="preserve"> correctly coalesces the negotiated onboarding amount over the sales estimate, preserving both. There is nothing beyond it — no invoiced, recognized, or collected state exists in the database.</w:t>
      </w:r>
    </w:p>
    <w:p>
      <w:pPr>
        <w:pStyle w:val="Heading2"/>
      </w:pPr>
      <w:r>
        <w:t>Contract-to-cash, routed through Pillar 4</w:t>
      </w:r>
    </w:p>
    <w:p>
      <w:pPr>
        <w:spacing w:after="60"/>
        <w:ind w:left="510" w:hanging="510"/>
      </w:pPr>
      <w:r>
        <w:rPr>
          <w:b/>
        </w:rPr>
        <w:t xml:space="preserve">1.  </w:t>
      </w:r>
      <w:r>
        <w:rPr>
          <w:rFonts w:ascii="Calibri" w:hAnsi="Calibri"/>
          <w:b/>
          <w:color w:val="1A1A1A"/>
        </w:rPr>
        <w:t>Qualify.</w:t>
      </w:r>
      <w:r>
        <w:rPr>
          <w:rFonts w:ascii="Calibri" w:hAnsi="Calibri"/>
          <w:color w:val="1A1A1A"/>
        </w:rPr>
        <w:t xml:space="preserve"> Pillar 2 records scoped services, qualification evidence, and interaction history. No price yet.</w:t>
      </w:r>
    </w:p>
    <w:p>
      <w:pPr>
        <w:spacing w:after="60"/>
        <w:ind w:left="510" w:hanging="510"/>
      </w:pPr>
      <w:r>
        <w:rPr>
          <w:b/>
        </w:rPr>
        <w:t xml:space="preserve">2.  </w:t>
      </w:r>
      <w:r>
        <w:rPr>
          <w:rFonts w:ascii="Calibri" w:hAnsi="Calibri"/>
          <w:b/>
          <w:color w:val="1A1A1A"/>
        </w:rPr>
        <w:t>Register the channel.</w:t>
      </w:r>
      <w:r>
        <w:rPr>
          <w:rFonts w:ascii="Calibri" w:hAnsi="Calibri"/>
          <w:color w:val="1A1A1A"/>
        </w:rPr>
        <w:t xml:space="preserve"> If a partner sourced or influenced the opportunity, Pillar 3 registers the referral and its attribution basis </w:t>
      </w:r>
      <w:r>
        <w:rPr>
          <w:rFonts w:ascii="Calibri" w:hAnsi="Calibri"/>
          <w:b/>
          <w:color w:val="1A1A1A"/>
        </w:rPr>
        <w:t>before</w:t>
      </w:r>
      <w:r>
        <w:rPr>
          <w:rFonts w:ascii="Calibri" w:hAnsi="Calibri"/>
          <w:color w:val="1A1A1A"/>
        </w:rPr>
        <w:t xml:space="preserve"> the deal closes.</w:t>
      </w:r>
    </w:p>
    <w:p>
      <w:pPr>
        <w:spacing w:after="60"/>
        <w:ind w:left="510" w:hanging="510"/>
      </w:pPr>
      <w:r>
        <w:rPr>
          <w:b/>
        </w:rPr>
        <w:t xml:space="preserve">3.  </w:t>
      </w:r>
      <w:r>
        <w:rPr>
          <w:rFonts w:ascii="Calibri" w:hAnsi="Calibri"/>
          <w:b/>
          <w:color w:val="1A1A1A"/>
        </w:rPr>
        <w:t>Estimate and price.</w:t>
      </w:r>
      <w:r>
        <w:rPr>
          <w:rFonts w:ascii="Calibri" w:hAnsi="Calibri"/>
          <w:color w:val="1A1A1A"/>
        </w:rPr>
        <w:t xml:space="preserve"> Pillar 4 selects a catalog baseline, applies sizing drivers, computes delivery cost, tests capacity feasibility, prices to a target margin, and records a bid decision.</w:t>
      </w:r>
    </w:p>
    <w:p>
      <w:pPr>
        <w:spacing w:after="60"/>
        <w:ind w:left="510" w:hanging="510"/>
      </w:pPr>
      <w:r>
        <w:rPr>
          <w:b/>
        </w:rPr>
        <w:t xml:space="preserve">4.  </w:t>
      </w:r>
      <w:r>
        <w:rPr>
          <w:rFonts w:ascii="Calibri" w:hAnsi="Calibri"/>
          <w:b/>
          <w:color w:val="1A1A1A"/>
        </w:rPr>
        <w:t>Quote.</w:t>
      </w:r>
      <w:r>
        <w:rPr>
          <w:rFonts w:ascii="Calibri" w:hAnsi="Calibri"/>
          <w:color w:val="1A1A1A"/>
        </w:rPr>
        <w:t xml:space="preserve"> Pillar 4 generates the quotation from the approved basis — price, delivery window, milestones, scope, exclusions, validity period — and freezes the estimate.</w:t>
      </w:r>
    </w:p>
    <w:p>
      <w:pPr>
        <w:spacing w:after="60"/>
        <w:ind w:left="510" w:hanging="510"/>
      </w:pPr>
      <w:r>
        <w:rPr>
          <w:b/>
        </w:rPr>
        <w:t xml:space="preserve">5.  </w:t>
      </w:r>
      <w:r>
        <w:rPr>
          <w:rFonts w:ascii="Calibri" w:hAnsi="Calibri"/>
          <w:b/>
          <w:color w:val="1A1A1A"/>
        </w:rPr>
        <w:t>Win and hand over.</w:t>
      </w:r>
      <w:r>
        <w:rPr>
          <w:rFonts w:ascii="Calibri" w:hAnsi="Calibri"/>
          <w:color w:val="1A1A1A"/>
        </w:rPr>
        <w:t xml:space="preserve"> Pillar 2 closes the opportunity with a win reason. The deal is won but </w:t>
      </w:r>
      <w:r>
        <w:rPr>
          <w:rFonts w:ascii="Calibri" w:hAnsi="Calibri"/>
          <w:b/>
          <w:color w:val="1A1A1A"/>
        </w:rPr>
        <w:t>not yet committed</w:t>
      </w:r>
      <w:r>
        <w:rPr>
          <w:rFonts w:ascii="Calibri" w:hAnsi="Calibri"/>
          <w:color w:val="1A1A1A"/>
        </w:rPr>
        <w:t>.</w:t>
      </w:r>
    </w:p>
    <w:p>
      <w:pPr>
        <w:spacing w:after="60"/>
        <w:ind w:left="510" w:hanging="510"/>
      </w:pPr>
      <w:r>
        <w:rPr>
          <w:b/>
        </w:rPr>
        <w:t xml:space="preserve">6.  </w:t>
      </w:r>
      <w:r>
        <w:rPr>
          <w:rFonts w:ascii="Calibri" w:hAnsi="Calibri"/>
          <w:b/>
          <w:color w:val="1A1A1A"/>
        </w:rPr>
        <w:t>Contract and fund.</w:t>
      </w:r>
      <w:r>
        <w:rPr>
          <w:rFonts w:ascii="Calibri" w:hAnsi="Calibri"/>
          <w:color w:val="1A1A1A"/>
        </w:rPr>
        <w:t xml:space="preserve"> Pillar 5 tracks documents to signature, records the negotiated value with its variance reason against the quote, captures payment terms and the purchase order, and only then opens the kickoff readiness gate.</w:t>
      </w:r>
    </w:p>
    <w:p>
      <w:pPr>
        <w:spacing w:after="60"/>
        <w:ind w:left="510" w:hanging="510"/>
      </w:pPr>
      <w:r>
        <w:rPr>
          <w:b/>
        </w:rPr>
        <w:t xml:space="preserve">7.  </w:t>
      </w:r>
      <w:r>
        <w:rPr>
          <w:rFonts w:ascii="Calibri" w:hAnsi="Calibri"/>
          <w:b/>
          <w:color w:val="1A1A1A"/>
        </w:rPr>
        <w:t>Deliver.</w:t>
      </w:r>
      <w:r>
        <w:rPr>
          <w:rFonts w:ascii="Calibri" w:hAnsi="Calibri"/>
          <w:color w:val="1A1A1A"/>
        </w:rPr>
        <w:t xml:space="preserve"> Pillar 6 executes against contracted scope and dates, recording milestone completion, deliverable acceptance, delays with attributed reasons, and the eventual audit or certification outcome.</w:t>
      </w:r>
    </w:p>
    <w:p>
      <w:pPr>
        <w:spacing w:after="60"/>
        <w:ind w:left="510" w:hanging="510"/>
      </w:pPr>
      <w:r>
        <w:rPr>
          <w:b/>
        </w:rPr>
        <w:t xml:space="preserve">8.  </w:t>
      </w:r>
      <w:r>
        <w:rPr>
          <w:rFonts w:ascii="Calibri" w:hAnsi="Calibri"/>
          <w:b/>
          <w:color w:val="1A1A1A"/>
        </w:rPr>
        <w:t>Bill and collect.</w:t>
      </w:r>
      <w:r>
        <w:rPr>
          <w:rFonts w:ascii="Calibri" w:hAnsi="Calibri"/>
          <w:color w:val="1A1A1A"/>
        </w:rPr>
        <w:t xml:space="preserve"> Milestone completion and the contract schedule together trigger billing events in Pillar 7. Invoiced, recognized, and collected are tracked separately with unbilled visible throughout.</w:t>
      </w:r>
    </w:p>
    <w:p>
      <w:pPr>
        <w:spacing w:after="60"/>
        <w:ind w:left="510" w:hanging="510"/>
      </w:pPr>
      <w:r>
        <w:rPr>
          <w:b/>
        </w:rPr>
        <w:t xml:space="preserve">9.  </w:t>
      </w:r>
      <w:r>
        <w:rPr>
          <w:rFonts w:ascii="Calibri" w:hAnsi="Calibri"/>
          <w:b/>
          <w:color w:val="1A1A1A"/>
        </w:rPr>
        <w:t>Settle and learn.</w:t>
      </w:r>
      <w:r>
        <w:rPr>
          <w:rFonts w:ascii="Calibri" w:hAnsi="Calibri"/>
          <w:color w:val="1A1A1A"/>
        </w:rPr>
        <w:t xml:space="preserve"> Partner fees settle against collected revenue in Pillar 3. Delivered effort is compared against the frozen estimate in Pillar 4, correcting the catalog. Quoted-to-contracted-to-realized variance revises targets and floors.</w:t>
      </w:r>
    </w:p>
    <w:p>
      <w:pPr>
        <w:pStyle w:val="Heading2"/>
      </w:pPr>
      <w:r>
        <w:t>The four feedback loops, and where each one lives</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439"/>
        <w:gridCol w:w="3439"/>
        <w:gridCol w:w="3439"/>
      </w:tblGrid>
      <w:tr>
        <w:trPr>
          <w:tblHeader w:val="true"/>
        </w:trPr>
        <w:tc>
          <w:tcPr>
            <w:tcW w:type="dxa" w:w="2494"/>
            <w:shd w:val="clear" w:color="auto" w:fill="E8EDF2"/>
          </w:tcPr>
          <w:p>
            <w:pPr>
              <w:spacing w:after="0"/>
              <w:jc w:val="left"/>
            </w:pPr>
            <w:r>
              <w:rPr>
                <w:rFonts w:ascii="Calibri" w:hAnsi="Calibri"/>
                <w:b/>
                <w:color w:val="1A1A1A"/>
                <w:sz w:val="18"/>
              </w:rPr>
              <w:t>Loop</w:t>
            </w:r>
          </w:p>
        </w:tc>
        <w:tc>
          <w:tcPr>
            <w:tcW w:type="dxa" w:w="3912"/>
            <w:shd w:val="clear" w:color="auto" w:fill="E8EDF2"/>
          </w:tcPr>
          <w:p>
            <w:pPr>
              <w:spacing w:after="0"/>
              <w:jc w:val="left"/>
            </w:pPr>
            <w:r>
              <w:rPr>
                <w:rFonts w:ascii="Calibri" w:hAnsi="Calibri"/>
                <w:b/>
                <w:color w:val="1A1A1A"/>
                <w:sz w:val="18"/>
              </w:rPr>
              <w:t>Reads</w:t>
            </w:r>
          </w:p>
        </w:tc>
        <w:tc>
          <w:tcPr>
            <w:tcW w:type="dxa" w:w="3912"/>
            <w:shd w:val="clear" w:color="auto" w:fill="E8EDF2"/>
          </w:tcPr>
          <w:p>
            <w:pPr>
              <w:spacing w:after="0"/>
              <w:jc w:val="left"/>
            </w:pPr>
            <w:r>
              <w:rPr>
                <w:rFonts w:ascii="Calibri" w:hAnsi="Calibri"/>
                <w:b/>
                <w:color w:val="1A1A1A"/>
                <w:sz w:val="18"/>
              </w:rPr>
              <w:t>Writes back into</w:t>
            </w:r>
          </w:p>
        </w:tc>
      </w:tr>
      <w:tr>
        <w:tc>
          <w:tcPr>
            <w:tcW w:type="dxa" w:w="2494"/>
          </w:tcPr>
          <w:p>
            <w:pPr>
              <w:spacing w:after="0" w:line="252" w:lineRule="auto"/>
              <w:jc w:val="left"/>
            </w:pPr>
            <w:r>
              <w:rPr>
                <w:rFonts w:ascii="Calibri" w:hAnsi="Calibri"/>
                <w:b/>
                <w:color w:val="1A1A1A"/>
                <w:sz w:val="18"/>
              </w:rPr>
              <w:t>Qualification</w:t>
            </w:r>
          </w:p>
        </w:tc>
        <w:tc>
          <w:tcPr>
            <w:tcW w:type="dxa" w:w="3912"/>
          </w:tcPr>
          <w:p>
            <w:pPr>
              <w:spacing w:after="0" w:line="252" w:lineRule="auto"/>
              <w:jc w:val="left"/>
            </w:pPr>
            <w:r>
              <w:rPr>
                <w:rFonts w:ascii="Calibri" w:hAnsi="Calibri"/>
                <w:color w:val="1A1A1A"/>
                <w:sz w:val="18"/>
              </w:rPr>
              <w:t>Win/loss reasons, delivered outcomes</w:t>
            </w:r>
          </w:p>
        </w:tc>
        <w:tc>
          <w:tcPr>
            <w:tcW w:type="dxa" w:w="3912"/>
          </w:tcPr>
          <w:p>
            <w:pPr>
              <w:spacing w:after="0" w:line="252" w:lineRule="auto"/>
              <w:jc w:val="left"/>
            </w:pPr>
            <w:r>
              <w:rPr>
                <w:rFonts w:ascii="Calibri" w:hAnsi="Calibri"/>
                <w:color w:val="1A1A1A"/>
                <w:sz w:val="18"/>
              </w:rPr>
              <w:t>Ideal-client profile and qualification criteria (P1, P2)</w:t>
            </w:r>
          </w:p>
        </w:tc>
      </w:tr>
      <w:tr>
        <w:tc>
          <w:tcPr>
            <w:tcW w:type="dxa" w:w="2494"/>
            <w:shd w:val="clear" w:color="auto" w:fill="FAFBFC"/>
          </w:tcPr>
          <w:p>
            <w:pPr>
              <w:spacing w:after="0" w:line="252" w:lineRule="auto"/>
              <w:jc w:val="left"/>
            </w:pPr>
            <w:r>
              <w:rPr>
                <w:rFonts w:ascii="Calibri" w:hAnsi="Calibri"/>
                <w:b/>
                <w:color w:val="1A1A1A"/>
                <w:sz w:val="18"/>
              </w:rPr>
              <w:t>Commercial</w:t>
            </w:r>
          </w:p>
        </w:tc>
        <w:tc>
          <w:tcPr>
            <w:tcW w:type="dxa" w:w="3912"/>
            <w:shd w:val="clear" w:color="auto" w:fill="FAFBFC"/>
          </w:tcPr>
          <w:p>
            <w:pPr>
              <w:spacing w:after="0" w:line="252" w:lineRule="auto"/>
              <w:jc w:val="left"/>
            </w:pPr>
            <w:r>
              <w:rPr>
                <w:rFonts w:ascii="Calibri" w:hAnsi="Calibri"/>
                <w:color w:val="1A1A1A"/>
                <w:sz w:val="18"/>
              </w:rPr>
              <w:t>Quoted vs contracted vs realized variance</w:t>
            </w:r>
          </w:p>
        </w:tc>
        <w:tc>
          <w:tcPr>
            <w:tcW w:type="dxa" w:w="3912"/>
            <w:shd w:val="clear" w:color="auto" w:fill="FAFBFC"/>
          </w:tcPr>
          <w:p>
            <w:pPr>
              <w:spacing w:after="0" w:line="252" w:lineRule="auto"/>
              <w:jc w:val="left"/>
            </w:pPr>
            <w:r>
              <w:rPr>
                <w:rFonts w:ascii="Calibri" w:hAnsi="Calibri"/>
                <w:color w:val="1A1A1A"/>
                <w:sz w:val="18"/>
              </w:rPr>
              <w:t>Scoping, target margins, discount floors (P2, P4)</w:t>
            </w:r>
          </w:p>
        </w:tc>
      </w:tr>
      <w:tr>
        <w:tc>
          <w:tcPr>
            <w:tcW w:type="dxa" w:w="2494"/>
          </w:tcPr>
          <w:p>
            <w:pPr>
              <w:spacing w:after="0" w:line="252" w:lineRule="auto"/>
              <w:jc w:val="left"/>
            </w:pPr>
            <w:r>
              <w:rPr>
                <w:rFonts w:ascii="Calibri" w:hAnsi="Calibri"/>
                <w:b/>
                <w:color w:val="1A1A1A"/>
                <w:sz w:val="18"/>
              </w:rPr>
              <w:t>Attribution</w:t>
            </w:r>
          </w:p>
        </w:tc>
        <w:tc>
          <w:tcPr>
            <w:tcW w:type="dxa" w:w="3912"/>
          </w:tcPr>
          <w:p>
            <w:pPr>
              <w:spacing w:after="0" w:line="252" w:lineRule="auto"/>
              <w:jc w:val="left"/>
            </w:pPr>
            <w:r>
              <w:rPr>
                <w:rFonts w:ascii="Calibri" w:hAnsi="Calibri"/>
                <w:color w:val="1A1A1A"/>
                <w:sz w:val="18"/>
              </w:rPr>
              <w:t>Closed, delivered and collected revenue</w:t>
            </w:r>
          </w:p>
        </w:tc>
        <w:tc>
          <w:tcPr>
            <w:tcW w:type="dxa" w:w="3912"/>
          </w:tcPr>
          <w:p>
            <w:pPr>
              <w:spacing w:after="0" w:line="252" w:lineRule="auto"/>
              <w:jc w:val="left"/>
            </w:pPr>
            <w:r>
              <w:rPr>
                <w:rFonts w:ascii="Calibri" w:hAnsi="Calibri"/>
                <w:color w:val="1A1A1A"/>
                <w:sz w:val="18"/>
              </w:rPr>
              <w:t>Partner credit, tiering, channel investment (P3)</w:t>
            </w:r>
          </w:p>
        </w:tc>
      </w:tr>
      <w:tr>
        <w:tc>
          <w:tcPr>
            <w:tcW w:type="dxa" w:w="2494"/>
            <w:shd w:val="clear" w:color="auto" w:fill="FAFBFC"/>
          </w:tcPr>
          <w:p>
            <w:pPr>
              <w:spacing w:after="0" w:line="252" w:lineRule="auto"/>
              <w:jc w:val="left"/>
            </w:pPr>
            <w:r>
              <w:rPr>
                <w:rFonts w:ascii="Calibri" w:hAnsi="Calibri"/>
                <w:b/>
                <w:color w:val="1A1A1A"/>
                <w:sz w:val="18"/>
              </w:rPr>
              <w:t>Retention</w:t>
            </w:r>
          </w:p>
        </w:tc>
        <w:tc>
          <w:tcPr>
            <w:tcW w:type="dxa" w:w="3912"/>
            <w:shd w:val="clear" w:color="auto" w:fill="FAFBFC"/>
          </w:tcPr>
          <w:p>
            <w:pPr>
              <w:spacing w:after="0" w:line="252" w:lineRule="auto"/>
              <w:jc w:val="left"/>
            </w:pPr>
            <w:r>
              <w:rPr>
                <w:rFonts w:ascii="Calibri" w:hAnsi="Calibri"/>
                <w:color w:val="1A1A1A"/>
                <w:sz w:val="18"/>
              </w:rPr>
              <w:t>Delivery outcomes, certification, payment behaviour</w:t>
            </w:r>
          </w:p>
        </w:tc>
        <w:tc>
          <w:tcPr>
            <w:tcW w:type="dxa" w:w="3912"/>
            <w:shd w:val="clear" w:color="auto" w:fill="FAFBFC"/>
          </w:tcPr>
          <w:p>
            <w:pPr>
              <w:spacing w:after="0" w:line="252" w:lineRule="auto"/>
              <w:jc w:val="left"/>
            </w:pPr>
            <w:r>
              <w:rPr>
                <w:rFonts w:ascii="Calibri" w:hAnsi="Calibri"/>
                <w:color w:val="1A1A1A"/>
                <w:sz w:val="18"/>
              </w:rPr>
              <w:t>Renewal probability, expansion, churn risk (P1, P7, P8)</w:t>
            </w:r>
          </w:p>
        </w:tc>
      </w:tr>
      <w:tr>
        <w:tc>
          <w:tcPr>
            <w:tcW w:type="dxa" w:w="2494"/>
          </w:tcPr>
          <w:p>
            <w:pPr>
              <w:spacing w:after="0" w:line="252" w:lineRule="auto"/>
              <w:jc w:val="left"/>
            </w:pPr>
            <w:r>
              <w:rPr>
                <w:rFonts w:ascii="Calibri" w:hAnsi="Calibri"/>
                <w:b/>
                <w:color w:val="1A1A1A"/>
                <w:sz w:val="18"/>
              </w:rPr>
              <w:t>Calibration</w:t>
            </w:r>
          </w:p>
        </w:tc>
        <w:tc>
          <w:tcPr>
            <w:tcW w:type="dxa" w:w="3912"/>
          </w:tcPr>
          <w:p>
            <w:pPr>
              <w:spacing w:after="0" w:line="252" w:lineRule="auto"/>
              <w:jc w:val="left"/>
            </w:pPr>
            <w:r>
              <w:rPr>
                <w:rFonts w:ascii="Calibri" w:hAnsi="Calibri"/>
                <w:color w:val="1A1A1A"/>
                <w:sz w:val="18"/>
              </w:rPr>
              <w:t>Delivered effort by role and stage vs the frozen estimate</w:t>
            </w:r>
          </w:p>
        </w:tc>
        <w:tc>
          <w:tcPr>
            <w:tcW w:type="dxa" w:w="3912"/>
          </w:tcPr>
          <w:p>
            <w:pPr>
              <w:spacing w:after="0" w:line="252" w:lineRule="auto"/>
              <w:jc w:val="left"/>
            </w:pPr>
            <w:r>
              <w:rPr>
                <w:rFonts w:ascii="Calibri" w:hAnsi="Calibri"/>
                <w:color w:val="1A1A1A"/>
                <w:sz w:val="18"/>
              </w:rPr>
              <w:t>Catalog baselines and confidence bands (P4)</w:t>
            </w:r>
          </w:p>
        </w:tc>
      </w:tr>
    </w:tbl>
    <w:p>
      <w:pPr>
        <w:spacing w:after="80"/>
      </w:pPr>
    </w:p>
    <w:p>
      <w:r>
        <w:br w:type="page"/>
      </w:r>
    </w:p>
    <w:p>
      <w:pPr>
        <w:pStyle w:val="Heading1"/>
      </w:pPr>
      <w:r>
        <w:t>Section B — Functional requirements</w:t>
      </w:r>
    </w:p>
    <w:p>
      <w:pPr>
        <w:pStyle w:val="Heading2"/>
      </w:pPr>
      <w:r>
        <w:t>Pillar 1 — Client &amp; Account Intelligence</w:t>
      </w:r>
    </w:p>
    <w:p>
      <w:r>
        <w:rPr>
          <w:rFonts w:ascii="Calibri" w:hAnsi="Calibri"/>
          <w:i/>
          <w:color w:val="1A1A1A"/>
        </w:rPr>
        <w:t>Who are our clients and prospects, and who do we deal with inside them?</w:t>
      </w:r>
    </w:p>
    <w:p>
      <w:r>
        <w:rPr>
          <w:rFonts w:ascii="Calibri" w:hAnsi="Calibri"/>
          <w:color w:val="1A1A1A"/>
        </w:rPr>
        <w:t>The most mature pillar in the current build. The gaps are structural rather than functional: there is no way to express that two companies are one client group, and no way to merge a duplicate once detected.</w:t>
      </w:r>
    </w:p>
    <w:p>
      <w:pPr>
        <w:pStyle w:val="Heading3"/>
      </w:pPr>
      <w:r>
        <w:t>Accounts and contacts</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064"/>
        <w:gridCol w:w="2064"/>
        <w:gridCol w:w="2064"/>
        <w:gridCol w:w="2064"/>
        <w:gridCol w:w="2064"/>
      </w:tblGrid>
      <w:tr>
        <w:trPr>
          <w:tblHeader w:val="true"/>
        </w:trPr>
        <w:tc>
          <w:tcPr>
            <w:tcW w:type="dxa" w:w="964"/>
            <w:shd w:val="clear" w:color="auto" w:fill="E8EDF2"/>
          </w:tcPr>
          <w:p>
            <w:pPr>
              <w:spacing w:after="0"/>
              <w:jc w:val="left"/>
            </w:pPr>
            <w:r>
              <w:rPr>
                <w:rFonts w:ascii="Calibri" w:hAnsi="Calibri"/>
                <w:b/>
                <w:color w:val="1A1A1A"/>
                <w:sz w:val="17"/>
              </w:rPr>
              <w:t>ID</w:t>
            </w:r>
          </w:p>
        </w:tc>
        <w:tc>
          <w:tcPr>
            <w:tcW w:type="dxa" w:w="3345"/>
            <w:shd w:val="clear" w:color="auto" w:fill="E8EDF2"/>
          </w:tcPr>
          <w:p>
            <w:pPr>
              <w:spacing w:after="0"/>
              <w:jc w:val="left"/>
            </w:pPr>
            <w:r>
              <w:rPr>
                <w:rFonts w:ascii="Calibri" w:hAnsi="Calibri"/>
                <w:b/>
                <w:color w:val="1A1A1A"/>
                <w:sz w:val="17"/>
              </w:rPr>
              <w:t>Requirement</w:t>
            </w:r>
          </w:p>
        </w:tc>
        <w:tc>
          <w:tcPr>
            <w:tcW w:type="dxa" w:w="3061"/>
            <w:shd w:val="clear" w:color="auto" w:fill="E8EDF2"/>
          </w:tcPr>
          <w:p>
            <w:pPr>
              <w:spacing w:after="0"/>
              <w:jc w:val="left"/>
            </w:pPr>
            <w:r>
              <w:rPr>
                <w:rFonts w:ascii="Calibri" w:hAnsi="Calibri"/>
                <w:b/>
                <w:color w:val="1A1A1A"/>
                <w:sz w:val="17"/>
              </w:rPr>
              <w:t>Acceptance</w:t>
            </w:r>
          </w:p>
        </w:tc>
        <w:tc>
          <w:tcPr>
            <w:tcW w:type="dxa" w:w="1020"/>
            <w:shd w:val="clear" w:color="auto" w:fill="E8EDF2"/>
          </w:tcPr>
          <w:p>
            <w:pPr>
              <w:spacing w:after="0"/>
              <w:jc w:val="left"/>
            </w:pPr>
            <w:r>
              <w:rPr>
                <w:rFonts w:ascii="Calibri" w:hAnsi="Calibri"/>
                <w:b/>
                <w:color w:val="1A1A1A"/>
                <w:sz w:val="17"/>
              </w:rPr>
              <w:t>Status</w:t>
            </w:r>
          </w:p>
        </w:tc>
        <w:tc>
          <w:tcPr>
            <w:tcW w:type="dxa" w:w="1928"/>
            <w:shd w:val="clear" w:color="auto" w:fill="E8EDF2"/>
          </w:tcPr>
          <w:p>
            <w:pPr>
              <w:spacing w:after="0"/>
              <w:jc w:val="left"/>
            </w:pPr>
            <w:r>
              <w:rPr>
                <w:rFonts w:ascii="Calibri" w:hAnsi="Calibri"/>
                <w:b/>
                <w:color w:val="1A1A1A"/>
                <w:sz w:val="17"/>
              </w:rPr>
              <w:t>Lands in</w:t>
            </w:r>
          </w:p>
        </w:tc>
      </w:tr>
      <w:tr>
        <w:tc>
          <w:tcPr>
            <w:tcW w:type="dxa" w:w="964"/>
          </w:tcPr>
          <w:p>
            <w:pPr>
              <w:spacing w:after="0" w:line="252" w:lineRule="auto"/>
              <w:jc w:val="left"/>
            </w:pPr>
            <w:r>
              <w:rPr>
                <w:rFonts w:ascii="Calibri" w:hAnsi="Calibri"/>
                <w:color w:val="1A1A1A"/>
                <w:sz w:val="17"/>
              </w:rPr>
              <w:t>FR-P1-01</w:t>
            </w:r>
          </w:p>
        </w:tc>
        <w:tc>
          <w:tcPr>
            <w:tcW w:type="dxa" w:w="3345"/>
          </w:tcPr>
          <w:p>
            <w:pPr>
              <w:spacing w:after="0" w:line="252" w:lineRule="auto"/>
              <w:jc w:val="left"/>
            </w:pPr>
            <w:r>
              <w:rPr>
                <w:rFonts w:ascii="Calibri" w:hAnsi="Calibri"/>
                <w:color w:val="1A1A1A"/>
                <w:sz w:val="17"/>
              </w:rPr>
              <w:t>Maintain account master records with legal name, trading name, domain, industry, sub-industry, size band, geography, and client type</w:t>
            </w:r>
          </w:p>
        </w:tc>
        <w:tc>
          <w:tcPr>
            <w:tcW w:type="dxa" w:w="3061"/>
          </w:tcPr>
          <w:p>
            <w:pPr>
              <w:spacing w:after="0" w:line="252" w:lineRule="auto"/>
              <w:jc w:val="left"/>
            </w:pPr>
            <w:r>
              <w:rPr>
                <w:rFonts w:ascii="Calibri" w:hAnsi="Calibri"/>
                <w:color w:val="1A1A1A"/>
                <w:sz w:val="17"/>
              </w:rPr>
              <w:t>An account can be created, edited, searched and soft-deleted with all listed attributes</w:t>
            </w:r>
          </w:p>
        </w:tc>
        <w:tc>
          <w:tcPr>
            <w:tcW w:type="dxa" w:w="1020"/>
          </w:tcPr>
          <w:p>
            <w:pPr>
              <w:spacing w:after="0" w:line="252" w:lineRule="auto"/>
              <w:jc w:val="left"/>
            </w:pPr>
            <w:r>
              <w:rPr>
                <w:rFonts w:ascii="Calibri" w:hAnsi="Calibri"/>
                <w:b/>
                <w:color w:val="1E6B33"/>
                <w:sz w:val="17"/>
              </w:rPr>
              <w:t>EXISTS</w:t>
            </w:r>
          </w:p>
        </w:tc>
        <w:tc>
          <w:tcPr>
            <w:tcW w:type="dxa" w:w="1928"/>
          </w:tcPr>
          <w:p>
            <w:pPr>
              <w:spacing w:after="0" w:line="252" w:lineRule="auto"/>
              <w:jc w:val="left"/>
            </w:pPr>
            <w:r>
              <w:rPr>
                <w:rFonts w:ascii="Calibri" w:hAnsi="Calibri"/>
                <w:color w:val="1F4E79"/>
                <w:sz w:val="17"/>
                <w:u w:val="single"/>
              </w:rPr>
              <w:t>companies.ts</w:t>
            </w:r>
            <w:r>
              <w:rPr>
                <w:rFonts w:ascii="Calibri" w:hAnsi="Calibri"/>
                <w:color w:val="1A1A1A"/>
                <w:sz w:val="17"/>
              </w:rPr>
              <w:t xml:space="preserve">, </w:t>
            </w:r>
            <w:r>
              <w:rPr>
                <w:rFonts w:ascii="Calibri" w:hAnsi="Calibri"/>
                <w:color w:val="1F4E79"/>
                <w:sz w:val="17"/>
                <w:u w:val="single"/>
              </w:rPr>
              <w:t>company.service.ts</w:t>
            </w:r>
          </w:p>
        </w:tc>
      </w:tr>
      <w:tr>
        <w:tc>
          <w:tcPr>
            <w:tcW w:type="dxa" w:w="964"/>
            <w:shd w:val="clear" w:color="auto" w:fill="FAFBFC"/>
          </w:tcPr>
          <w:p>
            <w:pPr>
              <w:spacing w:after="0" w:line="252" w:lineRule="auto"/>
              <w:jc w:val="left"/>
            </w:pPr>
            <w:r>
              <w:rPr>
                <w:rFonts w:ascii="Calibri" w:hAnsi="Calibri"/>
                <w:color w:val="1A1A1A"/>
                <w:sz w:val="17"/>
              </w:rPr>
              <w:t>FR-P1-02</w:t>
            </w:r>
          </w:p>
        </w:tc>
        <w:tc>
          <w:tcPr>
            <w:tcW w:type="dxa" w:w="3345"/>
            <w:shd w:val="clear" w:color="auto" w:fill="FAFBFC"/>
          </w:tcPr>
          <w:p>
            <w:pPr>
              <w:spacing w:after="0" w:line="252" w:lineRule="auto"/>
              <w:jc w:val="left"/>
            </w:pPr>
            <w:r>
              <w:rPr>
                <w:rFonts w:ascii="Calibri" w:hAnsi="Calibri"/>
                <w:color w:val="1A1A1A"/>
                <w:sz w:val="17"/>
              </w:rPr>
              <w:t>Enforce domain uniqueness among live accounts without blocking reuse of a domain from a deleted account</w:t>
            </w:r>
          </w:p>
        </w:tc>
        <w:tc>
          <w:tcPr>
            <w:tcW w:type="dxa" w:w="3061"/>
            <w:shd w:val="clear" w:color="auto" w:fill="FAFBFC"/>
          </w:tcPr>
          <w:p>
            <w:pPr>
              <w:spacing w:after="0" w:line="252" w:lineRule="auto"/>
              <w:jc w:val="left"/>
            </w:pPr>
            <w:r>
              <w:rPr>
                <w:rFonts w:ascii="Calibri" w:hAnsi="Calibri"/>
                <w:color w:val="1A1A1A"/>
                <w:sz w:val="17"/>
              </w:rPr>
              <w:t xml:space="preserve">Partial unique index on domain scoped to </w:t>
            </w:r>
            <w:r>
              <w:rPr>
                <w:rFonts w:ascii="Consolas" w:hAnsi="Consolas"/>
                <w:color w:val="8B2E2E"/>
                <w:sz w:val="17"/>
              </w:rPr>
              <w:t>deleted_at IS NULL</w:t>
            </w:r>
          </w:p>
        </w:tc>
        <w:tc>
          <w:tcPr>
            <w:tcW w:type="dxa" w:w="1020"/>
            <w:shd w:val="clear" w:color="auto" w:fill="FAFBFC"/>
          </w:tcPr>
          <w:p>
            <w:pPr>
              <w:spacing w:after="0" w:line="252" w:lineRule="auto"/>
              <w:jc w:val="left"/>
            </w:pPr>
            <w:r>
              <w:rPr>
                <w:rFonts w:ascii="Calibri" w:hAnsi="Calibri"/>
                <w:b/>
                <w:color w:val="1E6B33"/>
                <w:sz w:val="17"/>
              </w:rPr>
              <w:t>EXISTS</w:t>
            </w:r>
          </w:p>
        </w:tc>
        <w:tc>
          <w:tcPr>
            <w:tcW w:type="dxa" w:w="1928"/>
            <w:shd w:val="clear" w:color="auto" w:fill="FAFBFC"/>
          </w:tcPr>
          <w:p>
            <w:pPr>
              <w:spacing w:after="0" w:line="252" w:lineRule="auto"/>
              <w:jc w:val="left"/>
            </w:pPr>
            <w:r>
              <w:rPr>
                <w:rFonts w:ascii="Consolas" w:hAnsi="Consolas"/>
                <w:color w:val="8B2E2E"/>
                <w:sz w:val="17"/>
              </w:rPr>
              <w:t>idx_companies_domain</w:t>
            </w:r>
          </w:p>
        </w:tc>
      </w:tr>
      <w:tr>
        <w:tc>
          <w:tcPr>
            <w:tcW w:type="dxa" w:w="964"/>
          </w:tcPr>
          <w:p>
            <w:pPr>
              <w:spacing w:after="0" w:line="252" w:lineRule="auto"/>
              <w:jc w:val="left"/>
            </w:pPr>
            <w:r>
              <w:rPr>
                <w:rFonts w:ascii="Calibri" w:hAnsi="Calibri"/>
                <w:color w:val="1A1A1A"/>
                <w:sz w:val="17"/>
              </w:rPr>
              <w:t>FR-P1-03</w:t>
            </w:r>
          </w:p>
        </w:tc>
        <w:tc>
          <w:tcPr>
            <w:tcW w:type="dxa" w:w="3345"/>
          </w:tcPr>
          <w:p>
            <w:pPr>
              <w:spacing w:after="0" w:line="252" w:lineRule="auto"/>
              <w:jc w:val="left"/>
            </w:pPr>
            <w:r>
              <w:rPr>
                <w:rFonts w:ascii="Calibri" w:hAnsi="Calibri"/>
                <w:color w:val="1A1A1A"/>
                <w:sz w:val="17"/>
              </w:rPr>
              <w:t>Maintain contact records with name, title, email, phone, source, status and owner</w:t>
            </w:r>
          </w:p>
        </w:tc>
        <w:tc>
          <w:tcPr>
            <w:tcW w:type="dxa" w:w="3061"/>
          </w:tcPr>
          <w:p>
            <w:pPr>
              <w:spacing w:after="0" w:line="252" w:lineRule="auto"/>
              <w:jc w:val="left"/>
            </w:pPr>
            <w:r>
              <w:rPr>
                <w:rFonts w:ascii="Calibri" w:hAnsi="Calibri"/>
                <w:color w:val="1A1A1A"/>
                <w:sz w:val="17"/>
              </w:rPr>
              <w:t>Contact CRUD with all listed attributes, searchable and filterable</w:t>
            </w:r>
          </w:p>
        </w:tc>
        <w:tc>
          <w:tcPr>
            <w:tcW w:type="dxa" w:w="1020"/>
          </w:tcPr>
          <w:p>
            <w:pPr>
              <w:spacing w:after="0" w:line="252" w:lineRule="auto"/>
              <w:jc w:val="left"/>
            </w:pPr>
            <w:r>
              <w:rPr>
                <w:rFonts w:ascii="Calibri" w:hAnsi="Calibri"/>
                <w:b/>
                <w:color w:val="1E6B33"/>
                <w:sz w:val="17"/>
              </w:rPr>
              <w:t>EXISTS</w:t>
            </w:r>
          </w:p>
        </w:tc>
        <w:tc>
          <w:tcPr>
            <w:tcW w:type="dxa" w:w="1928"/>
          </w:tcPr>
          <w:p>
            <w:pPr>
              <w:spacing w:after="0" w:line="252" w:lineRule="auto"/>
              <w:jc w:val="left"/>
            </w:pPr>
            <w:r>
              <w:rPr>
                <w:rFonts w:ascii="Calibri" w:hAnsi="Calibri"/>
                <w:color w:val="1F4E79"/>
                <w:sz w:val="17"/>
                <w:u w:val="single"/>
              </w:rPr>
              <w:t>contacts.ts</w:t>
            </w:r>
          </w:p>
        </w:tc>
      </w:tr>
      <w:tr>
        <w:tc>
          <w:tcPr>
            <w:tcW w:type="dxa" w:w="964"/>
            <w:shd w:val="clear" w:color="auto" w:fill="FAFBFC"/>
          </w:tcPr>
          <w:p>
            <w:pPr>
              <w:spacing w:after="0" w:line="252" w:lineRule="auto"/>
              <w:jc w:val="left"/>
            </w:pPr>
            <w:r>
              <w:rPr>
                <w:rFonts w:ascii="Calibri" w:hAnsi="Calibri"/>
                <w:color w:val="1A1A1A"/>
                <w:sz w:val="17"/>
              </w:rPr>
              <w:t>FR-P1-04</w:t>
            </w:r>
          </w:p>
        </w:tc>
        <w:tc>
          <w:tcPr>
            <w:tcW w:type="dxa" w:w="3345"/>
            <w:shd w:val="clear" w:color="auto" w:fill="FAFBFC"/>
          </w:tcPr>
          <w:p>
            <w:pPr>
              <w:spacing w:after="0" w:line="252" w:lineRule="auto"/>
              <w:jc w:val="left"/>
            </w:pPr>
            <w:r>
              <w:rPr>
                <w:rFonts w:ascii="Calibri" w:hAnsi="Calibri"/>
                <w:color w:val="1A1A1A"/>
                <w:sz w:val="17"/>
              </w:rPr>
              <w:t>Record each contact's role in a buying decision — decision maker, champion, influencer, stakeholder, blocker</w:t>
            </w:r>
          </w:p>
        </w:tc>
        <w:tc>
          <w:tcPr>
            <w:tcW w:type="dxa" w:w="3061"/>
            <w:shd w:val="clear" w:color="auto" w:fill="FAFBFC"/>
          </w:tcPr>
          <w:p>
            <w:pPr>
              <w:spacing w:after="0" w:line="252" w:lineRule="auto"/>
              <w:jc w:val="left"/>
            </w:pPr>
            <w:r>
              <w:rPr>
                <w:rFonts w:ascii="Calibri" w:hAnsi="Calibri"/>
                <w:color w:val="1A1A1A"/>
                <w:sz w:val="17"/>
              </w:rPr>
              <w:t>Role is recorded per contact per opportunity, not globally on the contact</w:t>
            </w:r>
          </w:p>
        </w:tc>
        <w:tc>
          <w:tcPr>
            <w:tcW w:type="dxa" w:w="1020"/>
            <w:shd w:val="clear" w:color="auto" w:fill="FAFBFC"/>
          </w:tcPr>
          <w:p>
            <w:pPr>
              <w:spacing w:after="0" w:line="252" w:lineRule="auto"/>
              <w:jc w:val="left"/>
            </w:pPr>
            <w:r>
              <w:rPr>
                <w:rFonts w:ascii="Calibri" w:hAnsi="Calibri"/>
                <w:b/>
                <w:color w:val="1E6B33"/>
                <w:sz w:val="17"/>
              </w:rPr>
              <w:t>EXISTS</w:t>
            </w:r>
          </w:p>
        </w:tc>
        <w:tc>
          <w:tcPr>
            <w:tcW w:type="dxa" w:w="1928"/>
            <w:shd w:val="clear" w:color="auto" w:fill="FAFBFC"/>
          </w:tcPr>
          <w:p>
            <w:pPr>
              <w:spacing w:after="0" w:line="252" w:lineRule="auto"/>
              <w:jc w:val="left"/>
            </w:pPr>
            <w:r>
              <w:rPr>
                <w:rFonts w:ascii="Consolas" w:hAnsi="Consolas"/>
                <w:color w:val="8B2E2E"/>
                <w:sz w:val="17"/>
              </w:rPr>
              <w:t>deal_contacts.role</w:t>
            </w:r>
          </w:p>
        </w:tc>
      </w:tr>
      <w:tr>
        <w:tc>
          <w:tcPr>
            <w:tcW w:type="dxa" w:w="964"/>
          </w:tcPr>
          <w:p>
            <w:pPr>
              <w:spacing w:after="0" w:line="252" w:lineRule="auto"/>
              <w:jc w:val="left"/>
            </w:pPr>
            <w:r>
              <w:rPr>
                <w:rFonts w:ascii="Calibri" w:hAnsi="Calibri"/>
                <w:color w:val="1A1A1A"/>
                <w:sz w:val="17"/>
              </w:rPr>
              <w:t>FR-P1-05</w:t>
            </w:r>
          </w:p>
        </w:tc>
        <w:tc>
          <w:tcPr>
            <w:tcW w:type="dxa" w:w="3345"/>
          </w:tcPr>
          <w:p>
            <w:pPr>
              <w:spacing w:after="0" w:line="252" w:lineRule="auto"/>
              <w:jc w:val="left"/>
            </w:pPr>
            <w:r>
              <w:rPr>
                <w:rFonts w:ascii="Calibri" w:hAnsi="Calibri"/>
                <w:color w:val="1A1A1A"/>
                <w:sz w:val="17"/>
              </w:rPr>
              <w:t>Record seniority, decision authority and communication preference on a contact</w:t>
            </w:r>
          </w:p>
        </w:tc>
        <w:tc>
          <w:tcPr>
            <w:tcW w:type="dxa" w:w="3061"/>
          </w:tcPr>
          <w:p>
            <w:pPr>
              <w:spacing w:after="0" w:line="252" w:lineRule="auto"/>
              <w:jc w:val="left"/>
            </w:pPr>
            <w:r>
              <w:rPr>
                <w:rFonts w:ascii="Calibri" w:hAnsi="Calibri"/>
                <w:color w:val="1A1A1A"/>
                <w:sz w:val="17"/>
              </w:rPr>
              <w:t>The three fields are stored, editable, and visible on the contact detail page</w:t>
            </w:r>
          </w:p>
        </w:tc>
        <w:tc>
          <w:tcPr>
            <w:tcW w:type="dxa" w:w="1020"/>
          </w:tcPr>
          <w:p>
            <w:pPr>
              <w:spacing w:after="0" w:line="252" w:lineRule="auto"/>
              <w:jc w:val="left"/>
            </w:pPr>
            <w:r>
              <w:rPr>
                <w:rFonts w:ascii="Calibri" w:hAnsi="Calibri"/>
                <w:b/>
                <w:color w:val="1F4E79"/>
                <w:sz w:val="17"/>
              </w:rPr>
              <w:t>NEW</w:t>
            </w:r>
            <w:r>
              <w:rPr>
                <w:rFonts w:ascii="Calibri" w:hAnsi="Calibri"/>
                <w:color w:val="1F4E79"/>
                <w:sz w:val="17"/>
              </w:rPr>
              <w:t xml:space="preserve"> — none of the three exist</w:t>
            </w:r>
          </w:p>
        </w:tc>
        <w:tc>
          <w:tcPr>
            <w:tcW w:type="dxa" w:w="1928"/>
          </w:tcPr>
          <w:p>
            <w:pPr>
              <w:spacing w:after="0" w:line="252" w:lineRule="auto"/>
              <w:jc w:val="left"/>
            </w:pPr>
            <w:r>
              <w:rPr>
                <w:rFonts w:ascii="Calibri" w:hAnsi="Calibri"/>
                <w:color w:val="1A1A1A"/>
                <w:sz w:val="17"/>
              </w:rPr>
              <w:t xml:space="preserve">Extend </w:t>
            </w:r>
            <w:r>
              <w:rPr>
                <w:rFonts w:ascii="Consolas" w:hAnsi="Consolas"/>
                <w:color w:val="8B2E2E"/>
                <w:sz w:val="17"/>
              </w:rPr>
              <w:t>contacts</w:t>
            </w:r>
          </w:p>
        </w:tc>
      </w:tr>
      <w:tr>
        <w:tc>
          <w:tcPr>
            <w:tcW w:type="dxa" w:w="964"/>
            <w:shd w:val="clear" w:color="auto" w:fill="FAFBFC"/>
          </w:tcPr>
          <w:p>
            <w:pPr>
              <w:spacing w:after="0" w:line="252" w:lineRule="auto"/>
              <w:jc w:val="left"/>
            </w:pPr>
            <w:r>
              <w:rPr>
                <w:rFonts w:ascii="Calibri" w:hAnsi="Calibri"/>
                <w:color w:val="1A1A1A"/>
                <w:sz w:val="17"/>
              </w:rPr>
              <w:t>FR-P1-17</w:t>
            </w:r>
          </w:p>
        </w:tc>
        <w:tc>
          <w:tcPr>
            <w:tcW w:type="dxa" w:w="3345"/>
            <w:shd w:val="clear" w:color="auto" w:fill="FAFBFC"/>
          </w:tcPr>
          <w:p>
            <w:pPr>
              <w:spacing w:after="0" w:line="252" w:lineRule="auto"/>
              <w:jc w:val="left"/>
            </w:pPr>
            <w:r>
              <w:rPr>
                <w:rFonts w:ascii="Calibri" w:hAnsi="Calibri"/>
                <w:color w:val="1A1A1A"/>
                <w:sz w:val="17"/>
              </w:rPr>
              <w:t>Derive relationship strength from activity recency and frequency, manually overridable</w:t>
            </w:r>
          </w:p>
        </w:tc>
        <w:tc>
          <w:tcPr>
            <w:tcW w:type="dxa" w:w="3061"/>
            <w:shd w:val="clear" w:color="auto" w:fill="FAFBFC"/>
          </w:tcPr>
          <w:p>
            <w:pPr>
              <w:spacing w:after="0" w:line="252" w:lineRule="auto"/>
              <w:jc w:val="left"/>
            </w:pPr>
            <w:r>
              <w:rPr>
                <w:rFonts w:ascii="Calibri" w:hAnsi="Calibri"/>
                <w:color w:val="1A1A1A"/>
                <w:sz w:val="17"/>
              </w:rPr>
              <w:t>Strength is recomputed on the nightly schedule alongside lead score; a manual override is retained and marked as overridden until cleared</w:t>
            </w:r>
          </w:p>
        </w:tc>
        <w:tc>
          <w:tcPr>
            <w:tcW w:type="dxa" w:w="1020"/>
            <w:shd w:val="clear" w:color="auto" w:fill="FAFBFC"/>
          </w:tcPr>
          <w:p>
            <w:pPr>
              <w:spacing w:after="0" w:line="252" w:lineRule="auto"/>
              <w:jc w:val="left"/>
            </w:pPr>
            <w:r>
              <w:rPr>
                <w:rFonts w:ascii="Calibri" w:hAnsi="Calibri"/>
                <w:b/>
                <w:color w:val="1F4E79"/>
                <w:sz w:val="17"/>
              </w:rPr>
              <w:t>NEW</w:t>
            </w:r>
            <w:r>
              <w:rPr>
                <w:rFonts w:ascii="Calibri" w:hAnsi="Calibri"/>
                <w:color w:val="1F4E79"/>
                <w:sz w:val="17"/>
              </w:rPr>
              <w:t xml:space="preserve"> — reviewed 24 Aug: kept, but specified as computed rather than a free-standing manual field, which would go stale</w:t>
            </w:r>
          </w:p>
        </w:tc>
        <w:tc>
          <w:tcPr>
            <w:tcW w:type="dxa" w:w="1928"/>
            <w:shd w:val="clear" w:color="auto" w:fill="FAFBFC"/>
          </w:tcPr>
          <w:p>
            <w:pPr>
              <w:spacing w:after="0" w:line="252" w:lineRule="auto"/>
              <w:jc w:val="left"/>
            </w:pPr>
            <w:r>
              <w:rPr>
                <w:rFonts w:ascii="Consolas" w:hAnsi="Consolas"/>
                <w:color w:val="8B2E2E"/>
                <w:sz w:val="17"/>
              </w:rPr>
              <w:t>contacts</w:t>
            </w:r>
            <w:r>
              <w:rPr>
                <w:rFonts w:ascii="Calibri" w:hAnsi="Calibri"/>
                <w:color w:val="1A1A1A"/>
                <w:sz w:val="17"/>
              </w:rPr>
              <w:t xml:space="preserve"> + </w:t>
            </w:r>
            <w:r>
              <w:rPr>
                <w:rFonts w:ascii="Calibri" w:hAnsi="Calibri"/>
                <w:color w:val="1F4E79"/>
                <w:sz w:val="17"/>
                <w:u w:val="single"/>
              </w:rPr>
              <w:t>automation.service.ts</w:t>
            </w:r>
          </w:p>
        </w:tc>
      </w:tr>
      <w:tr>
        <w:tc>
          <w:tcPr>
            <w:tcW w:type="dxa" w:w="964"/>
          </w:tcPr>
          <w:p>
            <w:pPr>
              <w:spacing w:after="0" w:line="252" w:lineRule="auto"/>
              <w:jc w:val="left"/>
            </w:pPr>
            <w:r>
              <w:rPr>
                <w:rFonts w:ascii="Calibri" w:hAnsi="Calibri"/>
                <w:color w:val="1A1A1A"/>
                <w:sz w:val="17"/>
              </w:rPr>
              <w:t>FR-P1-06</w:t>
            </w:r>
          </w:p>
        </w:tc>
        <w:tc>
          <w:tcPr>
            <w:tcW w:type="dxa" w:w="3345"/>
          </w:tcPr>
          <w:p>
            <w:pPr>
              <w:spacing w:after="0" w:line="252" w:lineRule="auto"/>
              <w:jc w:val="left"/>
            </w:pPr>
            <w:r>
              <w:rPr>
                <w:rFonts w:ascii="Calibri" w:hAnsi="Calibri"/>
                <w:color w:val="1A1A1A"/>
                <w:sz w:val="17"/>
              </w:rPr>
              <w:t>Recalculate contact lead score on a schedule from activity recency and engagement</w:t>
            </w:r>
          </w:p>
        </w:tc>
        <w:tc>
          <w:tcPr>
            <w:tcW w:type="dxa" w:w="3061"/>
          </w:tcPr>
          <w:p>
            <w:pPr>
              <w:spacing w:after="0" w:line="252" w:lineRule="auto"/>
              <w:jc w:val="left"/>
            </w:pPr>
            <w:r>
              <w:rPr>
                <w:rFonts w:ascii="Calibri" w:hAnsi="Calibri"/>
                <w:color w:val="1A1A1A"/>
                <w:sz w:val="17"/>
              </w:rPr>
              <w:t xml:space="preserve">Nightly job updates </w:t>
            </w:r>
            <w:r>
              <w:rPr>
                <w:rFonts w:ascii="Consolas" w:hAnsi="Consolas"/>
                <w:color w:val="8B2E2E"/>
                <w:sz w:val="17"/>
              </w:rPr>
              <w:t>leadScore</w:t>
            </w:r>
            <w:r>
              <w:rPr>
                <w:rFonts w:ascii="Calibri" w:hAnsi="Calibri"/>
                <w:color w:val="1A1A1A"/>
                <w:sz w:val="17"/>
              </w:rPr>
              <w:t>; the calculation is inspectable</w:t>
            </w:r>
          </w:p>
        </w:tc>
        <w:tc>
          <w:tcPr>
            <w:tcW w:type="dxa" w:w="1020"/>
          </w:tcPr>
          <w:p>
            <w:pPr>
              <w:spacing w:after="0" w:line="252" w:lineRule="auto"/>
              <w:jc w:val="left"/>
            </w:pPr>
            <w:r>
              <w:rPr>
                <w:rFonts w:ascii="Calibri" w:hAnsi="Calibri"/>
                <w:b/>
                <w:color w:val="1E6B33"/>
                <w:sz w:val="17"/>
              </w:rPr>
              <w:t>EXISTS</w:t>
            </w:r>
          </w:p>
        </w:tc>
        <w:tc>
          <w:tcPr>
            <w:tcW w:type="dxa" w:w="1928"/>
          </w:tcPr>
          <w:p>
            <w:pPr>
              <w:spacing w:after="0" w:line="252" w:lineRule="auto"/>
              <w:jc w:val="left"/>
            </w:pPr>
            <w:r>
              <w:rPr>
                <w:rFonts w:ascii="Consolas" w:hAnsi="Consolas"/>
                <w:color w:val="8B2E2E"/>
                <w:sz w:val="17"/>
              </w:rPr>
              <w:t>recalculateLeadScores</w:t>
            </w:r>
            <w:r>
              <w:rPr>
                <w:rFonts w:ascii="Calibri" w:hAnsi="Calibri"/>
                <w:color w:val="1A1A1A"/>
                <w:sz w:val="17"/>
              </w:rPr>
              <w:t xml:space="preserve"> in </w:t>
            </w:r>
            <w:r>
              <w:rPr>
                <w:rFonts w:ascii="Calibri" w:hAnsi="Calibri"/>
                <w:color w:val="1F4E79"/>
                <w:sz w:val="17"/>
                <w:u w:val="single"/>
              </w:rPr>
              <w:t>automation.service.ts</w:t>
            </w:r>
          </w:p>
        </w:tc>
      </w:tr>
      <w:tr>
        <w:tc>
          <w:tcPr>
            <w:tcW w:type="dxa" w:w="964"/>
            <w:shd w:val="clear" w:color="auto" w:fill="FAFBFC"/>
          </w:tcPr>
          <w:p>
            <w:pPr>
              <w:spacing w:after="0" w:line="252" w:lineRule="auto"/>
              <w:jc w:val="left"/>
            </w:pPr>
            <w:r>
              <w:rPr>
                <w:rFonts w:ascii="Calibri" w:hAnsi="Calibri"/>
                <w:color w:val="1A1A1A"/>
                <w:sz w:val="17"/>
              </w:rPr>
              <w:t>FR-P1-07</w:t>
            </w:r>
          </w:p>
        </w:tc>
        <w:tc>
          <w:tcPr>
            <w:tcW w:type="dxa" w:w="3345"/>
            <w:shd w:val="clear" w:color="auto" w:fill="FAFBFC"/>
          </w:tcPr>
          <w:p>
            <w:pPr>
              <w:spacing w:after="0" w:line="252" w:lineRule="auto"/>
              <w:jc w:val="left"/>
            </w:pPr>
            <w:r>
              <w:rPr>
                <w:rFonts w:ascii="Calibri" w:hAnsi="Calibri"/>
                <w:color w:val="1A1A1A"/>
                <w:sz w:val="17"/>
              </w:rPr>
              <w:t>Maintain contact lifecycle status through new, contacted, qualified, nurturing, converted, unqualified, lost, archived</w:t>
            </w:r>
          </w:p>
        </w:tc>
        <w:tc>
          <w:tcPr>
            <w:tcW w:type="dxa" w:w="3061"/>
            <w:shd w:val="clear" w:color="auto" w:fill="FAFBFC"/>
          </w:tcPr>
          <w:p>
            <w:pPr>
              <w:spacing w:after="0" w:line="252" w:lineRule="auto"/>
              <w:jc w:val="left"/>
            </w:pPr>
            <w:r>
              <w:rPr>
                <w:rFonts w:ascii="Calibri" w:hAnsi="Calibri"/>
                <w:color w:val="1A1A1A"/>
                <w:sz w:val="17"/>
              </w:rPr>
              <w:t>Status transitions are recorded and reportable</w:t>
            </w:r>
          </w:p>
        </w:tc>
        <w:tc>
          <w:tcPr>
            <w:tcW w:type="dxa" w:w="1020"/>
            <w:shd w:val="clear" w:color="auto" w:fill="FAFBFC"/>
          </w:tcPr>
          <w:p>
            <w:pPr>
              <w:spacing w:after="0" w:line="252" w:lineRule="auto"/>
              <w:jc w:val="left"/>
            </w:pPr>
            <w:r>
              <w:rPr>
                <w:rFonts w:ascii="Calibri" w:hAnsi="Calibri"/>
                <w:b/>
                <w:color w:val="1E6B33"/>
                <w:sz w:val="17"/>
              </w:rPr>
              <w:t>EXISTS</w:t>
            </w:r>
          </w:p>
        </w:tc>
        <w:tc>
          <w:tcPr>
            <w:tcW w:type="dxa" w:w="1928"/>
            <w:shd w:val="clear" w:color="auto" w:fill="FAFBFC"/>
          </w:tcPr>
          <w:p>
            <w:pPr>
              <w:spacing w:after="0" w:line="252" w:lineRule="auto"/>
              <w:jc w:val="left"/>
            </w:pPr>
            <w:r>
              <w:rPr>
                <w:rFonts w:ascii="Consolas" w:hAnsi="Consolas"/>
                <w:color w:val="8B2E2E"/>
                <w:sz w:val="17"/>
              </w:rPr>
              <w:t>ContactStatus</w:t>
            </w:r>
          </w:p>
        </w:tc>
      </w:tr>
    </w:tbl>
    <w:p>
      <w:pPr>
        <w:spacing w:after="80"/>
      </w:pPr>
    </w:p>
    <w:p>
      <w:pPr>
        <w:pStyle w:val="Heading3"/>
      </w:pPr>
      <w:r>
        <w:t>Identity resolution and merge</w:t>
      </w:r>
    </w:p>
    <w:p>
      <w:pPr>
        <w:spacing w:before="120" w:after="160"/>
        <w:ind w:left="198"/>
        <w:pBdr>
          <w:left w:val="single" w:sz="18" w:space="8" w:color="B08D57"/>
        </w:pBdr>
        <w:shd w:val="clear" w:color="auto" w:fill="F4F1E8"/>
      </w:pPr>
      <w:r>
        <w:rPr>
          <w:rFonts w:ascii="Calibri" w:hAnsi="Calibri"/>
          <w:b/>
          <w:color w:val="1A1A1A"/>
          <w:sz w:val="19"/>
        </w:rPr>
        <w:t>REVIEW DECISION, 24 Aug 2026 (closes Q-5)</w:t>
      </w:r>
      <w:r>
        <w:rPr>
          <w:rFonts w:ascii="Calibri" w:hAnsi="Calibri"/>
          <w:color w:val="1A1A1A"/>
          <w:sz w:val="19"/>
        </w:rPr>
        <w:t xml:space="preserve">  Client group structure is cut. Revenue, health and all reporting are computed </w:t>
      </w:r>
      <w:r>
        <w:rPr>
          <w:rFonts w:ascii="Calibri" w:hAnsi="Calibri"/>
          <w:b/>
          <w:color w:val="1A1A1A"/>
          <w:sz w:val="19"/>
        </w:rPr>
        <w:t>per legal entity</w:t>
      </w:r>
      <w:r>
        <w:rPr>
          <w:rFonts w:ascii="Calibri" w:hAnsi="Calibri"/>
          <w:color w:val="1A1A1A"/>
          <w:sz w:val="19"/>
        </w:rPr>
        <w:t>. Multi-entity clients are handled by hand until there is evidence they are common enough to model. This removes FR-P1-08, FR-P1-09 and FR-P1-10.</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064"/>
        <w:gridCol w:w="2064"/>
        <w:gridCol w:w="2064"/>
        <w:gridCol w:w="2064"/>
        <w:gridCol w:w="2064"/>
      </w:tblGrid>
      <w:tr>
        <w:trPr>
          <w:tblHeader w:val="true"/>
        </w:trPr>
        <w:tc>
          <w:tcPr>
            <w:tcW w:type="dxa" w:w="964"/>
            <w:shd w:val="clear" w:color="auto" w:fill="E8EDF2"/>
          </w:tcPr>
          <w:p>
            <w:pPr>
              <w:spacing w:after="0"/>
              <w:jc w:val="left"/>
            </w:pPr>
            <w:r>
              <w:rPr>
                <w:rFonts w:ascii="Calibri" w:hAnsi="Calibri"/>
                <w:b/>
                <w:color w:val="1A1A1A"/>
                <w:sz w:val="17"/>
              </w:rPr>
              <w:t>ID</w:t>
            </w:r>
          </w:p>
        </w:tc>
        <w:tc>
          <w:tcPr>
            <w:tcW w:type="dxa" w:w="3345"/>
            <w:shd w:val="clear" w:color="auto" w:fill="E8EDF2"/>
          </w:tcPr>
          <w:p>
            <w:pPr>
              <w:spacing w:after="0"/>
              <w:jc w:val="left"/>
            </w:pPr>
            <w:r>
              <w:rPr>
                <w:rFonts w:ascii="Calibri" w:hAnsi="Calibri"/>
                <w:b/>
                <w:color w:val="1A1A1A"/>
                <w:sz w:val="17"/>
              </w:rPr>
              <w:t>Requirement</w:t>
            </w:r>
          </w:p>
        </w:tc>
        <w:tc>
          <w:tcPr>
            <w:tcW w:type="dxa" w:w="3061"/>
            <w:shd w:val="clear" w:color="auto" w:fill="E8EDF2"/>
          </w:tcPr>
          <w:p>
            <w:pPr>
              <w:spacing w:after="0"/>
              <w:jc w:val="left"/>
            </w:pPr>
            <w:r>
              <w:rPr>
                <w:rFonts w:ascii="Calibri" w:hAnsi="Calibri"/>
                <w:b/>
                <w:color w:val="1A1A1A"/>
                <w:sz w:val="17"/>
              </w:rPr>
              <w:t>Acceptance</w:t>
            </w:r>
          </w:p>
        </w:tc>
        <w:tc>
          <w:tcPr>
            <w:tcW w:type="dxa" w:w="1020"/>
            <w:shd w:val="clear" w:color="auto" w:fill="E8EDF2"/>
          </w:tcPr>
          <w:p>
            <w:pPr>
              <w:spacing w:after="0"/>
              <w:jc w:val="left"/>
            </w:pPr>
            <w:r>
              <w:rPr>
                <w:rFonts w:ascii="Calibri" w:hAnsi="Calibri"/>
                <w:b/>
                <w:color w:val="1A1A1A"/>
                <w:sz w:val="17"/>
              </w:rPr>
              <w:t>Status</w:t>
            </w:r>
          </w:p>
        </w:tc>
        <w:tc>
          <w:tcPr>
            <w:tcW w:type="dxa" w:w="1928"/>
            <w:shd w:val="clear" w:color="auto" w:fill="E8EDF2"/>
          </w:tcPr>
          <w:p>
            <w:pPr>
              <w:spacing w:after="0"/>
              <w:jc w:val="left"/>
            </w:pPr>
            <w:r>
              <w:rPr>
                <w:rFonts w:ascii="Calibri" w:hAnsi="Calibri"/>
                <w:b/>
                <w:color w:val="1A1A1A"/>
                <w:sz w:val="17"/>
              </w:rPr>
              <w:t>Lands in</w:t>
            </w:r>
          </w:p>
        </w:tc>
      </w:tr>
      <w:tr>
        <w:tc>
          <w:tcPr>
            <w:tcW w:type="dxa" w:w="964"/>
          </w:tcPr>
          <w:p>
            <w:pPr>
              <w:spacing w:after="0" w:line="252" w:lineRule="auto"/>
              <w:jc w:val="left"/>
            </w:pPr>
            <w:r>
              <w:rPr>
                <w:rFonts w:ascii="Calibri" w:hAnsi="Calibri"/>
                <w:color w:val="1A1A1A"/>
                <w:sz w:val="17"/>
              </w:rPr>
              <w:t>~~FR-P1-08~~</w:t>
            </w:r>
          </w:p>
        </w:tc>
        <w:tc>
          <w:tcPr>
            <w:tcW w:type="dxa" w:w="3345"/>
          </w:tcPr>
          <w:p>
            <w:pPr>
              <w:spacing w:after="0" w:line="252" w:lineRule="auto"/>
              <w:jc w:val="left"/>
            </w:pPr>
            <w:r>
              <w:rPr>
                <w:rFonts w:ascii="Calibri" w:hAnsi="Calibri"/>
                <w:color w:val="1A1A1A"/>
                <w:sz w:val="17"/>
              </w:rPr>
              <w:t>~~Model parent, subsidiary and affiliate relationships between accounts~~</w:t>
            </w:r>
          </w:p>
        </w:tc>
        <w:tc>
          <w:tcPr>
            <w:tcW w:type="dxa" w:w="3061"/>
          </w:tcPr>
          <w:p>
            <w:pPr>
              <w:spacing w:after="0" w:line="252" w:lineRule="auto"/>
              <w:jc w:val="left"/>
            </w:pPr>
            <w:r>
              <w:rPr>
                <w:rFonts w:ascii="Calibri" w:hAnsi="Calibri"/>
                <w:color w:val="1A1A1A"/>
                <w:sz w:val="17"/>
              </w:rPr>
              <w:t>—</w:t>
            </w:r>
          </w:p>
        </w:tc>
        <w:tc>
          <w:tcPr>
            <w:tcW w:type="dxa" w:w="1020"/>
          </w:tcPr>
          <w:p>
            <w:pPr>
              <w:spacing w:after="0" w:line="252" w:lineRule="auto"/>
              <w:jc w:val="left"/>
            </w:pPr>
            <w:r>
              <w:rPr>
                <w:rFonts w:ascii="Calibri" w:hAnsi="Calibri"/>
                <w:b/>
                <w:color w:val="1A1A1A"/>
                <w:sz w:val="17"/>
              </w:rPr>
              <w:t>WITHDRAWN</w:t>
            </w:r>
            <w:r>
              <w:rPr>
                <w:rFonts w:ascii="Calibri" w:hAnsi="Calibri"/>
                <w:color w:val="1A1A1A"/>
                <w:sz w:val="17"/>
              </w:rPr>
              <w:t xml:space="preserve"> 24 Aug — reporting is per legal entity</w:t>
            </w:r>
          </w:p>
        </w:tc>
        <w:tc>
          <w:tcPr>
            <w:tcW w:type="dxa" w:w="1928"/>
          </w:tcPr>
          <w:p>
            <w:pPr>
              <w:spacing w:after="0" w:line="252" w:lineRule="auto"/>
              <w:jc w:val="left"/>
            </w:pPr>
            <w:r>
              <w:rPr>
                <w:rFonts w:ascii="Calibri" w:hAnsi="Calibri"/>
                <w:color w:val="1A1A1A"/>
                <w:sz w:val="17"/>
              </w:rPr>
              <w:t>—</w:t>
            </w:r>
          </w:p>
        </w:tc>
      </w:tr>
      <w:tr>
        <w:tc>
          <w:tcPr>
            <w:tcW w:type="dxa" w:w="964"/>
            <w:shd w:val="clear" w:color="auto" w:fill="FAFBFC"/>
          </w:tcPr>
          <w:p>
            <w:pPr>
              <w:spacing w:after="0" w:line="252" w:lineRule="auto"/>
              <w:jc w:val="left"/>
            </w:pPr>
            <w:r>
              <w:rPr>
                <w:rFonts w:ascii="Calibri" w:hAnsi="Calibri"/>
                <w:color w:val="1A1A1A"/>
                <w:sz w:val="17"/>
              </w:rPr>
              <w:t>~~FR-P1-09~~</w:t>
            </w:r>
          </w:p>
        </w:tc>
        <w:tc>
          <w:tcPr>
            <w:tcW w:type="dxa" w:w="3345"/>
            <w:shd w:val="clear" w:color="auto" w:fill="FAFBFC"/>
          </w:tcPr>
          <w:p>
            <w:pPr>
              <w:spacing w:after="0" w:line="252" w:lineRule="auto"/>
              <w:jc w:val="left"/>
            </w:pPr>
            <w:r>
              <w:rPr>
                <w:rFonts w:ascii="Calibri" w:hAnsi="Calibri"/>
                <w:color w:val="1A1A1A"/>
                <w:sz w:val="17"/>
              </w:rPr>
              <w:t>~~Present a client group whole or as separate legal entities~~</w:t>
            </w:r>
          </w:p>
        </w:tc>
        <w:tc>
          <w:tcPr>
            <w:tcW w:type="dxa" w:w="3061"/>
            <w:shd w:val="clear" w:color="auto" w:fill="FAFBFC"/>
          </w:tcPr>
          <w:p>
            <w:pPr>
              <w:spacing w:after="0" w:line="252" w:lineRule="auto"/>
              <w:jc w:val="left"/>
            </w:pPr>
            <w:r>
              <w:rPr>
                <w:rFonts w:ascii="Calibri" w:hAnsi="Calibri"/>
                <w:color w:val="1A1A1A"/>
                <w:sz w:val="17"/>
              </w:rPr>
              <w:t>—</w:t>
            </w:r>
          </w:p>
        </w:tc>
        <w:tc>
          <w:tcPr>
            <w:tcW w:type="dxa" w:w="1020"/>
            <w:shd w:val="clear" w:color="auto" w:fill="FAFBFC"/>
          </w:tcPr>
          <w:p>
            <w:pPr>
              <w:spacing w:after="0" w:line="252" w:lineRule="auto"/>
              <w:jc w:val="left"/>
            </w:pPr>
            <w:r>
              <w:rPr>
                <w:rFonts w:ascii="Calibri" w:hAnsi="Calibri"/>
                <w:b/>
                <w:color w:val="1A1A1A"/>
                <w:sz w:val="17"/>
              </w:rPr>
              <w:t>WITHDRAWN</w:t>
            </w:r>
            <w:r>
              <w:rPr>
                <w:rFonts w:ascii="Calibri" w:hAnsi="Calibri"/>
                <w:color w:val="1A1A1A"/>
                <w:sz w:val="17"/>
              </w:rPr>
              <w:t xml:space="preserve"> 24 Aug — no group concept to present</w:t>
            </w:r>
          </w:p>
        </w:tc>
        <w:tc>
          <w:tcPr>
            <w:tcW w:type="dxa" w:w="1928"/>
            <w:shd w:val="clear" w:color="auto" w:fill="FAFBFC"/>
          </w:tcPr>
          <w:p>
            <w:pPr>
              <w:spacing w:after="0" w:line="252" w:lineRule="auto"/>
              <w:jc w:val="left"/>
            </w:pPr>
            <w:r>
              <w:rPr>
                <w:rFonts w:ascii="Calibri" w:hAnsi="Calibri"/>
                <w:color w:val="1A1A1A"/>
                <w:sz w:val="17"/>
              </w:rPr>
              <w:t>—</w:t>
            </w:r>
          </w:p>
        </w:tc>
      </w:tr>
      <w:tr>
        <w:tc>
          <w:tcPr>
            <w:tcW w:type="dxa" w:w="964"/>
          </w:tcPr>
          <w:p>
            <w:pPr>
              <w:spacing w:after="0" w:line="252" w:lineRule="auto"/>
              <w:jc w:val="left"/>
            </w:pPr>
            <w:r>
              <w:rPr>
                <w:rFonts w:ascii="Calibri" w:hAnsi="Calibri"/>
                <w:color w:val="1A1A1A"/>
                <w:sz w:val="17"/>
              </w:rPr>
              <w:t>~~FR-P1-10~~</w:t>
            </w:r>
          </w:p>
        </w:tc>
        <w:tc>
          <w:tcPr>
            <w:tcW w:type="dxa" w:w="3345"/>
          </w:tcPr>
          <w:p>
            <w:pPr>
              <w:spacing w:after="0" w:line="252" w:lineRule="auto"/>
              <w:jc w:val="left"/>
            </w:pPr>
            <w:r>
              <w:rPr>
                <w:rFonts w:ascii="Calibri" w:hAnsi="Calibri"/>
                <w:color w:val="1A1A1A"/>
                <w:sz w:val="17"/>
              </w:rPr>
              <w:t>~~Designate which entity in a group is the billing entity~~</w:t>
            </w:r>
          </w:p>
        </w:tc>
        <w:tc>
          <w:tcPr>
            <w:tcW w:type="dxa" w:w="3061"/>
          </w:tcPr>
          <w:p>
            <w:pPr>
              <w:spacing w:after="0" w:line="252" w:lineRule="auto"/>
              <w:jc w:val="left"/>
            </w:pPr>
            <w:r>
              <w:rPr>
                <w:rFonts w:ascii="Calibri" w:hAnsi="Calibri"/>
                <w:color w:val="1A1A1A"/>
                <w:sz w:val="17"/>
              </w:rPr>
              <w:t>—</w:t>
            </w:r>
          </w:p>
        </w:tc>
        <w:tc>
          <w:tcPr>
            <w:tcW w:type="dxa" w:w="1020"/>
          </w:tcPr>
          <w:p>
            <w:pPr>
              <w:spacing w:after="0" w:line="252" w:lineRule="auto"/>
              <w:jc w:val="left"/>
            </w:pPr>
            <w:r>
              <w:rPr>
                <w:rFonts w:ascii="Calibri" w:hAnsi="Calibri"/>
                <w:b/>
                <w:color w:val="1A1A1A"/>
                <w:sz w:val="17"/>
              </w:rPr>
              <w:t>WITHDRAWN</w:t>
            </w:r>
            <w:r>
              <w:rPr>
                <w:rFonts w:ascii="Calibri" w:hAnsi="Calibri"/>
                <w:color w:val="1A1A1A"/>
                <w:sz w:val="17"/>
              </w:rPr>
              <w:t xml:space="preserve"> 24 Aug — one entity per client, so nothing to nominate. Billing address and tax registration are still required and are raised against Pillar 5</w:t>
            </w:r>
          </w:p>
        </w:tc>
        <w:tc>
          <w:tcPr>
            <w:tcW w:type="dxa" w:w="1928"/>
          </w:tcPr>
          <w:p>
            <w:pPr>
              <w:spacing w:after="0" w:line="252" w:lineRule="auto"/>
              <w:jc w:val="left"/>
            </w:pPr>
            <w:r>
              <w:rPr>
                <w:rFonts w:ascii="Calibri" w:hAnsi="Calibri"/>
                <w:color w:val="1A1A1A"/>
                <w:sz w:val="17"/>
              </w:rPr>
              <w:t>—</w:t>
            </w:r>
          </w:p>
        </w:tc>
      </w:tr>
      <w:tr>
        <w:tc>
          <w:tcPr>
            <w:tcW w:type="dxa" w:w="964"/>
            <w:shd w:val="clear" w:color="auto" w:fill="FAFBFC"/>
          </w:tcPr>
          <w:p>
            <w:pPr>
              <w:spacing w:after="0" w:line="252" w:lineRule="auto"/>
              <w:jc w:val="left"/>
            </w:pPr>
            <w:r>
              <w:rPr>
                <w:rFonts w:ascii="Calibri" w:hAnsi="Calibri"/>
                <w:color w:val="1A1A1A"/>
                <w:sz w:val="17"/>
              </w:rPr>
              <w:t>FR-P1-11</w:t>
            </w:r>
          </w:p>
        </w:tc>
        <w:tc>
          <w:tcPr>
            <w:tcW w:type="dxa" w:w="3345"/>
            <w:shd w:val="clear" w:color="auto" w:fill="FAFBFC"/>
          </w:tcPr>
          <w:p>
            <w:pPr>
              <w:spacing w:after="0" w:line="252" w:lineRule="auto"/>
              <w:jc w:val="left"/>
            </w:pPr>
            <w:r>
              <w:rPr>
                <w:rFonts w:ascii="Calibri" w:hAnsi="Calibri"/>
                <w:color w:val="1A1A1A"/>
                <w:sz w:val="17"/>
              </w:rPr>
              <w:t>Detect probable duplicate contacts on creation</w:t>
            </w:r>
          </w:p>
        </w:tc>
        <w:tc>
          <w:tcPr>
            <w:tcW w:type="dxa" w:w="3061"/>
            <w:shd w:val="clear" w:color="auto" w:fill="FAFBFC"/>
          </w:tcPr>
          <w:p>
            <w:pPr>
              <w:spacing w:after="0" w:line="252" w:lineRule="auto"/>
              <w:jc w:val="left"/>
            </w:pPr>
            <w:r>
              <w:rPr>
                <w:rFonts w:ascii="Calibri" w:hAnsi="Calibri"/>
                <w:color w:val="1A1A1A"/>
                <w:sz w:val="17"/>
              </w:rPr>
              <w:t>Detection matches on exact email, normalised phone, or name similarity above 0.85 combined with the same company, and raises a notification linking to the candidate</w:t>
            </w:r>
          </w:p>
        </w:tc>
        <w:tc>
          <w:tcPr>
            <w:tcW w:type="dxa" w:w="1020"/>
            <w:shd w:val="clear" w:color="auto" w:fill="FAFBFC"/>
          </w:tcPr>
          <w:p>
            <w:pPr>
              <w:spacing w:after="0" w:line="252" w:lineRule="auto"/>
              <w:jc w:val="left"/>
            </w:pPr>
            <w:r>
              <w:rPr>
                <w:rFonts w:ascii="Calibri" w:hAnsi="Calibri"/>
                <w:b/>
                <w:color w:val="1E6B33"/>
                <w:sz w:val="17"/>
              </w:rPr>
              <w:t>EXISTS</w:t>
            </w:r>
            <w:r>
              <w:rPr>
                <w:rFonts w:ascii="Calibri" w:hAnsi="Calibri"/>
                <w:color w:val="1E6B33"/>
                <w:sz w:val="17"/>
              </w:rPr>
              <w:t xml:space="preserve"> — reviewed 24 Aug: contacts-only detection accepted as sufficient; company duplicates are largely prevented by the unique domain index</w:t>
            </w:r>
          </w:p>
        </w:tc>
        <w:tc>
          <w:tcPr>
            <w:tcW w:type="dxa" w:w="1928"/>
            <w:shd w:val="clear" w:color="auto" w:fill="FAFBFC"/>
          </w:tcPr>
          <w:p>
            <w:pPr>
              <w:spacing w:after="0" w:line="252" w:lineRule="auto"/>
              <w:jc w:val="left"/>
            </w:pPr>
            <w:r>
              <w:rPr>
                <w:rFonts w:ascii="Calibri" w:hAnsi="Calibri"/>
                <w:color w:val="1F4E79"/>
                <w:sz w:val="17"/>
                <w:u w:val="single"/>
              </w:rPr>
              <w:t>automation.service.ts:456</w:t>
            </w:r>
          </w:p>
        </w:tc>
      </w:tr>
      <w:tr>
        <w:tc>
          <w:tcPr>
            <w:tcW w:type="dxa" w:w="964"/>
          </w:tcPr>
          <w:p>
            <w:pPr>
              <w:spacing w:after="0" w:line="252" w:lineRule="auto"/>
              <w:jc w:val="left"/>
            </w:pPr>
            <w:r>
              <w:rPr>
                <w:rFonts w:ascii="Calibri" w:hAnsi="Calibri"/>
                <w:color w:val="1A1A1A"/>
                <w:sz w:val="17"/>
              </w:rPr>
              <w:t>FR-P1-12</w:t>
            </w:r>
          </w:p>
        </w:tc>
        <w:tc>
          <w:tcPr>
            <w:tcW w:type="dxa" w:w="3345"/>
          </w:tcPr>
          <w:p>
            <w:pPr>
              <w:spacing w:after="0" w:line="252" w:lineRule="auto"/>
              <w:jc w:val="left"/>
            </w:pPr>
            <w:r>
              <w:rPr>
                <w:rFonts w:ascii="Calibri" w:hAnsi="Calibri"/>
                <w:color w:val="1A1A1A"/>
                <w:sz w:val="17"/>
              </w:rPr>
              <w:t xml:space="preserve">Merge two contacts </w:t>
            </w:r>
            <w:r>
              <w:rPr>
                <w:rFonts w:ascii="Calibri" w:hAnsi="Calibri"/>
                <w:b/>
                <w:color w:val="1A1A1A"/>
                <w:sz w:val="17"/>
              </w:rPr>
              <w:t>or two accounts</w:t>
            </w:r>
            <w:r>
              <w:rPr>
                <w:rFonts w:ascii="Calibri" w:hAnsi="Calibri"/>
                <w:color w:val="1A1A1A"/>
                <w:sz w:val="17"/>
              </w:rPr>
              <w:t>, preserving all history from both</w:t>
            </w:r>
          </w:p>
        </w:tc>
        <w:tc>
          <w:tcPr>
            <w:tcW w:type="dxa" w:w="3061"/>
          </w:tcPr>
          <w:p>
            <w:pPr>
              <w:spacing w:after="0" w:line="252" w:lineRule="auto"/>
              <w:jc w:val="left"/>
            </w:pPr>
            <w:r>
              <w:rPr>
                <w:rFonts w:ascii="Calibri" w:hAnsi="Calibri"/>
                <w:color w:val="1A1A1A"/>
                <w:sz w:val="17"/>
              </w:rPr>
              <w:t>After merge: one surviving record; all activities, opportunities, contracts, tasks and tags from both are attached to it; field-level survivor selection where the two disagree; the merge is recorded in the audit log and reversible</w:t>
            </w:r>
          </w:p>
        </w:tc>
        <w:tc>
          <w:tcPr>
            <w:tcW w:type="dxa" w:w="1020"/>
          </w:tcPr>
          <w:p>
            <w:pPr>
              <w:spacing w:after="0" w:line="252" w:lineRule="auto"/>
              <w:jc w:val="left"/>
            </w:pPr>
            <w:r>
              <w:rPr>
                <w:rFonts w:ascii="Calibri" w:hAnsi="Calibri"/>
                <w:b/>
                <w:color w:val="1F4E79"/>
                <w:sz w:val="17"/>
              </w:rPr>
              <w:t>NEW</w:t>
            </w:r>
            <w:r>
              <w:rPr>
                <w:rFonts w:ascii="Calibri" w:hAnsi="Calibri"/>
                <w:color w:val="1F4E79"/>
                <w:sz w:val="17"/>
              </w:rPr>
              <w:t xml:space="preserve"> — no merge path of any kind exists, so every duplicate detected since launch is still there</w:t>
            </w:r>
          </w:p>
        </w:tc>
        <w:tc>
          <w:tcPr>
            <w:tcW w:type="dxa" w:w="1928"/>
          </w:tcPr>
          <w:p>
            <w:pPr>
              <w:spacing w:after="0" w:line="252" w:lineRule="auto"/>
              <w:jc w:val="left"/>
            </w:pPr>
            <w:r>
              <w:rPr>
                <w:rFonts w:ascii="Calibri" w:hAnsi="Calibri"/>
                <w:color w:val="1A1A1A"/>
                <w:sz w:val="17"/>
              </w:rPr>
              <w:t>New merge service</w:t>
            </w:r>
          </w:p>
        </w:tc>
      </w:tr>
      <w:tr>
        <w:tc>
          <w:tcPr>
            <w:tcW w:type="dxa" w:w="964"/>
            <w:shd w:val="clear" w:color="auto" w:fill="FAFBFC"/>
          </w:tcPr>
          <w:p>
            <w:pPr>
              <w:spacing w:after="0" w:line="252" w:lineRule="auto"/>
              <w:jc w:val="left"/>
            </w:pPr>
            <w:r>
              <w:rPr>
                <w:rFonts w:ascii="Calibri" w:hAnsi="Calibri"/>
                <w:color w:val="1A1A1A"/>
                <w:sz w:val="17"/>
              </w:rPr>
              <w:t>~~FR-P1-13~~</w:t>
            </w:r>
          </w:p>
        </w:tc>
        <w:tc>
          <w:tcPr>
            <w:tcW w:type="dxa" w:w="3345"/>
            <w:shd w:val="clear" w:color="auto" w:fill="FAFBFC"/>
          </w:tcPr>
          <w:p>
            <w:pPr>
              <w:spacing w:after="0" w:line="252" w:lineRule="auto"/>
              <w:jc w:val="left"/>
            </w:pPr>
            <w:r>
              <w:rPr>
                <w:rFonts w:ascii="Calibri" w:hAnsi="Calibri"/>
                <w:color w:val="1A1A1A"/>
                <w:sz w:val="17"/>
              </w:rPr>
              <w:t>~~Monitor data quality and surface coverage gaps~~</w:t>
            </w:r>
          </w:p>
        </w:tc>
        <w:tc>
          <w:tcPr>
            <w:tcW w:type="dxa" w:w="3061"/>
            <w:shd w:val="clear" w:color="auto" w:fill="FAFBFC"/>
          </w:tcPr>
          <w:p>
            <w:pPr>
              <w:spacing w:after="0" w:line="252" w:lineRule="auto"/>
              <w:jc w:val="left"/>
            </w:pPr>
            <w:r>
              <w:rPr>
                <w:rFonts w:ascii="Calibri" w:hAnsi="Calibri"/>
                <w:color w:val="1A1A1A"/>
                <w:sz w:val="17"/>
              </w:rPr>
              <w:t>—</w:t>
            </w:r>
          </w:p>
        </w:tc>
        <w:tc>
          <w:tcPr>
            <w:tcW w:type="dxa" w:w="1020"/>
            <w:shd w:val="clear" w:color="auto" w:fill="FAFBFC"/>
          </w:tcPr>
          <w:p>
            <w:pPr>
              <w:spacing w:after="0" w:line="252" w:lineRule="auto"/>
              <w:jc w:val="left"/>
            </w:pPr>
            <w:r>
              <w:rPr>
                <w:rFonts w:ascii="Calibri" w:hAnsi="Calibri"/>
                <w:b/>
                <w:color w:val="1A1A1A"/>
                <w:sz w:val="17"/>
              </w:rPr>
              <w:t>WITHDRAWN</w:t>
            </w:r>
            <w:r>
              <w:rPr>
                <w:rFonts w:ascii="Calibri" w:hAnsi="Calibri"/>
                <w:color w:val="1A1A1A"/>
                <w:sz w:val="17"/>
              </w:rPr>
              <w:t xml:space="preserve"> 24 Aug — a report nobody opens; problems surface through the work itself</w:t>
            </w:r>
          </w:p>
        </w:tc>
        <w:tc>
          <w:tcPr>
            <w:tcW w:type="dxa" w:w="1928"/>
            <w:shd w:val="clear" w:color="auto" w:fill="FAFBFC"/>
          </w:tcPr>
          <w:p>
            <w:pPr>
              <w:spacing w:after="0" w:line="252" w:lineRule="auto"/>
              <w:jc w:val="left"/>
            </w:pPr>
            <w:r>
              <w:rPr>
                <w:rFonts w:ascii="Calibri" w:hAnsi="Calibri"/>
                <w:color w:val="1A1A1A"/>
                <w:sz w:val="17"/>
              </w:rPr>
              <w:t>—</w:t>
            </w:r>
          </w:p>
        </w:tc>
      </w:tr>
    </w:tbl>
    <w:p>
      <w:pPr>
        <w:spacing w:after="80"/>
      </w:pPr>
    </w:p>
    <w:p>
      <w:pPr>
        <w:pStyle w:val="Heading3"/>
      </w:pPr>
      <w:r>
        <w:t>Segmentation</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064"/>
        <w:gridCol w:w="2064"/>
        <w:gridCol w:w="2064"/>
        <w:gridCol w:w="2064"/>
        <w:gridCol w:w="2064"/>
      </w:tblGrid>
      <w:tr>
        <w:trPr>
          <w:tblHeader w:val="true"/>
        </w:trPr>
        <w:tc>
          <w:tcPr>
            <w:tcW w:type="dxa" w:w="964"/>
            <w:shd w:val="clear" w:color="auto" w:fill="E8EDF2"/>
          </w:tcPr>
          <w:p>
            <w:pPr>
              <w:spacing w:after="0"/>
              <w:jc w:val="left"/>
            </w:pPr>
            <w:r>
              <w:rPr>
                <w:rFonts w:ascii="Calibri" w:hAnsi="Calibri"/>
                <w:b/>
                <w:color w:val="1A1A1A"/>
                <w:sz w:val="17"/>
              </w:rPr>
              <w:t>ID</w:t>
            </w:r>
          </w:p>
        </w:tc>
        <w:tc>
          <w:tcPr>
            <w:tcW w:type="dxa" w:w="3345"/>
            <w:shd w:val="clear" w:color="auto" w:fill="E8EDF2"/>
          </w:tcPr>
          <w:p>
            <w:pPr>
              <w:spacing w:after="0"/>
              <w:jc w:val="left"/>
            </w:pPr>
            <w:r>
              <w:rPr>
                <w:rFonts w:ascii="Calibri" w:hAnsi="Calibri"/>
                <w:b/>
                <w:color w:val="1A1A1A"/>
                <w:sz w:val="17"/>
              </w:rPr>
              <w:t>Requirement</w:t>
            </w:r>
          </w:p>
        </w:tc>
        <w:tc>
          <w:tcPr>
            <w:tcW w:type="dxa" w:w="3061"/>
            <w:shd w:val="clear" w:color="auto" w:fill="E8EDF2"/>
          </w:tcPr>
          <w:p>
            <w:pPr>
              <w:spacing w:after="0"/>
              <w:jc w:val="left"/>
            </w:pPr>
            <w:r>
              <w:rPr>
                <w:rFonts w:ascii="Calibri" w:hAnsi="Calibri"/>
                <w:b/>
                <w:color w:val="1A1A1A"/>
                <w:sz w:val="17"/>
              </w:rPr>
              <w:t>Acceptance</w:t>
            </w:r>
          </w:p>
        </w:tc>
        <w:tc>
          <w:tcPr>
            <w:tcW w:type="dxa" w:w="1020"/>
            <w:shd w:val="clear" w:color="auto" w:fill="E8EDF2"/>
          </w:tcPr>
          <w:p>
            <w:pPr>
              <w:spacing w:after="0"/>
              <w:jc w:val="left"/>
            </w:pPr>
            <w:r>
              <w:rPr>
                <w:rFonts w:ascii="Calibri" w:hAnsi="Calibri"/>
                <w:b/>
                <w:color w:val="1A1A1A"/>
                <w:sz w:val="17"/>
              </w:rPr>
              <w:t>Status</w:t>
            </w:r>
          </w:p>
        </w:tc>
        <w:tc>
          <w:tcPr>
            <w:tcW w:type="dxa" w:w="1928"/>
            <w:shd w:val="clear" w:color="auto" w:fill="E8EDF2"/>
          </w:tcPr>
          <w:p>
            <w:pPr>
              <w:spacing w:after="0"/>
              <w:jc w:val="left"/>
            </w:pPr>
            <w:r>
              <w:rPr>
                <w:rFonts w:ascii="Calibri" w:hAnsi="Calibri"/>
                <w:b/>
                <w:color w:val="1A1A1A"/>
                <w:sz w:val="17"/>
              </w:rPr>
              <w:t>Lands in</w:t>
            </w:r>
          </w:p>
        </w:tc>
      </w:tr>
      <w:tr>
        <w:tc>
          <w:tcPr>
            <w:tcW w:type="dxa" w:w="964"/>
          </w:tcPr>
          <w:p>
            <w:pPr>
              <w:spacing w:after="0" w:line="252" w:lineRule="auto"/>
              <w:jc w:val="left"/>
            </w:pPr>
            <w:r>
              <w:rPr>
                <w:rFonts w:ascii="Calibri" w:hAnsi="Calibri"/>
                <w:color w:val="1A1A1A"/>
                <w:sz w:val="17"/>
              </w:rPr>
              <w:t>FR-P1-14</w:t>
            </w:r>
          </w:p>
        </w:tc>
        <w:tc>
          <w:tcPr>
            <w:tcW w:type="dxa" w:w="3345"/>
          </w:tcPr>
          <w:p>
            <w:pPr>
              <w:spacing w:after="0" w:line="252" w:lineRule="auto"/>
              <w:jc w:val="left"/>
            </w:pPr>
            <w:r>
              <w:rPr>
                <w:rFonts w:ascii="Calibri" w:hAnsi="Calibri"/>
                <w:color w:val="1A1A1A"/>
                <w:sz w:val="17"/>
              </w:rPr>
              <w:t>Segment accounts by industry vertical, size band, geography, regulatory exposure and framework interest</w:t>
            </w:r>
          </w:p>
        </w:tc>
        <w:tc>
          <w:tcPr>
            <w:tcW w:type="dxa" w:w="3061"/>
          </w:tcPr>
          <w:p>
            <w:pPr>
              <w:spacing w:after="0" w:line="252" w:lineRule="auto"/>
              <w:jc w:val="left"/>
            </w:pPr>
            <w:r>
              <w:rPr>
                <w:rFonts w:ascii="Calibri" w:hAnsi="Calibri"/>
                <w:color w:val="1A1A1A"/>
                <w:sz w:val="17"/>
              </w:rPr>
              <w:t>All five are filterable and usable as a report dimension</w:t>
            </w:r>
          </w:p>
        </w:tc>
        <w:tc>
          <w:tcPr>
            <w:tcW w:type="dxa" w:w="1020"/>
          </w:tcPr>
          <w:p>
            <w:pPr>
              <w:spacing w:after="0" w:line="252" w:lineRule="auto"/>
              <w:jc w:val="left"/>
            </w:pPr>
            <w:r>
              <w:rPr>
                <w:rFonts w:ascii="Calibri" w:hAnsi="Calibri"/>
                <w:b/>
                <w:color w:val="9A5B00"/>
                <w:sz w:val="17"/>
              </w:rPr>
              <w:t>PARTIAL</w:t>
            </w:r>
            <w:r>
              <w:rPr>
                <w:rFonts w:ascii="Calibri" w:hAnsi="Calibri"/>
                <w:color w:val="9A5B00"/>
                <w:sz w:val="17"/>
              </w:rPr>
              <w:t xml:space="preserve"> — industry, size and geography exist as columns; regulatory exposure and framework interest exist only as free tags</w:t>
            </w:r>
          </w:p>
        </w:tc>
        <w:tc>
          <w:tcPr>
            <w:tcW w:type="dxa" w:w="1928"/>
          </w:tcPr>
          <w:p>
            <w:pPr>
              <w:spacing w:after="0" w:line="252" w:lineRule="auto"/>
              <w:jc w:val="left"/>
            </w:pPr>
            <w:r>
              <w:rPr>
                <w:rFonts w:ascii="Consolas" w:hAnsi="Consolas"/>
                <w:color w:val="8B2E2E"/>
                <w:sz w:val="17"/>
              </w:rPr>
              <w:t>companies</w:t>
            </w:r>
            <w:r>
              <w:rPr>
                <w:rFonts w:ascii="Calibri" w:hAnsi="Calibri"/>
                <w:color w:val="1A1A1A"/>
                <w:sz w:val="17"/>
              </w:rPr>
              <w:t xml:space="preserve"> + </w:t>
            </w:r>
            <w:r>
              <w:rPr>
                <w:rFonts w:ascii="Calibri" w:hAnsi="Calibri"/>
                <w:color w:val="1F4E79"/>
                <w:sz w:val="17"/>
                <w:u w:val="single"/>
              </w:rPr>
              <w:t>tags.ts</w:t>
            </w:r>
          </w:p>
        </w:tc>
      </w:tr>
      <w:tr>
        <w:tc>
          <w:tcPr>
            <w:tcW w:type="dxa" w:w="964"/>
            <w:shd w:val="clear" w:color="auto" w:fill="FAFBFC"/>
          </w:tcPr>
          <w:p>
            <w:pPr>
              <w:spacing w:after="0" w:line="252" w:lineRule="auto"/>
              <w:jc w:val="left"/>
            </w:pPr>
            <w:r>
              <w:rPr>
                <w:rFonts w:ascii="Calibri" w:hAnsi="Calibri"/>
                <w:color w:val="1A1A1A"/>
                <w:sz w:val="17"/>
              </w:rPr>
              <w:t>~~FR-P1-15~~</w:t>
            </w:r>
          </w:p>
        </w:tc>
        <w:tc>
          <w:tcPr>
            <w:tcW w:type="dxa" w:w="3345"/>
            <w:shd w:val="clear" w:color="auto" w:fill="FAFBFC"/>
          </w:tcPr>
          <w:p>
            <w:pPr>
              <w:spacing w:after="0" w:line="252" w:lineRule="auto"/>
              <w:jc w:val="left"/>
            </w:pPr>
            <w:r>
              <w:rPr>
                <w:rFonts w:ascii="Calibri" w:hAnsi="Calibri"/>
                <w:color w:val="1A1A1A"/>
                <w:sz w:val="17"/>
              </w:rPr>
              <w:t>~~Enrich an account from its domain — size, industry, technology signals~~</w:t>
            </w:r>
          </w:p>
        </w:tc>
        <w:tc>
          <w:tcPr>
            <w:tcW w:type="dxa" w:w="3061"/>
            <w:shd w:val="clear" w:color="auto" w:fill="FAFBFC"/>
          </w:tcPr>
          <w:p>
            <w:pPr>
              <w:spacing w:after="0" w:line="252" w:lineRule="auto"/>
              <w:jc w:val="left"/>
            </w:pPr>
            <w:r>
              <w:rPr>
                <w:rFonts w:ascii="Calibri" w:hAnsi="Calibri"/>
                <w:color w:val="1A1A1A"/>
                <w:sz w:val="17"/>
              </w:rPr>
              <w:t>—</w:t>
            </w:r>
          </w:p>
        </w:tc>
        <w:tc>
          <w:tcPr>
            <w:tcW w:type="dxa" w:w="1020"/>
            <w:shd w:val="clear" w:color="auto" w:fill="FAFBFC"/>
          </w:tcPr>
          <w:p>
            <w:pPr>
              <w:spacing w:after="0" w:line="252" w:lineRule="auto"/>
              <w:jc w:val="left"/>
            </w:pPr>
            <w:r>
              <w:rPr>
                <w:rFonts w:ascii="Calibri" w:hAnsi="Calibri"/>
                <w:b/>
                <w:color w:val="1A1A1A"/>
                <w:sz w:val="17"/>
              </w:rPr>
              <w:t>WITHDRAWN</w:t>
            </w:r>
            <w:r>
              <w:rPr>
                <w:rFonts w:ascii="Calibri" w:hAnsi="Calibri"/>
                <w:color w:val="1A1A1A"/>
                <w:sz w:val="17"/>
              </w:rPr>
              <w:t xml:space="preserve"> 24 Aug — needs a paid subscription and an integration; neither source document asks for it, and leads arriving via Apollo exports and referrals already carry the data</w:t>
            </w:r>
          </w:p>
        </w:tc>
        <w:tc>
          <w:tcPr>
            <w:tcW w:type="dxa" w:w="1928"/>
            <w:shd w:val="clear" w:color="auto" w:fill="FAFBFC"/>
          </w:tcPr>
          <w:p>
            <w:pPr>
              <w:spacing w:after="0" w:line="252" w:lineRule="auto"/>
              <w:jc w:val="left"/>
            </w:pPr>
            <w:r>
              <w:rPr>
                <w:rFonts w:ascii="Calibri" w:hAnsi="Calibri"/>
                <w:color w:val="1A1A1A"/>
                <w:sz w:val="17"/>
              </w:rPr>
              <w:t>—</w:t>
            </w:r>
          </w:p>
        </w:tc>
      </w:tr>
      <w:tr>
        <w:tc>
          <w:tcPr>
            <w:tcW w:type="dxa" w:w="964"/>
          </w:tcPr>
          <w:p>
            <w:pPr>
              <w:spacing w:after="0" w:line="252" w:lineRule="auto"/>
              <w:jc w:val="left"/>
            </w:pPr>
            <w:r>
              <w:rPr>
                <w:rFonts w:ascii="Calibri" w:hAnsi="Calibri"/>
                <w:color w:val="1A1A1A"/>
                <w:sz w:val="17"/>
              </w:rPr>
              <w:t>FR-P1-16</w:t>
            </w:r>
          </w:p>
        </w:tc>
        <w:tc>
          <w:tcPr>
            <w:tcW w:type="dxa" w:w="3345"/>
          </w:tcPr>
          <w:p>
            <w:pPr>
              <w:spacing w:after="0" w:line="252" w:lineRule="auto"/>
              <w:jc w:val="left"/>
            </w:pPr>
            <w:r>
              <w:rPr>
                <w:rFonts w:ascii="Calibri" w:hAnsi="Calibri"/>
                <w:color w:val="1A1A1A"/>
                <w:sz w:val="17"/>
              </w:rPr>
              <w:t>Record referral source and partner relationship context on an account and a contact</w:t>
            </w:r>
          </w:p>
        </w:tc>
        <w:tc>
          <w:tcPr>
            <w:tcW w:type="dxa" w:w="3061"/>
          </w:tcPr>
          <w:p>
            <w:pPr>
              <w:spacing w:after="0" w:line="252" w:lineRule="auto"/>
              <w:jc w:val="left"/>
            </w:pPr>
            <w:r>
              <w:rPr>
                <w:rFonts w:ascii="Consolas" w:hAnsi="Consolas"/>
                <w:color w:val="8B2E2E"/>
                <w:sz w:val="17"/>
              </w:rPr>
              <w:t>referredByPartnerId</w:t>
            </w:r>
            <w:r>
              <w:rPr>
                <w:rFonts w:ascii="Calibri" w:hAnsi="Calibri"/>
                <w:color w:val="1A1A1A"/>
                <w:sz w:val="17"/>
              </w:rPr>
              <w:t xml:space="preserve"> and </w:t>
            </w:r>
            <w:r>
              <w:rPr>
                <w:rFonts w:ascii="Consolas" w:hAnsi="Consolas"/>
                <w:color w:val="8B2E2E"/>
                <w:sz w:val="17"/>
              </w:rPr>
              <w:t>referralDate</w:t>
            </w:r>
            <w:r>
              <w:rPr>
                <w:rFonts w:ascii="Calibri" w:hAnsi="Calibri"/>
                <w:color w:val="1A1A1A"/>
                <w:sz w:val="17"/>
              </w:rPr>
              <w:t xml:space="preserve"> are set and readable by Pillar 3</w:t>
            </w:r>
          </w:p>
        </w:tc>
        <w:tc>
          <w:tcPr>
            <w:tcW w:type="dxa" w:w="1020"/>
          </w:tcPr>
          <w:p>
            <w:pPr>
              <w:spacing w:after="0" w:line="252" w:lineRule="auto"/>
              <w:jc w:val="left"/>
            </w:pPr>
            <w:r>
              <w:rPr>
                <w:rFonts w:ascii="Calibri" w:hAnsi="Calibri"/>
                <w:b/>
                <w:color w:val="1E6B33"/>
                <w:sz w:val="17"/>
              </w:rPr>
              <w:t>EXISTS</w:t>
            </w:r>
          </w:p>
        </w:tc>
        <w:tc>
          <w:tcPr>
            <w:tcW w:type="dxa" w:w="1928"/>
          </w:tcPr>
          <w:p>
            <w:pPr>
              <w:spacing w:after="0" w:line="252" w:lineRule="auto"/>
              <w:jc w:val="left"/>
            </w:pPr>
            <w:r>
              <w:rPr>
                <w:rFonts w:ascii="Consolas" w:hAnsi="Consolas"/>
                <w:color w:val="8B2E2E"/>
                <w:sz w:val="17"/>
              </w:rPr>
              <w:t>contacts.referredByPartnerId</w:t>
            </w:r>
            <w:r>
              <w:rPr>
                <w:rFonts w:ascii="Calibri" w:hAnsi="Calibri"/>
                <w:color w:val="1A1A1A"/>
                <w:sz w:val="17"/>
              </w:rPr>
              <w:t xml:space="preserve">, </w:t>
            </w:r>
            <w:r>
              <w:rPr>
                <w:rFonts w:ascii="Consolas" w:hAnsi="Consolas"/>
                <w:color w:val="8B2E2E"/>
                <w:sz w:val="17"/>
              </w:rPr>
              <w:t>contacts.referralDate</w:t>
            </w:r>
          </w:p>
        </w:tc>
      </w:tr>
      <w:tr>
        <w:tc>
          <w:tcPr>
            <w:tcW w:type="dxa" w:w="964"/>
            <w:shd w:val="clear" w:color="auto" w:fill="FAFBFC"/>
          </w:tcPr>
          <w:p>
            <w:pPr>
              <w:spacing w:after="0" w:line="252" w:lineRule="auto"/>
              <w:jc w:val="left"/>
            </w:pPr>
            <w:r>
              <w:rPr>
                <w:rFonts w:ascii="Calibri" w:hAnsi="Calibri"/>
                <w:color w:val="1A1A1A"/>
                <w:sz w:val="17"/>
              </w:rPr>
              <w:t>FR-P1-18</w:t>
            </w:r>
          </w:p>
        </w:tc>
        <w:tc>
          <w:tcPr>
            <w:tcW w:type="dxa" w:w="3345"/>
            <w:shd w:val="clear" w:color="auto" w:fill="FAFBFC"/>
          </w:tcPr>
          <w:p>
            <w:pPr>
              <w:spacing w:after="0" w:line="252" w:lineRule="auto"/>
              <w:jc w:val="left"/>
            </w:pPr>
            <w:r>
              <w:rPr>
                <w:rFonts w:ascii="Calibri" w:hAnsi="Calibri"/>
                <w:color w:val="1A1A1A"/>
                <w:sz w:val="17"/>
              </w:rPr>
              <w:t xml:space="preserve">Hold a </w:t>
            </w:r>
            <w:r>
              <w:rPr>
                <w:rFonts w:ascii="Calibri" w:hAnsi="Calibri"/>
                <w:b/>
                <w:color w:val="1A1A1A"/>
                <w:sz w:val="17"/>
              </w:rPr>
              <w:t>structured client profile</w:t>
            </w:r>
            <w:r>
              <w:rPr>
                <w:rFonts w:ascii="Calibri" w:hAnsi="Calibri"/>
                <w:color w:val="1A1A1A"/>
                <w:sz w:val="17"/>
              </w:rPr>
              <w:t xml:space="preserve"> carrying the facts Pillar 4 prices from: headcount band, number of cloud environments, number of physical locations, prior certification history, count of in-scope systems, and frameworks running in parallel</w:t>
            </w:r>
          </w:p>
        </w:tc>
        <w:tc>
          <w:tcPr>
            <w:tcW w:type="dxa" w:w="3061"/>
            <w:shd w:val="clear" w:color="auto" w:fill="FAFBFC"/>
          </w:tcPr>
          <w:p>
            <w:pPr>
              <w:spacing w:after="0" w:line="252" w:lineRule="auto"/>
              <w:jc w:val="left"/>
            </w:pPr>
            <w:r>
              <w:rPr>
                <w:rFonts w:ascii="Calibri" w:hAnsi="Calibri"/>
                <w:color w:val="1A1A1A"/>
                <w:sz w:val="17"/>
              </w:rPr>
              <w:t>Each is a discrete typed field, not a tag, and is readable by the sizing model without interpretation. Values captured during scoping write back here</w:t>
            </w:r>
          </w:p>
        </w:tc>
        <w:tc>
          <w:tcPr>
            <w:tcW w:type="dxa" w:w="1020"/>
            <w:shd w:val="clear" w:color="auto" w:fill="FAFBFC"/>
          </w:tcPr>
          <w:p>
            <w:pPr>
              <w:spacing w:after="0" w:line="252" w:lineRule="auto"/>
              <w:jc w:val="left"/>
            </w:pPr>
            <w:r>
              <w:rPr>
                <w:rFonts w:ascii="Calibri" w:hAnsi="Calibri"/>
                <w:b/>
                <w:color w:val="1F4E79"/>
                <w:sz w:val="17"/>
              </w:rPr>
              <w:t>NEW</w:t>
            </w:r>
            <w:r>
              <w:rPr>
                <w:rFonts w:ascii="Calibri" w:hAnsi="Calibri"/>
                <w:color w:val="1F4E79"/>
                <w:sz w:val="17"/>
              </w:rPr>
              <w:t xml:space="preserve"> — only headcount exists, as </w:t>
            </w:r>
            <w:r>
              <w:rPr>
                <w:rFonts w:ascii="Consolas" w:hAnsi="Consolas"/>
                <w:color w:val="8B2E2E"/>
                <w:sz w:val="17"/>
              </w:rPr>
              <w:t>companySize</w:t>
            </w:r>
            <w:r>
              <w:rPr>
                <w:rFonts w:ascii="Calibri" w:hAnsi="Calibri"/>
                <w:color w:val="1F4E79"/>
                <w:sz w:val="17"/>
              </w:rPr>
              <w:t>. The rest exist nowhere, or as free tags that cannot be computed against</w:t>
            </w:r>
          </w:p>
        </w:tc>
        <w:tc>
          <w:tcPr>
            <w:tcW w:type="dxa" w:w="1928"/>
            <w:shd w:val="clear" w:color="auto" w:fill="FAFBFC"/>
          </w:tcPr>
          <w:p>
            <w:pPr>
              <w:spacing w:after="0" w:line="252" w:lineRule="auto"/>
              <w:jc w:val="left"/>
            </w:pPr>
            <w:r>
              <w:rPr>
                <w:rFonts w:ascii="Consolas" w:hAnsi="Consolas"/>
                <w:color w:val="8B2E2E"/>
                <w:sz w:val="17"/>
              </w:rPr>
              <w:t>companies</w:t>
            </w:r>
            <w:r>
              <w:rPr>
                <w:rFonts w:ascii="Calibri" w:hAnsi="Calibri"/>
                <w:color w:val="1A1A1A"/>
                <w:sz w:val="17"/>
              </w:rPr>
              <w:t xml:space="preserve"> + P4 sizing</w:t>
            </w:r>
          </w:p>
        </w:tc>
      </w:tr>
    </w:tbl>
    <w:p>
      <w:pPr>
        <w:spacing w:after="80"/>
      </w:pPr>
    </w:p>
    <w:p>
      <w:pPr>
        <w:spacing w:before="120" w:after="160"/>
        <w:ind w:left="198"/>
        <w:pBdr>
          <w:left w:val="single" w:sz="18" w:space="8" w:color="B08D57"/>
        </w:pBdr>
        <w:shd w:val="clear" w:color="auto" w:fill="F4F1E8"/>
      </w:pPr>
      <w:r>
        <w:rPr>
          <w:rFonts w:ascii="Calibri" w:hAnsi="Calibri"/>
          <w:b/>
          <w:color w:val="1A1A1A"/>
          <w:sz w:val="19"/>
        </w:rPr>
        <w:t>CONCRETE EXAMPLE</w:t>
      </w:r>
      <w:r>
        <w:rPr>
          <w:rFonts w:ascii="Calibri" w:hAnsi="Calibri"/>
          <w:color w:val="1A1A1A"/>
          <w:sz w:val="19"/>
        </w:rPr>
        <w:t xml:space="preserve">  Northwind Analytics is a 180-person SaaS company in Bengaluru with regulatory exposure to SOC 2 and DPDP. The account holds three contacts: a CTO who is the economic buyer, a security lead who is the technical champion, and a finance controller who owns purchase orders. A second record created later from a website form is detected as a duplicate and merged, preserving both contact histories.</w:t>
      </w:r>
    </w:p>
    <w:p>
      <w:pPr>
        <w:pStyle w:val="Heading3"/>
      </w:pPr>
      <w:r>
        <w:t>Features — Pillar 1</w:t>
      </w:r>
    </w:p>
    <w:p>
      <w:r>
        <w:rPr>
          <w:rFonts w:ascii="Calibri" w:hAnsi="Calibri"/>
          <w:color w:val="1A1A1A"/>
        </w:rPr>
        <w:t xml:space="preserve">Account list with saved views and column control · account detail with Overview, Activity, Contacts, Prospects, Projects, Contracts, Demos, Tasks · contact list and detail with five tabs · CSV import wizard with column mapping · Excel-safe CSV export · tagging with categories · duplicate notification with a link to the candidate · </w:t>
      </w:r>
      <w:r>
        <w:rPr>
          <w:rFonts w:ascii="Calibri" w:hAnsi="Calibri"/>
          <w:b/>
          <w:color w:val="1A1A1A"/>
        </w:rPr>
        <w:t>merge wizard for contacts and accounts, with field-level survivor selection (new)</w:t>
      </w:r>
      <w:r>
        <w:rPr>
          <w:rFonts w:ascii="Calibri" w:hAnsi="Calibri"/>
          <w:color w:val="1A1A1A"/>
        </w:rPr>
        <w:t xml:space="preserve"> · </w:t>
      </w:r>
      <w:r>
        <w:rPr>
          <w:rFonts w:ascii="Calibri" w:hAnsi="Calibri"/>
          <w:b/>
          <w:color w:val="1A1A1A"/>
        </w:rPr>
        <w:t>client profile panel holding the sizing facts Pillar 4 prices from (new)</w:t>
      </w:r>
      <w:r>
        <w:rPr>
          <w:rFonts w:ascii="Calibri" w:hAnsi="Calibri"/>
          <w:color w:val="1A1A1A"/>
        </w:rPr>
        <w:t xml:space="preserve"> · </w:t>
      </w:r>
      <w:r>
        <w:rPr>
          <w:rFonts w:ascii="Calibri" w:hAnsi="Calibri"/>
          <w:b/>
          <w:color w:val="1A1A1A"/>
        </w:rPr>
        <w:t>computed relationship strength on the contact record (new)</w:t>
      </w:r>
      <w:r>
        <w:rPr>
          <w:rFonts w:ascii="Calibri" w:hAnsi="Calibri"/>
          <w:color w:val="1A1A1A"/>
        </w:rPr>
        <w:t>.</w:t>
      </w:r>
    </w:p>
    <w:p>
      <w:pPr>
        <w:pStyle w:val="Heading2"/>
      </w:pPr>
      <w:r>
        <w:t>Pillar 2 — Sales Pipeline &amp; Opportunity Management</w:t>
      </w:r>
    </w:p>
    <w:p>
      <w:r>
        <w:rPr>
          <w:rFonts w:ascii="Calibri" w:hAnsi="Calibri"/>
          <w:i/>
          <w:color w:val="1A1A1A"/>
        </w:rPr>
        <w:t>What is in play, where is it, and what will it close at?</w:t>
      </w:r>
    </w:p>
    <w:p>
      <w:r>
        <w:rPr>
          <w:rFonts w:ascii="Calibri" w:hAnsi="Calibri"/>
          <w:color w:val="1A1A1A"/>
        </w:rPr>
        <w:t>Also mature. The gap is that stages carry probabilities but not criteria, so a stage means whatever the owner thinks it means — which is exactly what makes a forecast an opinion.</w:t>
      </w:r>
    </w:p>
    <w:p>
      <w:pPr>
        <w:pStyle w:val="Heading3"/>
      </w:pPr>
      <w:r>
        <w:t>Opportunity records</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064"/>
        <w:gridCol w:w="2064"/>
        <w:gridCol w:w="2064"/>
        <w:gridCol w:w="2064"/>
        <w:gridCol w:w="2064"/>
      </w:tblGrid>
      <w:tr>
        <w:trPr>
          <w:tblHeader w:val="true"/>
        </w:trPr>
        <w:tc>
          <w:tcPr>
            <w:tcW w:type="dxa" w:w="964"/>
            <w:shd w:val="clear" w:color="auto" w:fill="E8EDF2"/>
          </w:tcPr>
          <w:p>
            <w:pPr>
              <w:spacing w:after="0"/>
              <w:jc w:val="left"/>
            </w:pPr>
            <w:r>
              <w:rPr>
                <w:rFonts w:ascii="Calibri" w:hAnsi="Calibri"/>
                <w:b/>
                <w:color w:val="1A1A1A"/>
                <w:sz w:val="17"/>
              </w:rPr>
              <w:t>ID</w:t>
            </w:r>
          </w:p>
        </w:tc>
        <w:tc>
          <w:tcPr>
            <w:tcW w:type="dxa" w:w="3345"/>
            <w:shd w:val="clear" w:color="auto" w:fill="E8EDF2"/>
          </w:tcPr>
          <w:p>
            <w:pPr>
              <w:spacing w:after="0"/>
              <w:jc w:val="left"/>
            </w:pPr>
            <w:r>
              <w:rPr>
                <w:rFonts w:ascii="Calibri" w:hAnsi="Calibri"/>
                <w:b/>
                <w:color w:val="1A1A1A"/>
                <w:sz w:val="17"/>
              </w:rPr>
              <w:t>Requirement</w:t>
            </w:r>
          </w:p>
        </w:tc>
        <w:tc>
          <w:tcPr>
            <w:tcW w:type="dxa" w:w="3061"/>
            <w:shd w:val="clear" w:color="auto" w:fill="E8EDF2"/>
          </w:tcPr>
          <w:p>
            <w:pPr>
              <w:spacing w:after="0"/>
              <w:jc w:val="left"/>
            </w:pPr>
            <w:r>
              <w:rPr>
                <w:rFonts w:ascii="Calibri" w:hAnsi="Calibri"/>
                <w:b/>
                <w:color w:val="1A1A1A"/>
                <w:sz w:val="17"/>
              </w:rPr>
              <w:t>Acceptance</w:t>
            </w:r>
          </w:p>
        </w:tc>
        <w:tc>
          <w:tcPr>
            <w:tcW w:type="dxa" w:w="1020"/>
            <w:shd w:val="clear" w:color="auto" w:fill="E8EDF2"/>
          </w:tcPr>
          <w:p>
            <w:pPr>
              <w:spacing w:after="0"/>
              <w:jc w:val="left"/>
            </w:pPr>
            <w:r>
              <w:rPr>
                <w:rFonts w:ascii="Calibri" w:hAnsi="Calibri"/>
                <w:b/>
                <w:color w:val="1A1A1A"/>
                <w:sz w:val="17"/>
              </w:rPr>
              <w:t>Status</w:t>
            </w:r>
          </w:p>
        </w:tc>
        <w:tc>
          <w:tcPr>
            <w:tcW w:type="dxa" w:w="1928"/>
            <w:shd w:val="clear" w:color="auto" w:fill="E8EDF2"/>
          </w:tcPr>
          <w:p>
            <w:pPr>
              <w:spacing w:after="0"/>
              <w:jc w:val="left"/>
            </w:pPr>
            <w:r>
              <w:rPr>
                <w:rFonts w:ascii="Calibri" w:hAnsi="Calibri"/>
                <w:b/>
                <w:color w:val="1A1A1A"/>
                <w:sz w:val="17"/>
              </w:rPr>
              <w:t>Lands in</w:t>
            </w:r>
          </w:p>
        </w:tc>
      </w:tr>
      <w:tr>
        <w:tc>
          <w:tcPr>
            <w:tcW w:type="dxa" w:w="964"/>
          </w:tcPr>
          <w:p>
            <w:pPr>
              <w:spacing w:after="0" w:line="252" w:lineRule="auto"/>
              <w:jc w:val="left"/>
            </w:pPr>
            <w:r>
              <w:rPr>
                <w:rFonts w:ascii="Calibri" w:hAnsi="Calibri"/>
                <w:color w:val="1A1A1A"/>
                <w:sz w:val="17"/>
              </w:rPr>
              <w:t>FR-P2-01</w:t>
            </w:r>
          </w:p>
        </w:tc>
        <w:tc>
          <w:tcPr>
            <w:tcW w:type="dxa" w:w="3345"/>
          </w:tcPr>
          <w:p>
            <w:pPr>
              <w:spacing w:after="0" w:line="252" w:lineRule="auto"/>
              <w:jc w:val="left"/>
            </w:pPr>
            <w:r>
              <w:rPr>
                <w:rFonts w:ascii="Calibri" w:hAnsi="Calibri"/>
                <w:color w:val="1A1A1A"/>
                <w:sz w:val="17"/>
              </w:rPr>
              <w:t>Maintain opportunity records with scoped services, expected value, currency, probability, expected close date, owner and competitive context</w:t>
            </w:r>
          </w:p>
        </w:tc>
        <w:tc>
          <w:tcPr>
            <w:tcW w:type="dxa" w:w="3061"/>
          </w:tcPr>
          <w:p>
            <w:pPr>
              <w:spacing w:after="0" w:line="252" w:lineRule="auto"/>
              <w:jc w:val="left"/>
            </w:pPr>
            <w:r>
              <w:rPr>
                <w:rFonts w:ascii="Calibri" w:hAnsi="Calibri"/>
                <w:color w:val="1A1A1A"/>
                <w:sz w:val="17"/>
              </w:rPr>
              <w:t>All listed attributes are stored and editable. Competitive context is the competitor's name and, where known, their price</w:t>
            </w:r>
          </w:p>
        </w:tc>
        <w:tc>
          <w:tcPr>
            <w:tcW w:type="dxa" w:w="1020"/>
          </w:tcPr>
          <w:p>
            <w:pPr>
              <w:spacing w:after="0" w:line="252" w:lineRule="auto"/>
              <w:jc w:val="left"/>
            </w:pPr>
            <w:r>
              <w:rPr>
                <w:rFonts w:ascii="Calibri" w:hAnsi="Calibri"/>
                <w:b/>
                <w:color w:val="9A5B00"/>
                <w:sz w:val="17"/>
              </w:rPr>
              <w:t>PARTIAL</w:t>
            </w:r>
            <w:r>
              <w:rPr>
                <w:rFonts w:ascii="Calibri" w:hAnsi="Calibri"/>
                <w:color w:val="9A5B00"/>
                <w:sz w:val="17"/>
              </w:rPr>
              <w:t xml:space="preserve"> — everything but competitive context exists; no competitor field of any kind</w:t>
            </w:r>
          </w:p>
        </w:tc>
        <w:tc>
          <w:tcPr>
            <w:tcW w:type="dxa" w:w="1928"/>
          </w:tcPr>
          <w:p>
            <w:pPr>
              <w:spacing w:after="0" w:line="252" w:lineRule="auto"/>
              <w:jc w:val="left"/>
            </w:pPr>
            <w:r>
              <w:rPr>
                <w:rFonts w:ascii="Calibri" w:hAnsi="Calibri"/>
                <w:color w:val="1F4E79"/>
                <w:sz w:val="17"/>
                <w:u w:val="single"/>
              </w:rPr>
              <w:t>deals.ts</w:t>
            </w:r>
          </w:p>
        </w:tc>
      </w:tr>
      <w:tr>
        <w:tc>
          <w:tcPr>
            <w:tcW w:type="dxa" w:w="964"/>
            <w:shd w:val="clear" w:color="auto" w:fill="FAFBFC"/>
          </w:tcPr>
          <w:p>
            <w:pPr>
              <w:spacing w:after="0" w:line="252" w:lineRule="auto"/>
              <w:jc w:val="left"/>
            </w:pPr>
            <w:r>
              <w:rPr>
                <w:rFonts w:ascii="Calibri" w:hAnsi="Calibri"/>
                <w:color w:val="1A1A1A"/>
                <w:sz w:val="17"/>
              </w:rPr>
              <w:t>FR-P2-02</w:t>
            </w:r>
          </w:p>
        </w:tc>
        <w:tc>
          <w:tcPr>
            <w:tcW w:type="dxa" w:w="3345"/>
            <w:shd w:val="clear" w:color="auto" w:fill="FAFBFC"/>
          </w:tcPr>
          <w:p>
            <w:pPr>
              <w:spacing w:after="0" w:line="252" w:lineRule="auto"/>
              <w:jc w:val="left"/>
            </w:pPr>
            <w:r>
              <w:rPr>
                <w:rFonts w:ascii="Calibri" w:hAnsi="Calibri"/>
                <w:color w:val="1A1A1A"/>
                <w:sz w:val="17"/>
              </w:rPr>
              <w:t>Support configurable pipelines and stages per sales motion, as data rather than code</w:t>
            </w:r>
          </w:p>
        </w:tc>
        <w:tc>
          <w:tcPr>
            <w:tcW w:type="dxa" w:w="3061"/>
            <w:shd w:val="clear" w:color="auto" w:fill="FAFBFC"/>
          </w:tcPr>
          <w:p>
            <w:pPr>
              <w:spacing w:after="0" w:line="252" w:lineRule="auto"/>
              <w:jc w:val="left"/>
            </w:pPr>
            <w:r>
              <w:rPr>
                <w:rFonts w:ascii="Calibri" w:hAnsi="Calibri"/>
                <w:color w:val="1A1A1A"/>
                <w:sz w:val="17"/>
              </w:rPr>
              <w:t>Pipelines and stages are created, reordered, coloured and given default probabilities from Settings without a deploy</w:t>
            </w:r>
          </w:p>
        </w:tc>
        <w:tc>
          <w:tcPr>
            <w:tcW w:type="dxa" w:w="1020"/>
            <w:shd w:val="clear" w:color="auto" w:fill="FAFBFC"/>
          </w:tcPr>
          <w:p>
            <w:pPr>
              <w:spacing w:after="0" w:line="252" w:lineRule="auto"/>
              <w:jc w:val="left"/>
            </w:pPr>
            <w:r>
              <w:rPr>
                <w:rFonts w:ascii="Calibri" w:hAnsi="Calibri"/>
                <w:b/>
                <w:color w:val="1E6B33"/>
                <w:sz w:val="17"/>
              </w:rPr>
              <w:t>EXISTS</w:t>
            </w:r>
          </w:p>
        </w:tc>
        <w:tc>
          <w:tcPr>
            <w:tcW w:type="dxa" w:w="1928"/>
            <w:shd w:val="clear" w:color="auto" w:fill="FAFBFC"/>
          </w:tcPr>
          <w:p>
            <w:pPr>
              <w:spacing w:after="0" w:line="252" w:lineRule="auto"/>
              <w:jc w:val="left"/>
            </w:pPr>
            <w:r>
              <w:rPr>
                <w:rFonts w:ascii="Calibri" w:hAnsi="Calibri"/>
                <w:color w:val="1F4E79"/>
                <w:sz w:val="17"/>
                <w:u w:val="single"/>
              </w:rPr>
              <w:t>pipelines.ts</w:t>
            </w:r>
            <w:r>
              <w:rPr>
                <w:rFonts w:ascii="Calibri" w:hAnsi="Calibri"/>
                <w:color w:val="1A1A1A"/>
                <w:sz w:val="17"/>
              </w:rPr>
              <w:t xml:space="preserve">, </w:t>
            </w:r>
            <w:r>
              <w:rPr>
                <w:rFonts w:ascii="Consolas" w:hAnsi="Consolas"/>
                <w:color w:val="8B2E2E"/>
                <w:sz w:val="17"/>
              </w:rPr>
              <w:t>/settings/pipelines</w:t>
            </w:r>
          </w:p>
        </w:tc>
      </w:tr>
      <w:tr>
        <w:tc>
          <w:tcPr>
            <w:tcW w:type="dxa" w:w="964"/>
          </w:tcPr>
          <w:p>
            <w:pPr>
              <w:spacing w:after="0" w:line="252" w:lineRule="auto"/>
              <w:jc w:val="left"/>
            </w:pPr>
            <w:r>
              <w:rPr>
                <w:rFonts w:ascii="Calibri" w:hAnsi="Calibri"/>
                <w:color w:val="1A1A1A"/>
                <w:sz w:val="17"/>
              </w:rPr>
              <w:t>FR-P2-03</w:t>
            </w:r>
          </w:p>
        </w:tc>
        <w:tc>
          <w:tcPr>
            <w:tcW w:type="dxa" w:w="3345"/>
          </w:tcPr>
          <w:p>
            <w:pPr>
              <w:spacing w:after="0" w:line="252" w:lineRule="auto"/>
              <w:jc w:val="left"/>
            </w:pPr>
            <w:r>
              <w:rPr>
                <w:rFonts w:ascii="Calibri" w:hAnsi="Calibri"/>
                <w:color w:val="1A1A1A"/>
                <w:sz w:val="17"/>
              </w:rPr>
              <w:t>Record every stage move as append-only history with entry and exit timestamps</w:t>
            </w:r>
          </w:p>
        </w:tc>
        <w:tc>
          <w:tcPr>
            <w:tcW w:type="dxa" w:w="3061"/>
          </w:tcPr>
          <w:p>
            <w:pPr>
              <w:spacing w:after="0" w:line="252" w:lineRule="auto"/>
              <w:jc w:val="left"/>
            </w:pPr>
            <w:r>
              <w:rPr>
                <w:rFonts w:ascii="Calibri" w:hAnsi="Calibri"/>
                <w:color w:val="1A1A1A"/>
                <w:sz w:val="17"/>
              </w:rPr>
              <w:t>Time-in-stage is derivable per opportunity per stage for any historic period</w:t>
            </w:r>
          </w:p>
        </w:tc>
        <w:tc>
          <w:tcPr>
            <w:tcW w:type="dxa" w:w="1020"/>
          </w:tcPr>
          <w:p>
            <w:pPr>
              <w:spacing w:after="0" w:line="252" w:lineRule="auto"/>
              <w:jc w:val="left"/>
            </w:pPr>
            <w:r>
              <w:rPr>
                <w:rFonts w:ascii="Calibri" w:hAnsi="Calibri"/>
                <w:b/>
                <w:color w:val="1E6B33"/>
                <w:sz w:val="17"/>
              </w:rPr>
              <w:t>EXISTS</w:t>
            </w:r>
          </w:p>
        </w:tc>
        <w:tc>
          <w:tcPr>
            <w:tcW w:type="dxa" w:w="1928"/>
          </w:tcPr>
          <w:p>
            <w:pPr>
              <w:spacing w:after="0" w:line="252" w:lineRule="auto"/>
              <w:jc w:val="left"/>
            </w:pPr>
            <w:r>
              <w:rPr>
                <w:rFonts w:ascii="Consolas" w:hAnsi="Consolas"/>
                <w:color w:val="8B2E2E"/>
                <w:sz w:val="17"/>
              </w:rPr>
              <w:t>deal_stage_history</w:t>
            </w:r>
          </w:p>
        </w:tc>
      </w:tr>
      <w:tr>
        <w:tc>
          <w:tcPr>
            <w:tcW w:type="dxa" w:w="964"/>
            <w:shd w:val="clear" w:color="auto" w:fill="FAFBFC"/>
          </w:tcPr>
          <w:p>
            <w:pPr>
              <w:spacing w:after="0" w:line="252" w:lineRule="auto"/>
              <w:jc w:val="left"/>
            </w:pPr>
            <w:r>
              <w:rPr>
                <w:rFonts w:ascii="Calibri" w:hAnsi="Calibri"/>
                <w:color w:val="1A1A1A"/>
                <w:sz w:val="17"/>
              </w:rPr>
              <w:t>FR-P2-04</w:t>
            </w:r>
          </w:p>
        </w:tc>
        <w:tc>
          <w:tcPr>
            <w:tcW w:type="dxa" w:w="3345"/>
            <w:shd w:val="clear" w:color="auto" w:fill="FAFBFC"/>
          </w:tcPr>
          <w:p>
            <w:pPr>
              <w:spacing w:after="0" w:line="252" w:lineRule="auto"/>
              <w:jc w:val="left"/>
            </w:pPr>
            <w:r>
              <w:rPr>
                <w:rFonts w:ascii="Calibri" w:hAnsi="Calibri"/>
                <w:color w:val="1A1A1A"/>
                <w:sz w:val="17"/>
              </w:rPr>
              <w:t xml:space="preserve">Define entry and exit criteria per stage, show which are unmet on a stage move, and </w:t>
            </w:r>
            <w:r>
              <w:rPr>
                <w:rFonts w:ascii="Calibri" w:hAnsi="Calibri"/>
                <w:b/>
                <w:color w:val="1A1A1A"/>
                <w:sz w:val="17"/>
              </w:rPr>
              <w:t>warn without blocking</w:t>
            </w:r>
          </w:p>
        </w:tc>
        <w:tc>
          <w:tcPr>
            <w:tcW w:type="dxa" w:w="3061"/>
            <w:shd w:val="clear" w:color="auto" w:fill="FAFBFC"/>
          </w:tcPr>
          <w:p>
            <w:pPr>
              <w:spacing w:after="0" w:line="252" w:lineRule="auto"/>
              <w:jc w:val="left"/>
            </w:pPr>
            <w:r>
              <w:rPr>
                <w:rFonts w:ascii="Calibri" w:hAnsi="Calibri"/>
                <w:color w:val="1A1A1A"/>
                <w:sz w:val="17"/>
              </w:rPr>
              <w:t>The move proceeds regardless, and the fact that it was made with criteria unmet is recorded against the stage-history row so it can be reported on</w:t>
            </w:r>
          </w:p>
        </w:tc>
        <w:tc>
          <w:tcPr>
            <w:tcW w:type="dxa" w:w="1020"/>
            <w:shd w:val="clear" w:color="auto" w:fill="FAFBFC"/>
          </w:tcPr>
          <w:p>
            <w:pPr>
              <w:spacing w:after="0" w:line="252" w:lineRule="auto"/>
              <w:jc w:val="left"/>
            </w:pPr>
            <w:r>
              <w:rPr>
                <w:rFonts w:ascii="Calibri" w:hAnsi="Calibri"/>
                <w:b/>
                <w:color w:val="1F4E79"/>
                <w:sz w:val="17"/>
              </w:rPr>
              <w:t>NEW</w:t>
            </w:r>
            <w:r>
              <w:rPr>
                <w:rFonts w:ascii="Calibri" w:hAnsi="Calibri"/>
                <w:color w:val="1F4E79"/>
                <w:sz w:val="17"/>
              </w:rPr>
              <w:t xml:space="preserve"> — reviewed 25 Aug: warn, do not block. </w:t>
            </w:r>
            <w:r>
              <w:rPr>
                <w:rFonts w:ascii="Consolas" w:hAnsi="Consolas"/>
                <w:color w:val="8B2E2E"/>
                <w:sz w:val="17"/>
              </w:rPr>
              <w:t>pipeline_stages.automation_config</w:t>
            </w:r>
            <w:r>
              <w:rPr>
                <w:rFonts w:ascii="Calibri" w:hAnsi="Calibri"/>
                <w:color w:val="1F4E79"/>
                <w:sz w:val="17"/>
              </w:rPr>
              <w:t xml:space="preserve"> is an existing JSONB column that is declared and never read anywhere; criteria belong there</w:t>
            </w:r>
          </w:p>
        </w:tc>
        <w:tc>
          <w:tcPr>
            <w:tcW w:type="dxa" w:w="1928"/>
            <w:shd w:val="clear" w:color="auto" w:fill="FAFBFC"/>
          </w:tcPr>
          <w:p>
            <w:pPr>
              <w:spacing w:after="0" w:line="252" w:lineRule="auto"/>
              <w:jc w:val="left"/>
            </w:pPr>
            <w:r>
              <w:rPr>
                <w:rFonts w:ascii="Consolas" w:hAnsi="Consolas"/>
                <w:color w:val="8B2E2E"/>
                <w:sz w:val="17"/>
              </w:rPr>
              <w:t>pipeline_stages.automationConfig</w:t>
            </w:r>
            <w:r>
              <w:rPr>
                <w:rFonts w:ascii="Calibri" w:hAnsi="Calibri"/>
                <w:color w:val="1A1A1A"/>
                <w:sz w:val="17"/>
              </w:rPr>
              <w:t xml:space="preserve">, </w:t>
            </w:r>
            <w:r>
              <w:rPr>
                <w:rFonts w:ascii="Consolas" w:hAnsi="Consolas"/>
                <w:color w:val="8B2E2E"/>
                <w:sz w:val="17"/>
              </w:rPr>
              <w:t>deal_stage_history</w:t>
            </w:r>
          </w:p>
        </w:tc>
      </w:tr>
      <w:tr>
        <w:tc>
          <w:tcPr>
            <w:tcW w:type="dxa" w:w="964"/>
          </w:tcPr>
          <w:p>
            <w:pPr>
              <w:spacing w:after="0" w:line="252" w:lineRule="auto"/>
              <w:jc w:val="left"/>
            </w:pPr>
            <w:r>
              <w:rPr>
                <w:rFonts w:ascii="Calibri" w:hAnsi="Calibri"/>
                <w:color w:val="1A1A1A"/>
                <w:sz w:val="17"/>
              </w:rPr>
              <w:t>FR-P2-05</w:t>
            </w:r>
          </w:p>
        </w:tc>
        <w:tc>
          <w:tcPr>
            <w:tcW w:type="dxa" w:w="3345"/>
          </w:tcPr>
          <w:p>
            <w:pPr>
              <w:spacing w:after="0" w:line="252" w:lineRule="auto"/>
              <w:jc w:val="left"/>
            </w:pPr>
            <w:r>
              <w:rPr>
                <w:rFonts w:ascii="Calibri" w:hAnsi="Calibri"/>
                <w:color w:val="1A1A1A"/>
                <w:sz w:val="17"/>
              </w:rPr>
              <w:t>Capture six named qualification fields on an opportunity: need, authority, budget, timing, regulatory driver, and decision path</w:t>
            </w:r>
          </w:p>
        </w:tc>
        <w:tc>
          <w:tcPr>
            <w:tcW w:type="dxa" w:w="3061"/>
          </w:tcPr>
          <w:p>
            <w:pPr>
              <w:spacing w:after="0" w:line="252" w:lineRule="auto"/>
              <w:jc w:val="left"/>
            </w:pPr>
            <w:r>
              <w:rPr>
                <w:rFonts w:ascii="Calibri" w:hAnsi="Calibri"/>
                <w:color w:val="1A1A1A"/>
                <w:sz w:val="17"/>
              </w:rPr>
              <w:t xml:space="preserve">Each is a discrete field; completeness is reportable as a count answered out of six. </w:t>
            </w:r>
            <w:r>
              <w:rPr>
                <w:rFonts w:ascii="Calibri" w:hAnsi="Calibri"/>
                <w:b/>
                <w:color w:val="1A1A1A"/>
                <w:sz w:val="17"/>
              </w:rPr>
              <w:t>No scoring and no gating</w:t>
            </w:r>
          </w:p>
        </w:tc>
        <w:tc>
          <w:tcPr>
            <w:tcW w:type="dxa" w:w="1020"/>
          </w:tcPr>
          <w:p>
            <w:pPr>
              <w:spacing w:after="0" w:line="252" w:lineRule="auto"/>
              <w:jc w:val="left"/>
            </w:pPr>
            <w:r>
              <w:rPr>
                <w:rFonts w:ascii="Calibri" w:hAnsi="Calibri"/>
                <w:b/>
                <w:color w:val="1F4E79"/>
                <w:sz w:val="17"/>
              </w:rPr>
              <w:t>NEW</w:t>
            </w:r>
            <w:r>
              <w:rPr>
                <w:rFonts w:ascii="Calibri" w:hAnsi="Calibri"/>
                <w:color w:val="1F4E79"/>
                <w:sz w:val="17"/>
              </w:rPr>
              <w:t xml:space="preserve"> — reviewed 25 Aug: structured fields without a scoring methodology</w:t>
            </w:r>
          </w:p>
        </w:tc>
        <w:tc>
          <w:tcPr>
            <w:tcW w:type="dxa" w:w="1928"/>
          </w:tcPr>
          <w:p>
            <w:pPr>
              <w:spacing w:after="0" w:line="252" w:lineRule="auto"/>
              <w:jc w:val="left"/>
            </w:pPr>
            <w:r>
              <w:rPr>
                <w:rFonts w:ascii="Calibri" w:hAnsi="Calibri"/>
                <w:color w:val="1A1A1A"/>
                <w:sz w:val="17"/>
              </w:rPr>
              <w:t xml:space="preserve">New </w:t>
            </w:r>
            <w:r>
              <w:rPr>
                <w:rFonts w:ascii="Consolas" w:hAnsi="Consolas"/>
                <w:color w:val="8B2E2E"/>
                <w:sz w:val="17"/>
              </w:rPr>
              <w:t>opportunity_qualification</w:t>
            </w:r>
            <w:r>
              <w:rPr>
                <w:rFonts w:ascii="Calibri" w:hAnsi="Calibri"/>
                <w:color w:val="1A1A1A"/>
                <w:sz w:val="17"/>
              </w:rPr>
              <w:t xml:space="preserve"> table</w:t>
            </w:r>
          </w:p>
        </w:tc>
      </w:tr>
      <w:tr>
        <w:tc>
          <w:tcPr>
            <w:tcW w:type="dxa" w:w="964"/>
            <w:shd w:val="clear" w:color="auto" w:fill="FAFBFC"/>
          </w:tcPr>
          <w:p>
            <w:pPr>
              <w:spacing w:after="0" w:line="252" w:lineRule="auto"/>
              <w:jc w:val="left"/>
            </w:pPr>
            <w:r>
              <w:rPr>
                <w:rFonts w:ascii="Calibri" w:hAnsi="Calibri"/>
                <w:color w:val="1A1A1A"/>
                <w:sz w:val="17"/>
              </w:rPr>
              <w:t>FR-P2-06</w:t>
            </w:r>
          </w:p>
        </w:tc>
        <w:tc>
          <w:tcPr>
            <w:tcW w:type="dxa" w:w="3345"/>
            <w:shd w:val="clear" w:color="auto" w:fill="FAFBFC"/>
          </w:tcPr>
          <w:p>
            <w:pPr>
              <w:spacing w:after="0" w:line="252" w:lineRule="auto"/>
              <w:jc w:val="left"/>
            </w:pPr>
            <w:r>
              <w:rPr>
                <w:rFonts w:ascii="Calibri" w:hAnsi="Calibri"/>
                <w:color w:val="1A1A1A"/>
                <w:sz w:val="17"/>
              </w:rPr>
              <w:t>Maintain a wider contact list per opportunity with buying roles</w:t>
            </w:r>
          </w:p>
        </w:tc>
        <w:tc>
          <w:tcPr>
            <w:tcW w:type="dxa" w:w="3061"/>
            <w:shd w:val="clear" w:color="auto" w:fill="FAFBFC"/>
          </w:tcPr>
          <w:p>
            <w:pPr>
              <w:spacing w:after="0" w:line="252" w:lineRule="auto"/>
              <w:jc w:val="left"/>
            </w:pPr>
            <w:r>
              <w:rPr>
                <w:rFonts w:ascii="Calibri" w:hAnsi="Calibri"/>
                <w:color w:val="1A1A1A"/>
                <w:sz w:val="17"/>
              </w:rPr>
              <w:t>Multiple contacts attach to an opportunity, each with a role</w:t>
            </w:r>
          </w:p>
        </w:tc>
        <w:tc>
          <w:tcPr>
            <w:tcW w:type="dxa" w:w="1020"/>
            <w:shd w:val="clear" w:color="auto" w:fill="FAFBFC"/>
          </w:tcPr>
          <w:p>
            <w:pPr>
              <w:spacing w:after="0" w:line="252" w:lineRule="auto"/>
              <w:jc w:val="left"/>
            </w:pPr>
            <w:r>
              <w:rPr>
                <w:rFonts w:ascii="Calibri" w:hAnsi="Calibri"/>
                <w:b/>
                <w:color w:val="1E6B33"/>
                <w:sz w:val="17"/>
              </w:rPr>
              <w:t>EXISTS</w:t>
            </w:r>
          </w:p>
        </w:tc>
        <w:tc>
          <w:tcPr>
            <w:tcW w:type="dxa" w:w="1928"/>
            <w:shd w:val="clear" w:color="auto" w:fill="FAFBFC"/>
          </w:tcPr>
          <w:p>
            <w:pPr>
              <w:spacing w:after="0" w:line="252" w:lineRule="auto"/>
              <w:jc w:val="left"/>
            </w:pPr>
            <w:r>
              <w:rPr>
                <w:rFonts w:ascii="Consolas" w:hAnsi="Consolas"/>
                <w:color w:val="8B2E2E"/>
                <w:sz w:val="17"/>
              </w:rPr>
              <w:t>deal_contacts</w:t>
            </w:r>
          </w:p>
        </w:tc>
      </w:tr>
      <w:tr>
        <w:tc>
          <w:tcPr>
            <w:tcW w:type="dxa" w:w="964"/>
          </w:tcPr>
          <w:p>
            <w:pPr>
              <w:spacing w:after="0" w:line="252" w:lineRule="auto"/>
              <w:jc w:val="left"/>
            </w:pPr>
            <w:r>
              <w:rPr>
                <w:rFonts w:ascii="Calibri" w:hAnsi="Calibri"/>
                <w:color w:val="1A1A1A"/>
                <w:sz w:val="17"/>
              </w:rPr>
              <w:t>FR-P2-07</w:t>
            </w:r>
          </w:p>
        </w:tc>
        <w:tc>
          <w:tcPr>
            <w:tcW w:type="dxa" w:w="3345"/>
          </w:tcPr>
          <w:p>
            <w:pPr>
              <w:spacing w:after="0" w:line="252" w:lineRule="auto"/>
              <w:jc w:val="left"/>
            </w:pPr>
            <w:r>
              <w:rPr>
                <w:rFonts w:ascii="Calibri" w:hAnsi="Calibri"/>
                <w:color w:val="1A1A1A"/>
                <w:sz w:val="17"/>
              </w:rPr>
              <w:t>Maintain an opportunity team, and use team membership to grant record visibility</w:t>
            </w:r>
          </w:p>
        </w:tc>
        <w:tc>
          <w:tcPr>
            <w:tcW w:type="dxa" w:w="3061"/>
          </w:tcPr>
          <w:p>
            <w:pPr>
              <w:spacing w:after="0" w:line="252" w:lineRule="auto"/>
              <w:jc w:val="left"/>
            </w:pPr>
            <w:r>
              <w:rPr>
                <w:rFonts w:ascii="Calibri" w:hAnsi="Calibri"/>
                <w:color w:val="1A1A1A"/>
                <w:sz w:val="17"/>
              </w:rPr>
              <w:t>A user on the deal team can see the opportunity even without full visibility</w:t>
            </w:r>
          </w:p>
        </w:tc>
        <w:tc>
          <w:tcPr>
            <w:tcW w:type="dxa" w:w="1020"/>
          </w:tcPr>
          <w:p>
            <w:pPr>
              <w:spacing w:after="0" w:line="252" w:lineRule="auto"/>
              <w:jc w:val="left"/>
            </w:pPr>
            <w:r>
              <w:rPr>
                <w:rFonts w:ascii="Calibri" w:hAnsi="Calibri"/>
                <w:b/>
                <w:color w:val="1E6B33"/>
                <w:sz w:val="17"/>
              </w:rPr>
              <w:t>EXISTS</w:t>
            </w:r>
          </w:p>
        </w:tc>
        <w:tc>
          <w:tcPr>
            <w:tcW w:type="dxa" w:w="1928"/>
          </w:tcPr>
          <w:p>
            <w:pPr>
              <w:spacing w:after="0" w:line="252" w:lineRule="auto"/>
              <w:jc w:val="left"/>
            </w:pPr>
            <w:r>
              <w:rPr>
                <w:rFonts w:ascii="Consolas" w:hAnsi="Consolas"/>
                <w:color w:val="8B2E2E"/>
                <w:sz w:val="17"/>
              </w:rPr>
              <w:t>deal_team_members</w:t>
            </w:r>
            <w:r>
              <w:rPr>
                <w:rFonts w:ascii="Calibri" w:hAnsi="Calibri"/>
                <w:color w:val="1A1A1A"/>
                <w:sz w:val="17"/>
              </w:rPr>
              <w:t xml:space="preserve">, </w:t>
            </w:r>
            <w:r>
              <w:rPr>
                <w:rFonts w:ascii="Calibri" w:hAnsi="Calibri"/>
                <w:color w:val="1F4E79"/>
                <w:sz w:val="17"/>
                <w:u w:val="single"/>
              </w:rPr>
              <w:t>visibility-filters.ts</w:t>
            </w:r>
          </w:p>
        </w:tc>
      </w:tr>
    </w:tbl>
    <w:p>
      <w:pPr>
        <w:spacing w:after="80"/>
      </w:pPr>
    </w:p>
    <w:p>
      <w:pPr>
        <w:pStyle w:val="Heading3"/>
      </w:pPr>
      <w:r>
        <w:t>Interaction record</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064"/>
        <w:gridCol w:w="2064"/>
        <w:gridCol w:w="2064"/>
        <w:gridCol w:w="2064"/>
        <w:gridCol w:w="2064"/>
      </w:tblGrid>
      <w:tr>
        <w:trPr>
          <w:tblHeader w:val="true"/>
        </w:trPr>
        <w:tc>
          <w:tcPr>
            <w:tcW w:type="dxa" w:w="964"/>
            <w:shd w:val="clear" w:color="auto" w:fill="E8EDF2"/>
          </w:tcPr>
          <w:p>
            <w:pPr>
              <w:spacing w:after="0"/>
              <w:jc w:val="left"/>
            </w:pPr>
            <w:r>
              <w:rPr>
                <w:rFonts w:ascii="Calibri" w:hAnsi="Calibri"/>
                <w:b/>
                <w:color w:val="1A1A1A"/>
                <w:sz w:val="17"/>
              </w:rPr>
              <w:t>ID</w:t>
            </w:r>
          </w:p>
        </w:tc>
        <w:tc>
          <w:tcPr>
            <w:tcW w:type="dxa" w:w="3345"/>
            <w:shd w:val="clear" w:color="auto" w:fill="E8EDF2"/>
          </w:tcPr>
          <w:p>
            <w:pPr>
              <w:spacing w:after="0"/>
              <w:jc w:val="left"/>
            </w:pPr>
            <w:r>
              <w:rPr>
                <w:rFonts w:ascii="Calibri" w:hAnsi="Calibri"/>
                <w:b/>
                <w:color w:val="1A1A1A"/>
                <w:sz w:val="17"/>
              </w:rPr>
              <w:t>Requirement</w:t>
            </w:r>
          </w:p>
        </w:tc>
        <w:tc>
          <w:tcPr>
            <w:tcW w:type="dxa" w:w="3061"/>
            <w:shd w:val="clear" w:color="auto" w:fill="E8EDF2"/>
          </w:tcPr>
          <w:p>
            <w:pPr>
              <w:spacing w:after="0"/>
              <w:jc w:val="left"/>
            </w:pPr>
            <w:r>
              <w:rPr>
                <w:rFonts w:ascii="Calibri" w:hAnsi="Calibri"/>
                <w:b/>
                <w:color w:val="1A1A1A"/>
                <w:sz w:val="17"/>
              </w:rPr>
              <w:t>Acceptance</w:t>
            </w:r>
          </w:p>
        </w:tc>
        <w:tc>
          <w:tcPr>
            <w:tcW w:type="dxa" w:w="1020"/>
            <w:shd w:val="clear" w:color="auto" w:fill="E8EDF2"/>
          </w:tcPr>
          <w:p>
            <w:pPr>
              <w:spacing w:after="0"/>
              <w:jc w:val="left"/>
            </w:pPr>
            <w:r>
              <w:rPr>
                <w:rFonts w:ascii="Calibri" w:hAnsi="Calibri"/>
                <w:b/>
                <w:color w:val="1A1A1A"/>
                <w:sz w:val="17"/>
              </w:rPr>
              <w:t>Status</w:t>
            </w:r>
          </w:p>
        </w:tc>
        <w:tc>
          <w:tcPr>
            <w:tcW w:type="dxa" w:w="1928"/>
            <w:shd w:val="clear" w:color="auto" w:fill="E8EDF2"/>
          </w:tcPr>
          <w:p>
            <w:pPr>
              <w:spacing w:after="0"/>
              <w:jc w:val="left"/>
            </w:pPr>
            <w:r>
              <w:rPr>
                <w:rFonts w:ascii="Calibri" w:hAnsi="Calibri"/>
                <w:b/>
                <w:color w:val="1A1A1A"/>
                <w:sz w:val="17"/>
              </w:rPr>
              <w:t>Lands in</w:t>
            </w:r>
          </w:p>
        </w:tc>
      </w:tr>
      <w:tr>
        <w:tc>
          <w:tcPr>
            <w:tcW w:type="dxa" w:w="964"/>
          </w:tcPr>
          <w:p>
            <w:pPr>
              <w:spacing w:after="0" w:line="252" w:lineRule="auto"/>
              <w:jc w:val="left"/>
            </w:pPr>
            <w:r>
              <w:rPr>
                <w:rFonts w:ascii="Calibri" w:hAnsi="Calibri"/>
                <w:color w:val="1A1A1A"/>
                <w:sz w:val="17"/>
              </w:rPr>
              <w:t>FR-P2-08</w:t>
            </w:r>
          </w:p>
        </w:tc>
        <w:tc>
          <w:tcPr>
            <w:tcW w:type="dxa" w:w="3345"/>
          </w:tcPr>
          <w:p>
            <w:pPr>
              <w:spacing w:after="0" w:line="252" w:lineRule="auto"/>
              <w:jc w:val="left"/>
            </w:pPr>
            <w:r>
              <w:rPr>
                <w:rFonts w:ascii="Calibri" w:hAnsi="Calibri"/>
                <w:color w:val="1A1A1A"/>
                <w:sz w:val="17"/>
              </w:rPr>
              <w:t>Record every interaction — call, email, meeting, demo, discovery, proposal, note, chat — on one timeline, linkable to contact, account and opportunity</w:t>
            </w:r>
          </w:p>
        </w:tc>
        <w:tc>
          <w:tcPr>
            <w:tcW w:type="dxa" w:w="3061"/>
          </w:tcPr>
          <w:p>
            <w:pPr>
              <w:spacing w:after="0" w:line="252" w:lineRule="auto"/>
              <w:jc w:val="left"/>
            </w:pPr>
            <w:r>
              <w:rPr>
                <w:rFonts w:ascii="Calibri" w:hAnsi="Calibri"/>
                <w:color w:val="1A1A1A"/>
                <w:sz w:val="17"/>
              </w:rPr>
              <w:t>An interaction can be logged from any module and appears on all linked records</w:t>
            </w:r>
          </w:p>
        </w:tc>
        <w:tc>
          <w:tcPr>
            <w:tcW w:type="dxa" w:w="1020"/>
          </w:tcPr>
          <w:p>
            <w:pPr>
              <w:spacing w:after="0" w:line="252" w:lineRule="auto"/>
              <w:jc w:val="left"/>
            </w:pPr>
            <w:r>
              <w:rPr>
                <w:rFonts w:ascii="Calibri" w:hAnsi="Calibri"/>
                <w:b/>
                <w:color w:val="1E6B33"/>
                <w:sz w:val="17"/>
              </w:rPr>
              <w:t>EXISTS</w:t>
            </w:r>
          </w:p>
        </w:tc>
        <w:tc>
          <w:tcPr>
            <w:tcW w:type="dxa" w:w="1928"/>
          </w:tcPr>
          <w:p>
            <w:pPr>
              <w:spacing w:after="0" w:line="252" w:lineRule="auto"/>
              <w:jc w:val="left"/>
            </w:pPr>
            <w:r>
              <w:rPr>
                <w:rFonts w:ascii="Calibri" w:hAnsi="Calibri"/>
                <w:color w:val="1F4E79"/>
                <w:sz w:val="17"/>
                <w:u w:val="single"/>
              </w:rPr>
              <w:t>activities.ts</w:t>
            </w:r>
          </w:p>
        </w:tc>
      </w:tr>
      <w:tr>
        <w:tc>
          <w:tcPr>
            <w:tcW w:type="dxa" w:w="964"/>
            <w:shd w:val="clear" w:color="auto" w:fill="FAFBFC"/>
          </w:tcPr>
          <w:p>
            <w:pPr>
              <w:spacing w:after="0" w:line="252" w:lineRule="auto"/>
              <w:jc w:val="left"/>
            </w:pPr>
            <w:r>
              <w:rPr>
                <w:rFonts w:ascii="Calibri" w:hAnsi="Calibri"/>
                <w:color w:val="1A1A1A"/>
                <w:sz w:val="17"/>
              </w:rPr>
              <w:t>FR-P2-09</w:t>
            </w:r>
          </w:p>
        </w:tc>
        <w:tc>
          <w:tcPr>
            <w:tcW w:type="dxa" w:w="3345"/>
            <w:shd w:val="clear" w:color="auto" w:fill="FAFBFC"/>
          </w:tcPr>
          <w:p>
            <w:pPr>
              <w:spacing w:after="0" w:line="252" w:lineRule="auto"/>
              <w:jc w:val="left"/>
            </w:pPr>
            <w:r>
              <w:rPr>
                <w:rFonts w:ascii="Calibri" w:hAnsi="Calibri"/>
                <w:color w:val="1A1A1A"/>
                <w:sz w:val="17"/>
              </w:rPr>
              <w:t>Capture structured demo and discovery outcomes: attendees, requirements, pain points, objections, next action</w:t>
            </w:r>
          </w:p>
        </w:tc>
        <w:tc>
          <w:tcPr>
            <w:tcW w:type="dxa" w:w="3061"/>
            <w:shd w:val="clear" w:color="auto" w:fill="FAFBFC"/>
          </w:tcPr>
          <w:p>
            <w:pPr>
              <w:spacing w:after="0" w:line="252" w:lineRule="auto"/>
              <w:jc w:val="left"/>
            </w:pPr>
            <w:r>
              <w:rPr>
                <w:rFonts w:ascii="Calibri" w:hAnsi="Calibri"/>
                <w:color w:val="1A1A1A"/>
                <w:sz w:val="17"/>
              </w:rPr>
              <w:t>Demo records exist as structured data, not notes</w:t>
            </w:r>
          </w:p>
        </w:tc>
        <w:tc>
          <w:tcPr>
            <w:tcW w:type="dxa" w:w="1020"/>
            <w:shd w:val="clear" w:color="auto" w:fill="FAFBFC"/>
          </w:tcPr>
          <w:p>
            <w:pPr>
              <w:spacing w:after="0" w:line="252" w:lineRule="auto"/>
              <w:jc w:val="left"/>
            </w:pPr>
            <w:r>
              <w:rPr>
                <w:rFonts w:ascii="Calibri" w:hAnsi="Calibri"/>
                <w:b/>
                <w:color w:val="1E6B33"/>
                <w:sz w:val="17"/>
              </w:rPr>
              <w:t>EXISTS</w:t>
            </w:r>
          </w:p>
        </w:tc>
        <w:tc>
          <w:tcPr>
            <w:tcW w:type="dxa" w:w="1928"/>
            <w:shd w:val="clear" w:color="auto" w:fill="FAFBFC"/>
          </w:tcPr>
          <w:p>
            <w:pPr>
              <w:spacing w:after="0" w:line="252" w:lineRule="auto"/>
              <w:jc w:val="left"/>
            </w:pPr>
            <w:r>
              <w:rPr>
                <w:rFonts w:ascii="Calibri" w:hAnsi="Calibri"/>
                <w:color w:val="1F4E79"/>
                <w:sz w:val="17"/>
                <w:u w:val="single"/>
              </w:rPr>
              <w:t>demo-records.ts</w:t>
            </w:r>
          </w:p>
        </w:tc>
      </w:tr>
      <w:tr>
        <w:tc>
          <w:tcPr>
            <w:tcW w:type="dxa" w:w="964"/>
          </w:tcPr>
          <w:p>
            <w:pPr>
              <w:spacing w:after="0" w:line="252" w:lineRule="auto"/>
              <w:jc w:val="left"/>
            </w:pPr>
            <w:r>
              <w:rPr>
                <w:rFonts w:ascii="Calibri" w:hAnsi="Calibri"/>
                <w:color w:val="1A1A1A"/>
                <w:sz w:val="17"/>
              </w:rPr>
              <w:t>FR-P2-10</w:t>
            </w:r>
          </w:p>
        </w:tc>
        <w:tc>
          <w:tcPr>
            <w:tcW w:type="dxa" w:w="3345"/>
          </w:tcPr>
          <w:p>
            <w:pPr>
              <w:spacing w:after="0" w:line="252" w:lineRule="auto"/>
              <w:jc w:val="left"/>
            </w:pPr>
            <w:r>
              <w:rPr>
                <w:rFonts w:ascii="Calibri" w:hAnsi="Calibri"/>
                <w:color w:val="1A1A1A"/>
                <w:sz w:val="17"/>
              </w:rPr>
              <w:t>Record follow-up commitments with an owner and a due date, and surface them when due</w:t>
            </w:r>
          </w:p>
        </w:tc>
        <w:tc>
          <w:tcPr>
            <w:tcW w:type="dxa" w:w="3061"/>
          </w:tcPr>
          <w:p>
            <w:pPr>
              <w:spacing w:after="0" w:line="252" w:lineRule="auto"/>
              <w:jc w:val="left"/>
            </w:pPr>
            <w:r>
              <w:rPr>
                <w:rFonts w:ascii="Calibri" w:hAnsi="Calibri"/>
                <w:color w:val="1A1A1A"/>
                <w:sz w:val="17"/>
              </w:rPr>
              <w:t>Open follow-ups appear on the Command Center and in the daily digest</w:t>
            </w:r>
          </w:p>
        </w:tc>
        <w:tc>
          <w:tcPr>
            <w:tcW w:type="dxa" w:w="1020"/>
          </w:tcPr>
          <w:p>
            <w:pPr>
              <w:spacing w:after="0" w:line="252" w:lineRule="auto"/>
              <w:jc w:val="left"/>
            </w:pPr>
            <w:r>
              <w:rPr>
                <w:rFonts w:ascii="Calibri" w:hAnsi="Calibri"/>
                <w:b/>
                <w:color w:val="1E6B33"/>
                <w:sz w:val="17"/>
              </w:rPr>
              <w:t>EXISTS</w:t>
            </w:r>
          </w:p>
        </w:tc>
        <w:tc>
          <w:tcPr>
            <w:tcW w:type="dxa" w:w="1928"/>
          </w:tcPr>
          <w:p>
            <w:pPr>
              <w:spacing w:after="0" w:line="252" w:lineRule="auto"/>
              <w:jc w:val="left"/>
            </w:pPr>
            <w:r>
              <w:rPr>
                <w:rFonts w:ascii="Consolas" w:hAnsi="Consolas"/>
                <w:color w:val="8B2E2E"/>
                <w:sz w:val="17"/>
              </w:rPr>
              <w:t>deal_tasks</w:t>
            </w:r>
            <w:r>
              <w:rPr>
                <w:rFonts w:ascii="Calibri" w:hAnsi="Calibri"/>
                <w:color w:val="1A1A1A"/>
                <w:sz w:val="17"/>
              </w:rPr>
              <w:t xml:space="preserve">, </w:t>
            </w:r>
            <w:r>
              <w:rPr>
                <w:rFonts w:ascii="Calibri" w:hAnsi="Calibri"/>
                <w:color w:val="1F4E79"/>
                <w:sz w:val="17"/>
                <w:u w:val="single"/>
              </w:rPr>
              <w:t>reminder-digest.service.ts</w:t>
            </w:r>
          </w:p>
        </w:tc>
      </w:tr>
      <w:tr>
        <w:tc>
          <w:tcPr>
            <w:tcW w:type="dxa" w:w="964"/>
            <w:shd w:val="clear" w:color="auto" w:fill="FAFBFC"/>
          </w:tcPr>
          <w:p>
            <w:pPr>
              <w:spacing w:after="0" w:line="252" w:lineRule="auto"/>
              <w:jc w:val="left"/>
            </w:pPr>
            <w:r>
              <w:rPr>
                <w:rFonts w:ascii="Calibri" w:hAnsi="Calibri"/>
                <w:color w:val="1A1A1A"/>
                <w:sz w:val="17"/>
              </w:rPr>
              <w:t>FR-P2-11</w:t>
            </w:r>
          </w:p>
        </w:tc>
        <w:tc>
          <w:tcPr>
            <w:tcW w:type="dxa" w:w="3345"/>
            <w:shd w:val="clear" w:color="auto" w:fill="FAFBFC"/>
          </w:tcPr>
          <w:p>
            <w:pPr>
              <w:spacing w:after="0" w:line="252" w:lineRule="auto"/>
              <w:jc w:val="left"/>
            </w:pPr>
            <w:r>
              <w:rPr>
                <w:rFonts w:ascii="Calibri" w:hAnsi="Calibri"/>
                <w:color w:val="1A1A1A"/>
                <w:sz w:val="17"/>
              </w:rPr>
              <w:t>Allow interaction logging from outside the CRM through chat</w:t>
            </w:r>
          </w:p>
        </w:tc>
        <w:tc>
          <w:tcPr>
            <w:tcW w:type="dxa" w:w="3061"/>
            <w:shd w:val="clear" w:color="auto" w:fill="FAFBFC"/>
          </w:tcPr>
          <w:p>
            <w:pPr>
              <w:spacing w:after="0" w:line="252" w:lineRule="auto"/>
              <w:jc w:val="left"/>
            </w:pPr>
            <w:r>
              <w:rPr>
                <w:rFonts w:ascii="Consolas" w:hAnsi="Consolas"/>
                <w:color w:val="8B2E2E"/>
                <w:sz w:val="17"/>
              </w:rPr>
              <w:t>/add</w:t>
            </w:r>
            <w:r>
              <w:rPr>
                <w:rFonts w:ascii="Calibri" w:hAnsi="Calibri"/>
                <w:color w:val="1A1A1A"/>
                <w:sz w:val="17"/>
              </w:rPr>
              <w:t xml:space="preserve">, </w:t>
            </w:r>
            <w:r>
              <w:rPr>
                <w:rFonts w:ascii="Consolas" w:hAnsi="Consolas"/>
                <w:color w:val="8B2E2E"/>
                <w:sz w:val="17"/>
              </w:rPr>
              <w:t>/note</w:t>
            </w:r>
            <w:r>
              <w:rPr>
                <w:rFonts w:ascii="Calibri" w:hAnsi="Calibri"/>
                <w:color w:val="1A1A1A"/>
                <w:sz w:val="17"/>
              </w:rPr>
              <w:t xml:space="preserve">, </w:t>
            </w:r>
            <w:r>
              <w:rPr>
                <w:rFonts w:ascii="Consolas" w:hAnsi="Consolas"/>
                <w:color w:val="8B2E2E"/>
                <w:sz w:val="17"/>
              </w:rPr>
              <w:t>/log</w:t>
            </w:r>
            <w:r>
              <w:rPr>
                <w:rFonts w:ascii="Calibri" w:hAnsi="Calibri"/>
                <w:color w:val="1A1A1A"/>
                <w:sz w:val="17"/>
              </w:rPr>
              <w:t xml:space="preserve">, </w:t>
            </w:r>
            <w:r>
              <w:rPr>
                <w:rFonts w:ascii="Consolas" w:hAnsi="Consolas"/>
                <w:color w:val="8B2E2E"/>
                <w:sz w:val="17"/>
              </w:rPr>
              <w:t>/find</w:t>
            </w:r>
            <w:r>
              <w:rPr>
                <w:rFonts w:ascii="Calibri" w:hAnsi="Calibri"/>
                <w:color w:val="1A1A1A"/>
                <w:sz w:val="17"/>
              </w:rPr>
              <w:t xml:space="preserve">, </w:t>
            </w:r>
            <w:r>
              <w:rPr>
                <w:rFonts w:ascii="Consolas" w:hAnsi="Consolas"/>
                <w:color w:val="8B2E2E"/>
                <w:sz w:val="17"/>
              </w:rPr>
              <w:t>/today</w:t>
            </w:r>
            <w:r>
              <w:rPr>
                <w:rFonts w:ascii="Calibri" w:hAnsi="Calibri"/>
                <w:color w:val="1A1A1A"/>
                <w:sz w:val="17"/>
              </w:rPr>
              <w:t xml:space="preserve">, </w:t>
            </w:r>
            <w:r>
              <w:rPr>
                <w:rFonts w:ascii="Consolas" w:hAnsi="Consolas"/>
                <w:color w:val="8B2E2E"/>
                <w:sz w:val="17"/>
              </w:rPr>
              <w:t>/mytasks</w:t>
            </w:r>
            <w:r>
              <w:rPr>
                <w:rFonts w:ascii="Calibri" w:hAnsi="Calibri"/>
                <w:color w:val="1A1A1A"/>
                <w:sz w:val="17"/>
              </w:rPr>
              <w:t xml:space="preserve"> work on Telegram, WhatsApp and Teams</w:t>
            </w:r>
          </w:p>
        </w:tc>
        <w:tc>
          <w:tcPr>
            <w:tcW w:type="dxa" w:w="1020"/>
            <w:shd w:val="clear" w:color="auto" w:fill="FAFBFC"/>
          </w:tcPr>
          <w:p>
            <w:pPr>
              <w:spacing w:after="0" w:line="252" w:lineRule="auto"/>
              <w:jc w:val="left"/>
            </w:pPr>
            <w:r>
              <w:rPr>
                <w:rFonts w:ascii="Calibri" w:hAnsi="Calibri"/>
                <w:b/>
                <w:color w:val="1E6B33"/>
                <w:sz w:val="17"/>
              </w:rPr>
              <w:t>EXISTS</w:t>
            </w:r>
          </w:p>
        </w:tc>
        <w:tc>
          <w:tcPr>
            <w:tcW w:type="dxa" w:w="1928"/>
            <w:shd w:val="clear" w:color="auto" w:fill="FAFBFC"/>
          </w:tcPr>
          <w:p>
            <w:pPr>
              <w:spacing w:after="0" w:line="252" w:lineRule="auto"/>
              <w:jc w:val="left"/>
            </w:pPr>
            <w:r>
              <w:rPr>
                <w:rFonts w:ascii="Calibri" w:hAnsi="Calibri"/>
                <w:color w:val="1F4E79"/>
                <w:sz w:val="17"/>
                <w:u w:val="single"/>
              </w:rPr>
              <w:t>bot-commands.service.ts</w:t>
            </w:r>
          </w:p>
        </w:tc>
      </w:tr>
    </w:tbl>
    <w:p>
      <w:pPr>
        <w:spacing w:after="80"/>
      </w:pPr>
    </w:p>
    <w:p>
      <w:pPr>
        <w:pStyle w:val="Heading3"/>
      </w:pPr>
      <w:r>
        <w:t>Forecast and health</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064"/>
        <w:gridCol w:w="2064"/>
        <w:gridCol w:w="2064"/>
        <w:gridCol w:w="2064"/>
        <w:gridCol w:w="2064"/>
      </w:tblGrid>
      <w:tr>
        <w:trPr>
          <w:tblHeader w:val="true"/>
        </w:trPr>
        <w:tc>
          <w:tcPr>
            <w:tcW w:type="dxa" w:w="964"/>
            <w:shd w:val="clear" w:color="auto" w:fill="E8EDF2"/>
          </w:tcPr>
          <w:p>
            <w:pPr>
              <w:spacing w:after="0"/>
              <w:jc w:val="left"/>
            </w:pPr>
            <w:r>
              <w:rPr>
                <w:rFonts w:ascii="Calibri" w:hAnsi="Calibri"/>
                <w:b/>
                <w:color w:val="1A1A1A"/>
                <w:sz w:val="17"/>
              </w:rPr>
              <w:t>ID</w:t>
            </w:r>
          </w:p>
        </w:tc>
        <w:tc>
          <w:tcPr>
            <w:tcW w:type="dxa" w:w="3345"/>
            <w:shd w:val="clear" w:color="auto" w:fill="E8EDF2"/>
          </w:tcPr>
          <w:p>
            <w:pPr>
              <w:spacing w:after="0"/>
              <w:jc w:val="left"/>
            </w:pPr>
            <w:r>
              <w:rPr>
                <w:rFonts w:ascii="Calibri" w:hAnsi="Calibri"/>
                <w:b/>
                <w:color w:val="1A1A1A"/>
                <w:sz w:val="17"/>
              </w:rPr>
              <w:t>Requirement</w:t>
            </w:r>
          </w:p>
        </w:tc>
        <w:tc>
          <w:tcPr>
            <w:tcW w:type="dxa" w:w="3061"/>
            <w:shd w:val="clear" w:color="auto" w:fill="E8EDF2"/>
          </w:tcPr>
          <w:p>
            <w:pPr>
              <w:spacing w:after="0"/>
              <w:jc w:val="left"/>
            </w:pPr>
            <w:r>
              <w:rPr>
                <w:rFonts w:ascii="Calibri" w:hAnsi="Calibri"/>
                <w:b/>
                <w:color w:val="1A1A1A"/>
                <w:sz w:val="17"/>
              </w:rPr>
              <w:t>Acceptance</w:t>
            </w:r>
          </w:p>
        </w:tc>
        <w:tc>
          <w:tcPr>
            <w:tcW w:type="dxa" w:w="1020"/>
            <w:shd w:val="clear" w:color="auto" w:fill="E8EDF2"/>
          </w:tcPr>
          <w:p>
            <w:pPr>
              <w:spacing w:after="0"/>
              <w:jc w:val="left"/>
            </w:pPr>
            <w:r>
              <w:rPr>
                <w:rFonts w:ascii="Calibri" w:hAnsi="Calibri"/>
                <w:b/>
                <w:color w:val="1A1A1A"/>
                <w:sz w:val="17"/>
              </w:rPr>
              <w:t>Status</w:t>
            </w:r>
          </w:p>
        </w:tc>
        <w:tc>
          <w:tcPr>
            <w:tcW w:type="dxa" w:w="1928"/>
            <w:shd w:val="clear" w:color="auto" w:fill="E8EDF2"/>
          </w:tcPr>
          <w:p>
            <w:pPr>
              <w:spacing w:after="0"/>
              <w:jc w:val="left"/>
            </w:pPr>
            <w:r>
              <w:rPr>
                <w:rFonts w:ascii="Calibri" w:hAnsi="Calibri"/>
                <w:b/>
                <w:color w:val="1A1A1A"/>
                <w:sz w:val="17"/>
              </w:rPr>
              <w:t>Lands in</w:t>
            </w:r>
          </w:p>
        </w:tc>
      </w:tr>
      <w:tr>
        <w:tc>
          <w:tcPr>
            <w:tcW w:type="dxa" w:w="964"/>
          </w:tcPr>
          <w:p>
            <w:pPr>
              <w:spacing w:after="0" w:line="252" w:lineRule="auto"/>
              <w:jc w:val="left"/>
            </w:pPr>
            <w:r>
              <w:rPr>
                <w:rFonts w:ascii="Calibri" w:hAnsi="Calibri"/>
                <w:color w:val="1A1A1A"/>
                <w:sz w:val="17"/>
              </w:rPr>
              <w:t>FR-P2-12</w:t>
            </w:r>
          </w:p>
        </w:tc>
        <w:tc>
          <w:tcPr>
            <w:tcW w:type="dxa" w:w="3345"/>
          </w:tcPr>
          <w:p>
            <w:pPr>
              <w:spacing w:after="0" w:line="252" w:lineRule="auto"/>
              <w:jc w:val="left"/>
            </w:pPr>
            <w:r>
              <w:rPr>
                <w:rFonts w:ascii="Calibri" w:hAnsi="Calibri"/>
                <w:color w:val="1A1A1A"/>
                <w:sz w:val="17"/>
              </w:rPr>
              <w:t xml:space="preserve">Produce a </w:t>
            </w:r>
            <w:r>
              <w:rPr>
                <w:rFonts w:ascii="Calibri" w:hAnsi="Calibri"/>
                <w:b/>
                <w:color w:val="1A1A1A"/>
                <w:sz w:val="17"/>
              </w:rPr>
              <w:t>dedicated forecast view</w:t>
            </w:r>
            <w:r>
              <w:rPr>
                <w:rFonts w:ascii="Calibri" w:hAnsi="Calibri"/>
                <w:color w:val="1A1A1A"/>
                <w:sz w:val="17"/>
              </w:rPr>
              <w:t xml:space="preserve"> built on effective probability, broken down by period, owner and service line</w:t>
            </w:r>
          </w:p>
        </w:tc>
        <w:tc>
          <w:tcPr>
            <w:tcW w:type="dxa" w:w="3061"/>
          </w:tcPr>
          <w:p>
            <w:pPr>
              <w:spacing w:after="0" w:line="252" w:lineRule="auto"/>
              <w:jc w:val="left"/>
            </w:pPr>
            <w:r>
              <w:rPr>
                <w:rFonts w:ascii="Calibri" w:hAnsi="Calibri"/>
                <w:color w:val="1A1A1A"/>
                <w:sz w:val="17"/>
              </w:rPr>
              <w:t>Weighted value = effective value × probability, with the stage default used when no explicit probability is set, surfaced as its own page rather than a figure inside a personal report</w:t>
            </w:r>
          </w:p>
        </w:tc>
        <w:tc>
          <w:tcPr>
            <w:tcW w:type="dxa" w:w="1020"/>
          </w:tcPr>
          <w:p>
            <w:pPr>
              <w:spacing w:after="0" w:line="252" w:lineRule="auto"/>
              <w:jc w:val="left"/>
            </w:pPr>
            <w:r>
              <w:rPr>
                <w:rFonts w:ascii="Calibri" w:hAnsi="Calibri"/>
                <w:b/>
                <w:color w:val="9A5B00"/>
                <w:sz w:val="17"/>
              </w:rPr>
              <w:t>PARTIAL</w:t>
            </w:r>
            <w:r>
              <w:rPr>
                <w:rFonts w:ascii="Calibri" w:hAnsi="Calibri"/>
                <w:color w:val="9A5B00"/>
                <w:sz w:val="17"/>
              </w:rPr>
              <w:t xml:space="preserve"> — the calculation already exists at </w:t>
            </w:r>
            <w:r>
              <w:rPr>
                <w:rFonts w:ascii="Calibri" w:hAnsi="Calibri"/>
                <w:color w:val="1F4E79"/>
                <w:sz w:val="17"/>
                <w:u w:val="single"/>
              </w:rPr>
              <w:t>report.service.ts:542</w:t>
            </w:r>
            <w:r>
              <w:rPr>
                <w:rFonts w:ascii="Calibri" w:hAnsi="Calibri"/>
                <w:color w:val="9A5B00"/>
                <w:sz w:val="17"/>
              </w:rPr>
              <w:t xml:space="preserve"> and at </w:t>
            </w:r>
            <w:r>
              <w:rPr>
                <w:rFonts w:ascii="Calibri" w:hAnsi="Calibri"/>
                <w:color w:val="1F4E79"/>
                <w:sz w:val="17"/>
                <w:u w:val="single"/>
              </w:rPr>
              <w:t>executive-overview.service.ts:60</w:t>
            </w:r>
            <w:r>
              <w:rPr>
                <w:rFonts w:ascii="Calibri" w:hAnsi="Calibri"/>
                <w:color w:val="9A5B00"/>
                <w:sz w:val="17"/>
              </w:rPr>
              <w:t>; no forecast page consumes it</w:t>
            </w:r>
          </w:p>
        </w:tc>
        <w:tc>
          <w:tcPr>
            <w:tcW w:type="dxa" w:w="1928"/>
          </w:tcPr>
          <w:p>
            <w:pPr>
              <w:spacing w:after="0" w:line="252" w:lineRule="auto"/>
              <w:jc w:val="left"/>
            </w:pPr>
            <w:r>
              <w:rPr>
                <w:rFonts w:ascii="Calibri" w:hAnsi="Calibri"/>
                <w:color w:val="1A1A1A"/>
                <w:sz w:val="17"/>
              </w:rPr>
              <w:t xml:space="preserve">New forecast page over </w:t>
            </w:r>
            <w:r>
              <w:rPr>
                <w:rFonts w:ascii="Consolas" w:hAnsi="Consolas"/>
                <w:color w:val="8B2E2E"/>
                <w:sz w:val="17"/>
              </w:rPr>
              <w:t>deals_with_value</w:t>
            </w:r>
          </w:p>
        </w:tc>
      </w:tr>
      <w:tr>
        <w:tc>
          <w:tcPr>
            <w:tcW w:type="dxa" w:w="964"/>
            <w:shd w:val="clear" w:color="auto" w:fill="FAFBFC"/>
          </w:tcPr>
          <w:p>
            <w:pPr>
              <w:spacing w:after="0" w:line="252" w:lineRule="auto"/>
              <w:jc w:val="left"/>
            </w:pPr>
            <w:r>
              <w:rPr>
                <w:rFonts w:ascii="Calibri" w:hAnsi="Calibri"/>
                <w:color w:val="1A1A1A"/>
                <w:sz w:val="17"/>
              </w:rPr>
              <w:t>FR-P2-13</w:t>
            </w:r>
          </w:p>
        </w:tc>
        <w:tc>
          <w:tcPr>
            <w:tcW w:type="dxa" w:w="3345"/>
            <w:shd w:val="clear" w:color="auto" w:fill="FAFBFC"/>
          </w:tcPr>
          <w:p>
            <w:pPr>
              <w:spacing w:after="0" w:line="252" w:lineRule="auto"/>
              <w:jc w:val="left"/>
            </w:pPr>
            <w:r>
              <w:rPr>
                <w:rFonts w:ascii="Calibri" w:hAnsi="Calibri"/>
                <w:color w:val="1A1A1A"/>
                <w:sz w:val="17"/>
              </w:rPr>
              <w:t xml:space="preserve">Produce a </w:t>
            </w:r>
            <w:r>
              <w:rPr>
                <w:rFonts w:ascii="Calibri" w:hAnsi="Calibri"/>
                <w:b/>
                <w:color w:val="1A1A1A"/>
                <w:sz w:val="17"/>
              </w:rPr>
              <w:t>committed</w:t>
            </w:r>
            <w:r>
              <w:rPr>
                <w:rFonts w:ascii="Calibri" w:hAnsi="Calibri"/>
                <w:color w:val="1A1A1A"/>
                <w:sz w:val="17"/>
              </w:rPr>
              <w:t xml:space="preserve"> forecast distinct from the weighted forecast</w:t>
            </w:r>
          </w:p>
        </w:tc>
        <w:tc>
          <w:tcPr>
            <w:tcW w:type="dxa" w:w="3061"/>
            <w:shd w:val="clear" w:color="auto" w:fill="FAFBFC"/>
          </w:tcPr>
          <w:p>
            <w:pPr>
              <w:spacing w:after="0" w:line="252" w:lineRule="auto"/>
              <w:jc w:val="left"/>
            </w:pPr>
            <w:r>
              <w:rPr>
                <w:rFonts w:ascii="Calibri" w:hAnsi="Calibri"/>
                <w:color w:val="1A1A1A"/>
                <w:sz w:val="17"/>
              </w:rPr>
              <w:t>An owner marks each opportunity commit / best-case / pipeline; the three roll up separately and alongside the weighted figure, never summed into one number</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 xml:space="preserve">Extend </w:t>
            </w:r>
            <w:r>
              <w:rPr>
                <w:rFonts w:ascii="Consolas" w:hAnsi="Consolas"/>
                <w:color w:val="8B2E2E"/>
                <w:sz w:val="17"/>
              </w:rPr>
              <w:t>deals</w:t>
            </w:r>
          </w:p>
        </w:tc>
      </w:tr>
      <w:tr>
        <w:tc>
          <w:tcPr>
            <w:tcW w:type="dxa" w:w="964"/>
          </w:tcPr>
          <w:p>
            <w:pPr>
              <w:spacing w:after="0" w:line="252" w:lineRule="auto"/>
              <w:jc w:val="left"/>
            </w:pPr>
            <w:r>
              <w:rPr>
                <w:rFonts w:ascii="Calibri" w:hAnsi="Calibri"/>
                <w:color w:val="1A1A1A"/>
                <w:sz w:val="17"/>
              </w:rPr>
              <w:t>FR-P2-14</w:t>
            </w:r>
          </w:p>
        </w:tc>
        <w:tc>
          <w:tcPr>
            <w:tcW w:type="dxa" w:w="3345"/>
          </w:tcPr>
          <w:p>
            <w:pPr>
              <w:spacing w:after="0" w:line="252" w:lineRule="auto"/>
              <w:jc w:val="left"/>
            </w:pPr>
            <w:r>
              <w:rPr>
                <w:rFonts w:ascii="Calibri" w:hAnsi="Calibri"/>
                <w:color w:val="1A1A1A"/>
                <w:sz w:val="17"/>
              </w:rPr>
              <w:t>Detect stalled opportunities against a computed benchmark rather than a fixed threshold</w:t>
            </w:r>
          </w:p>
        </w:tc>
        <w:tc>
          <w:tcPr>
            <w:tcW w:type="dxa" w:w="3061"/>
          </w:tcPr>
          <w:p>
            <w:pPr>
              <w:spacing w:after="0" w:line="252" w:lineRule="auto"/>
              <w:jc w:val="left"/>
            </w:pPr>
            <w:r>
              <w:rPr>
                <w:rFonts w:ascii="Calibri" w:hAnsi="Calibri"/>
                <w:color w:val="1A1A1A"/>
                <w:sz w:val="17"/>
              </w:rPr>
              <w:t>An opportunity exceeding the pipeline's average time-in-stage is flagged, and the benchmark is recomputed nightly</w:t>
            </w:r>
          </w:p>
        </w:tc>
        <w:tc>
          <w:tcPr>
            <w:tcW w:type="dxa" w:w="1020"/>
          </w:tcPr>
          <w:p>
            <w:pPr>
              <w:spacing w:after="0" w:line="252" w:lineRule="auto"/>
              <w:jc w:val="left"/>
            </w:pPr>
            <w:r>
              <w:rPr>
                <w:rFonts w:ascii="Calibri" w:hAnsi="Calibri"/>
                <w:b/>
                <w:color w:val="1E6B33"/>
                <w:sz w:val="17"/>
              </w:rPr>
              <w:t>EXISTS</w:t>
            </w:r>
          </w:p>
        </w:tc>
        <w:tc>
          <w:tcPr>
            <w:tcW w:type="dxa" w:w="1928"/>
          </w:tcPr>
          <w:p>
            <w:pPr>
              <w:spacing w:after="0" w:line="252" w:lineRule="auto"/>
              <w:jc w:val="left"/>
            </w:pPr>
            <w:r>
              <w:rPr>
                <w:rFonts w:ascii="Consolas" w:hAnsi="Consolas"/>
                <w:color w:val="8B2E2E"/>
                <w:sz w:val="17"/>
              </w:rPr>
              <w:t>pipeline_benchmarks</w:t>
            </w:r>
            <w:r>
              <w:rPr>
                <w:rFonts w:ascii="Calibri" w:hAnsi="Calibri"/>
                <w:color w:val="1A1A1A"/>
                <w:sz w:val="17"/>
              </w:rPr>
              <w:t xml:space="preserve">, </w:t>
            </w:r>
            <w:r>
              <w:rPr>
                <w:rFonts w:ascii="Consolas" w:hAnsi="Consolas"/>
                <w:color w:val="8B2E2E"/>
                <w:sz w:val="17"/>
              </w:rPr>
              <w:t>isVelocitySlow</w:t>
            </w:r>
          </w:p>
        </w:tc>
      </w:tr>
      <w:tr>
        <w:tc>
          <w:tcPr>
            <w:tcW w:type="dxa" w:w="964"/>
            <w:shd w:val="clear" w:color="auto" w:fill="FAFBFC"/>
          </w:tcPr>
          <w:p>
            <w:pPr>
              <w:spacing w:after="0" w:line="252" w:lineRule="auto"/>
              <w:jc w:val="left"/>
            </w:pPr>
            <w:r>
              <w:rPr>
                <w:rFonts w:ascii="Calibri" w:hAnsi="Calibri"/>
                <w:color w:val="1A1A1A"/>
                <w:sz w:val="17"/>
              </w:rPr>
              <w:t>FR-P2-15</w:t>
            </w:r>
          </w:p>
        </w:tc>
        <w:tc>
          <w:tcPr>
            <w:tcW w:type="dxa" w:w="3345"/>
            <w:shd w:val="clear" w:color="auto" w:fill="FAFBFC"/>
          </w:tcPr>
          <w:p>
            <w:pPr>
              <w:spacing w:after="0" w:line="252" w:lineRule="auto"/>
              <w:jc w:val="left"/>
            </w:pPr>
            <w:r>
              <w:rPr>
                <w:rFonts w:ascii="Calibri" w:hAnsi="Calibri"/>
                <w:color w:val="1A1A1A"/>
                <w:sz w:val="17"/>
              </w:rPr>
              <w:t>Detect opportunities with no recent engagement and alert the owner</w:t>
            </w:r>
          </w:p>
        </w:tc>
        <w:tc>
          <w:tcPr>
            <w:tcW w:type="dxa" w:w="3061"/>
            <w:shd w:val="clear" w:color="auto" w:fill="FAFBFC"/>
          </w:tcPr>
          <w:p>
            <w:pPr>
              <w:spacing w:after="0" w:line="252" w:lineRule="auto"/>
              <w:jc w:val="left"/>
            </w:pPr>
            <w:r>
              <w:rPr>
                <w:rFonts w:ascii="Calibri" w:hAnsi="Calibri"/>
                <w:color w:val="1A1A1A"/>
                <w:sz w:val="17"/>
              </w:rPr>
              <w:t>Stale-lead alerting with a configurable inactivity threshold, cooldown and pipeline scope</w:t>
            </w:r>
          </w:p>
        </w:tc>
        <w:tc>
          <w:tcPr>
            <w:tcW w:type="dxa" w:w="1020"/>
            <w:shd w:val="clear" w:color="auto" w:fill="FAFBFC"/>
          </w:tcPr>
          <w:p>
            <w:pPr>
              <w:spacing w:after="0" w:line="252" w:lineRule="auto"/>
              <w:jc w:val="left"/>
            </w:pPr>
            <w:r>
              <w:rPr>
                <w:rFonts w:ascii="Calibri" w:hAnsi="Calibri"/>
                <w:b/>
                <w:color w:val="1E6B33"/>
                <w:sz w:val="17"/>
              </w:rPr>
              <w:t>EXISTS</w:t>
            </w:r>
          </w:p>
        </w:tc>
        <w:tc>
          <w:tcPr>
            <w:tcW w:type="dxa" w:w="1928"/>
            <w:shd w:val="clear" w:color="auto" w:fill="FAFBFC"/>
          </w:tcPr>
          <w:p>
            <w:pPr>
              <w:spacing w:after="0" w:line="252" w:lineRule="auto"/>
              <w:jc w:val="left"/>
            </w:pPr>
            <w:r>
              <w:rPr>
                <w:rFonts w:ascii="Calibri" w:hAnsi="Calibri"/>
                <w:color w:val="1F4E79"/>
                <w:sz w:val="17"/>
                <w:u w:val="single"/>
              </w:rPr>
              <w:t>deal-inactivity.service.ts</w:t>
            </w:r>
          </w:p>
        </w:tc>
      </w:tr>
      <w:tr>
        <w:tc>
          <w:tcPr>
            <w:tcW w:type="dxa" w:w="964"/>
          </w:tcPr>
          <w:p>
            <w:pPr>
              <w:spacing w:after="0" w:line="252" w:lineRule="auto"/>
              <w:jc w:val="left"/>
            </w:pPr>
            <w:r>
              <w:rPr>
                <w:rFonts w:ascii="Calibri" w:hAnsi="Calibri"/>
                <w:color w:val="1A1A1A"/>
                <w:sz w:val="17"/>
              </w:rPr>
              <w:t>FR-P2-16</w:t>
            </w:r>
          </w:p>
        </w:tc>
        <w:tc>
          <w:tcPr>
            <w:tcW w:type="dxa" w:w="3345"/>
          </w:tcPr>
          <w:p>
            <w:pPr>
              <w:spacing w:after="0" w:line="252" w:lineRule="auto"/>
              <w:jc w:val="left"/>
            </w:pPr>
            <w:r>
              <w:rPr>
                <w:rFonts w:ascii="Calibri" w:hAnsi="Calibri"/>
                <w:color w:val="1A1A1A"/>
                <w:sz w:val="17"/>
              </w:rPr>
              <w:t>Capture win and loss reasons from a controlled list, with the competitor named and their price where known</w:t>
            </w:r>
          </w:p>
        </w:tc>
        <w:tc>
          <w:tcPr>
            <w:tcW w:type="dxa" w:w="3061"/>
          </w:tcPr>
          <w:p>
            <w:pPr>
              <w:spacing w:after="0" w:line="252" w:lineRule="auto"/>
              <w:jc w:val="left"/>
            </w:pPr>
            <w:r>
              <w:rPr>
                <w:rFonts w:ascii="Calibri" w:hAnsi="Calibri"/>
                <w:color w:val="1A1A1A"/>
                <w:sz w:val="17"/>
              </w:rPr>
              <w:t>Reason is a selectable value from a list the business defines, not free text, and loss reasons are countable by reason, by service line and by period</w:t>
            </w:r>
          </w:p>
        </w:tc>
        <w:tc>
          <w:tcPr>
            <w:tcW w:type="dxa" w:w="1020"/>
          </w:tcPr>
          <w:p>
            <w:pPr>
              <w:spacing w:after="0" w:line="252" w:lineRule="auto"/>
              <w:jc w:val="left"/>
            </w:pPr>
            <w:r>
              <w:rPr>
                <w:rFonts w:ascii="Calibri" w:hAnsi="Calibri"/>
                <w:b/>
                <w:color w:val="9A5B00"/>
                <w:sz w:val="17"/>
              </w:rPr>
              <w:t>PARTIAL</w:t>
            </w:r>
            <w:r>
              <w:rPr>
                <w:rFonts w:ascii="Calibri" w:hAnsi="Calibri"/>
                <w:color w:val="9A5B00"/>
                <w:sz w:val="17"/>
              </w:rPr>
              <w:t xml:space="preserve"> — </w:t>
            </w:r>
            <w:r>
              <w:rPr>
                <w:rFonts w:ascii="Consolas" w:hAnsi="Consolas"/>
                <w:color w:val="8B2E2E"/>
                <w:sz w:val="17"/>
              </w:rPr>
              <w:t>wonReason</w:t>
            </w:r>
            <w:r>
              <w:rPr>
                <w:rFonts w:ascii="Calibri" w:hAnsi="Calibri"/>
                <w:color w:val="9A5B00"/>
                <w:sz w:val="17"/>
              </w:rPr>
              <w:t xml:space="preserve"> and </w:t>
            </w:r>
            <w:r>
              <w:rPr>
                <w:rFonts w:ascii="Consolas" w:hAnsi="Consolas"/>
                <w:color w:val="8B2E2E"/>
                <w:sz w:val="17"/>
              </w:rPr>
              <w:t>lostReason</w:t>
            </w:r>
            <w:r>
              <w:rPr>
                <w:rFonts w:ascii="Calibri" w:hAnsi="Calibri"/>
                <w:color w:val="9A5B00"/>
                <w:sz w:val="17"/>
              </w:rPr>
              <w:t xml:space="preserve"> are </w:t>
            </w:r>
            <w:r>
              <w:rPr>
                <w:rFonts w:ascii="Consolas" w:hAnsi="Consolas"/>
                <w:color w:val="8B2E2E"/>
                <w:sz w:val="17"/>
              </w:rPr>
              <w:t>text</w:t>
            </w:r>
            <w:r>
              <w:rPr>
                <w:rFonts w:ascii="Calibri" w:hAnsi="Calibri"/>
                <w:color w:val="9A5B00"/>
                <w:sz w:val="17"/>
              </w:rPr>
              <w:t xml:space="preserve"> columns, so losses cannot be counted by cause</w:t>
            </w:r>
          </w:p>
        </w:tc>
        <w:tc>
          <w:tcPr>
            <w:tcW w:type="dxa" w:w="1928"/>
          </w:tcPr>
          <w:p>
            <w:pPr>
              <w:spacing w:after="0" w:line="252" w:lineRule="auto"/>
              <w:jc w:val="left"/>
            </w:pPr>
            <w:r>
              <w:rPr>
                <w:rFonts w:ascii="Calibri" w:hAnsi="Calibri"/>
                <w:color w:val="1A1A1A"/>
                <w:sz w:val="17"/>
              </w:rPr>
              <w:t xml:space="preserve">Extend </w:t>
            </w:r>
            <w:r>
              <w:rPr>
                <w:rFonts w:ascii="Consolas" w:hAnsi="Consolas"/>
                <w:color w:val="8B2E2E"/>
                <w:sz w:val="17"/>
              </w:rPr>
              <w:t>deals</w:t>
            </w:r>
          </w:p>
        </w:tc>
      </w:tr>
      <w:tr>
        <w:tc>
          <w:tcPr>
            <w:tcW w:type="dxa" w:w="964"/>
            <w:shd w:val="clear" w:color="auto" w:fill="FAFBFC"/>
          </w:tcPr>
          <w:p>
            <w:pPr>
              <w:spacing w:after="0" w:line="252" w:lineRule="auto"/>
              <w:jc w:val="left"/>
            </w:pPr>
            <w:r>
              <w:rPr>
                <w:rFonts w:ascii="Calibri" w:hAnsi="Calibri"/>
                <w:color w:val="1A1A1A"/>
                <w:sz w:val="17"/>
              </w:rPr>
              <w:t>FR-P2-17</w:t>
            </w:r>
          </w:p>
        </w:tc>
        <w:tc>
          <w:tcPr>
            <w:tcW w:type="dxa" w:w="3345"/>
            <w:shd w:val="clear" w:color="auto" w:fill="FAFBFC"/>
          </w:tcPr>
          <w:p>
            <w:pPr>
              <w:spacing w:after="0" w:line="252" w:lineRule="auto"/>
              <w:jc w:val="left"/>
            </w:pPr>
            <w:r>
              <w:rPr>
                <w:rFonts w:ascii="Calibri" w:hAnsi="Calibri"/>
                <w:color w:val="1A1A1A"/>
                <w:sz w:val="17"/>
              </w:rPr>
              <w:t>Expose coverage — pipeline value against target, by owner and by period</w:t>
            </w:r>
          </w:p>
        </w:tc>
        <w:tc>
          <w:tcPr>
            <w:tcW w:type="dxa" w:w="3061"/>
            <w:shd w:val="clear" w:color="auto" w:fill="FAFBFC"/>
          </w:tcPr>
          <w:p>
            <w:pPr>
              <w:spacing w:after="0" w:line="252" w:lineRule="auto"/>
              <w:jc w:val="left"/>
            </w:pPr>
            <w:r>
              <w:rPr>
                <w:rFonts w:ascii="Calibri" w:hAnsi="Calibri"/>
                <w:color w:val="1A1A1A"/>
                <w:sz w:val="17"/>
              </w:rPr>
              <w:t>A revenue target is set per owner per period, and coverage is reported as a multiple of that target</w:t>
            </w:r>
          </w:p>
        </w:tc>
        <w:tc>
          <w:tcPr>
            <w:tcW w:type="dxa" w:w="1020"/>
            <w:shd w:val="clear" w:color="auto" w:fill="FAFBFC"/>
          </w:tcPr>
          <w:p>
            <w:pPr>
              <w:spacing w:after="0" w:line="252" w:lineRule="auto"/>
              <w:jc w:val="left"/>
            </w:pPr>
            <w:r>
              <w:rPr>
                <w:rFonts w:ascii="Calibri" w:hAnsi="Calibri"/>
                <w:b/>
                <w:color w:val="1F4E79"/>
                <w:sz w:val="17"/>
              </w:rPr>
              <w:t>NEW</w:t>
            </w:r>
            <w:r>
              <w:rPr>
                <w:rFonts w:ascii="Calibri" w:hAnsi="Calibri"/>
                <w:color w:val="1F4E79"/>
                <w:sz w:val="17"/>
              </w:rPr>
              <w:t xml:space="preserve"> — no target model exists anywhere; shared with FR-P8-08, which needs the same table</w:t>
            </w:r>
          </w:p>
        </w:tc>
        <w:tc>
          <w:tcPr>
            <w:tcW w:type="dxa" w:w="1928"/>
            <w:shd w:val="clear" w:color="auto" w:fill="FAFBFC"/>
          </w:tcPr>
          <w:p>
            <w:pPr>
              <w:spacing w:after="0" w:line="252" w:lineRule="auto"/>
              <w:jc w:val="left"/>
            </w:pPr>
            <w:r>
              <w:rPr>
                <w:rFonts w:ascii="Calibri" w:hAnsi="Calibri"/>
                <w:color w:val="1A1A1A"/>
                <w:sz w:val="17"/>
              </w:rPr>
              <w:t xml:space="preserve">New </w:t>
            </w:r>
            <w:r>
              <w:rPr>
                <w:rFonts w:ascii="Consolas" w:hAnsi="Consolas"/>
                <w:color w:val="8B2E2E"/>
                <w:sz w:val="17"/>
              </w:rPr>
              <w:t>targets</w:t>
            </w:r>
            <w:r>
              <w:rPr>
                <w:rFonts w:ascii="Calibri" w:hAnsi="Calibri"/>
                <w:color w:val="1A1A1A"/>
                <w:sz w:val="17"/>
              </w:rPr>
              <w:t xml:space="preserve"> table, shared with P8</w:t>
            </w:r>
          </w:p>
        </w:tc>
      </w:tr>
      <w:tr>
        <w:tc>
          <w:tcPr>
            <w:tcW w:type="dxa" w:w="964"/>
          </w:tcPr>
          <w:p>
            <w:pPr>
              <w:spacing w:after="0" w:line="252" w:lineRule="auto"/>
              <w:jc w:val="left"/>
            </w:pPr>
            <w:r>
              <w:rPr>
                <w:rFonts w:ascii="Calibri" w:hAnsi="Calibri"/>
                <w:color w:val="1A1A1A"/>
                <w:sz w:val="17"/>
              </w:rPr>
              <w:t>FR-P2-18</w:t>
            </w:r>
          </w:p>
        </w:tc>
        <w:tc>
          <w:tcPr>
            <w:tcW w:type="dxa" w:w="3345"/>
          </w:tcPr>
          <w:p>
            <w:pPr>
              <w:spacing w:after="0" w:line="252" w:lineRule="auto"/>
              <w:jc w:val="left"/>
            </w:pPr>
            <w:r>
              <w:rPr>
                <w:rFonts w:ascii="Calibri" w:hAnsi="Calibri"/>
                <w:color w:val="1A1A1A"/>
                <w:sz w:val="17"/>
              </w:rPr>
              <w:t>Pass scoped services and quoted value to Pillar 4 for pricing, and receive back the approved price and delivery window</w:t>
            </w:r>
          </w:p>
        </w:tc>
        <w:tc>
          <w:tcPr>
            <w:tcW w:type="dxa" w:w="3061"/>
          </w:tcPr>
          <w:p>
            <w:pPr>
              <w:spacing w:after="0" w:line="252" w:lineRule="auto"/>
              <w:jc w:val="left"/>
            </w:pPr>
            <w:r>
              <w:rPr>
                <w:rFonts w:ascii="Calibri" w:hAnsi="Calibri"/>
                <w:color w:val="1A1A1A"/>
                <w:sz w:val="17"/>
              </w:rPr>
              <w:t>An opportunity shows its linked estimate and quotation, and its amount is set from the approved quote rather than typed</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P2 ↔ P4 link</w:t>
            </w:r>
          </w:p>
        </w:tc>
      </w:tr>
    </w:tbl>
    <w:p>
      <w:pPr>
        <w:spacing w:after="80"/>
      </w:pPr>
    </w:p>
    <w:p>
      <w:pPr>
        <w:spacing w:before="120" w:after="160"/>
        <w:ind w:left="198"/>
        <w:pBdr>
          <w:left w:val="single" w:sz="18" w:space="8" w:color="B08D57"/>
        </w:pBdr>
        <w:shd w:val="clear" w:color="auto" w:fill="F4F1E8"/>
      </w:pPr>
      <w:r>
        <w:rPr>
          <w:rFonts w:ascii="Calibri" w:hAnsi="Calibri"/>
          <w:b/>
          <w:color w:val="1A1A1A"/>
          <w:sz w:val="19"/>
        </w:rPr>
        <w:t>CONCRETE EXAMPLE</w:t>
      </w:r>
      <w:r>
        <w:rPr>
          <w:rFonts w:ascii="Calibri" w:hAnsi="Calibri"/>
          <w:color w:val="1A1A1A"/>
          <w:sz w:val="19"/>
        </w:rPr>
        <w:t xml:space="preserve">  A SOC 2 Type II opportunity at Northwind is quoted at INR 18,00,000 and sits at Proposal with 70% probability, expected to close 30 September. Qualification records the CTO as economic buyer, the enterprise procurement deadline as the urgency driver, and confirmed budget. Six interactions are attached. The deal has not moved in 21 days, so it is flagged stalled while remaining in the forecast.</w:t>
      </w:r>
    </w:p>
    <w:p>
      <w:pPr>
        <w:pStyle w:val="Heading3"/>
      </w:pPr>
      <w:r>
        <w:t>Features — Pillar 2</w:t>
      </w:r>
    </w:p>
    <w:p>
      <w:r>
        <w:rPr>
          <w:rFonts w:ascii="Calibri" w:hAnsi="Calibri"/>
          <w:color w:val="1A1A1A"/>
        </w:rPr>
        <w:t xml:space="preserve">Kanban board with drag-and-drop and preserved position · table view with saved views · filter by status and service · CSV import · deal↔contact backfill repair wizard · six-tab detail page · stage history timeline · </w:t>
      </w:r>
      <w:r>
        <w:rPr>
          <w:rFonts w:ascii="Calibri" w:hAnsi="Calibri"/>
          <w:b/>
          <w:color w:val="1A1A1A"/>
        </w:rPr>
        <w:t>six-field qualification panel with a completeness count (new)</w:t>
      </w:r>
      <w:r>
        <w:rPr>
          <w:rFonts w:ascii="Calibri" w:hAnsi="Calibri"/>
          <w:color w:val="1A1A1A"/>
        </w:rPr>
        <w:t xml:space="preserve"> · </w:t>
      </w:r>
      <w:r>
        <w:rPr>
          <w:rFonts w:ascii="Calibri" w:hAnsi="Calibri"/>
          <w:b/>
          <w:color w:val="1A1A1A"/>
        </w:rPr>
        <w:t>stage criteria checklist that warns on an incomplete move and records it (new)</w:t>
      </w:r>
      <w:r>
        <w:rPr>
          <w:rFonts w:ascii="Calibri" w:hAnsi="Calibri"/>
          <w:color w:val="1A1A1A"/>
        </w:rPr>
        <w:t xml:space="preserve"> · </w:t>
      </w:r>
      <w:r>
        <w:rPr>
          <w:rFonts w:ascii="Calibri" w:hAnsi="Calibri"/>
          <w:b/>
          <w:color w:val="1A1A1A"/>
        </w:rPr>
        <w:t>forecast page: weighted, commit, best-case and pipeline, by period, owner and service (new)</w:t>
      </w:r>
      <w:r>
        <w:rPr>
          <w:rFonts w:ascii="Calibri" w:hAnsi="Calibri"/>
          <w:color w:val="1A1A1A"/>
        </w:rPr>
        <w:t xml:space="preserve"> · </w:t>
      </w:r>
      <w:r>
        <w:rPr>
          <w:rFonts w:ascii="Calibri" w:hAnsi="Calibri"/>
          <w:b/>
          <w:color w:val="1A1A1A"/>
        </w:rPr>
        <w:t>targets and coverage ratio (new)</w:t>
      </w:r>
      <w:r>
        <w:rPr>
          <w:rFonts w:ascii="Calibri" w:hAnsi="Calibri"/>
          <w:color w:val="1A1A1A"/>
        </w:rPr>
        <w:t xml:space="preserve"> · </w:t>
      </w:r>
      <w:r>
        <w:rPr>
          <w:rFonts w:ascii="Calibri" w:hAnsi="Calibri"/>
          <w:b/>
          <w:color w:val="1A1A1A"/>
        </w:rPr>
        <w:t>structured win/loss capture with competitor and their price (new)</w:t>
      </w:r>
      <w:r>
        <w:rPr>
          <w:rFonts w:ascii="Calibri" w:hAnsi="Calibri"/>
          <w:color w:val="1A1A1A"/>
        </w:rPr>
        <w:t>.</w:t>
      </w:r>
    </w:p>
    <w:p>
      <w:pPr>
        <w:pStyle w:val="Heading2"/>
      </w:pPr>
      <w:r>
        <w:t>Pillar 3 — Partner &amp; Channel Ecosystem</w:t>
      </w:r>
    </w:p>
    <w:p>
      <w:r>
        <w:rPr>
          <w:rFonts w:ascii="Calibri" w:hAnsi="Calibri"/>
          <w:i/>
          <w:color w:val="1A1A1A"/>
        </w:rPr>
        <w:t>Who brings us business, and what is that channel actually worth?</w:t>
      </w:r>
    </w:p>
    <w:p>
      <w:r>
        <w:rPr>
          <w:rFonts w:ascii="Calibri" w:hAnsi="Calibri"/>
          <w:color w:val="1A1A1A"/>
        </w:rPr>
        <w:t>Currently a read-model over a single foreign key. Attribution works only in the simplest case — one partner, unambiguously sourced, never contested. Everything the source document describes as the hard part is missing.</w:t>
      </w:r>
    </w:p>
    <w:p>
      <w:pPr>
        <w:pStyle w:val="Heading3"/>
      </w:pPr>
      <w:r>
        <w:t>Partner relationship</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064"/>
        <w:gridCol w:w="2064"/>
        <w:gridCol w:w="2064"/>
        <w:gridCol w:w="2064"/>
        <w:gridCol w:w="2064"/>
      </w:tblGrid>
      <w:tr>
        <w:trPr>
          <w:tblHeader w:val="true"/>
        </w:trPr>
        <w:tc>
          <w:tcPr>
            <w:tcW w:type="dxa" w:w="964"/>
            <w:shd w:val="clear" w:color="auto" w:fill="E8EDF2"/>
          </w:tcPr>
          <w:p>
            <w:pPr>
              <w:spacing w:after="0"/>
              <w:jc w:val="left"/>
            </w:pPr>
            <w:r>
              <w:rPr>
                <w:rFonts w:ascii="Calibri" w:hAnsi="Calibri"/>
                <w:b/>
                <w:color w:val="1A1A1A"/>
                <w:sz w:val="17"/>
              </w:rPr>
              <w:t>ID</w:t>
            </w:r>
          </w:p>
        </w:tc>
        <w:tc>
          <w:tcPr>
            <w:tcW w:type="dxa" w:w="3345"/>
            <w:shd w:val="clear" w:color="auto" w:fill="E8EDF2"/>
          </w:tcPr>
          <w:p>
            <w:pPr>
              <w:spacing w:after="0"/>
              <w:jc w:val="left"/>
            </w:pPr>
            <w:r>
              <w:rPr>
                <w:rFonts w:ascii="Calibri" w:hAnsi="Calibri"/>
                <w:b/>
                <w:color w:val="1A1A1A"/>
                <w:sz w:val="17"/>
              </w:rPr>
              <w:t>Requirement</w:t>
            </w:r>
          </w:p>
        </w:tc>
        <w:tc>
          <w:tcPr>
            <w:tcW w:type="dxa" w:w="3061"/>
            <w:shd w:val="clear" w:color="auto" w:fill="E8EDF2"/>
          </w:tcPr>
          <w:p>
            <w:pPr>
              <w:spacing w:after="0"/>
              <w:jc w:val="left"/>
            </w:pPr>
            <w:r>
              <w:rPr>
                <w:rFonts w:ascii="Calibri" w:hAnsi="Calibri"/>
                <w:b/>
                <w:color w:val="1A1A1A"/>
                <w:sz w:val="17"/>
              </w:rPr>
              <w:t>Acceptance</w:t>
            </w:r>
          </w:p>
        </w:tc>
        <w:tc>
          <w:tcPr>
            <w:tcW w:type="dxa" w:w="1020"/>
            <w:shd w:val="clear" w:color="auto" w:fill="E8EDF2"/>
          </w:tcPr>
          <w:p>
            <w:pPr>
              <w:spacing w:after="0"/>
              <w:jc w:val="left"/>
            </w:pPr>
            <w:r>
              <w:rPr>
                <w:rFonts w:ascii="Calibri" w:hAnsi="Calibri"/>
                <w:b/>
                <w:color w:val="1A1A1A"/>
                <w:sz w:val="17"/>
              </w:rPr>
              <w:t>Status</w:t>
            </w:r>
          </w:p>
        </w:tc>
        <w:tc>
          <w:tcPr>
            <w:tcW w:type="dxa" w:w="1928"/>
            <w:shd w:val="clear" w:color="auto" w:fill="E8EDF2"/>
          </w:tcPr>
          <w:p>
            <w:pPr>
              <w:spacing w:after="0"/>
              <w:jc w:val="left"/>
            </w:pPr>
            <w:r>
              <w:rPr>
                <w:rFonts w:ascii="Calibri" w:hAnsi="Calibri"/>
                <w:b/>
                <w:color w:val="1A1A1A"/>
                <w:sz w:val="17"/>
              </w:rPr>
              <w:t>Lands in</w:t>
            </w:r>
          </w:p>
        </w:tc>
      </w:tr>
      <w:tr>
        <w:tc>
          <w:tcPr>
            <w:tcW w:type="dxa" w:w="964"/>
          </w:tcPr>
          <w:p>
            <w:pPr>
              <w:spacing w:after="0" w:line="252" w:lineRule="auto"/>
              <w:jc w:val="left"/>
            </w:pPr>
            <w:r>
              <w:rPr>
                <w:rFonts w:ascii="Calibri" w:hAnsi="Calibri"/>
                <w:color w:val="1A1A1A"/>
                <w:sz w:val="17"/>
              </w:rPr>
              <w:t>FR-P3-01</w:t>
            </w:r>
          </w:p>
        </w:tc>
        <w:tc>
          <w:tcPr>
            <w:tcW w:type="dxa" w:w="3345"/>
          </w:tcPr>
          <w:p>
            <w:pPr>
              <w:spacing w:after="0" w:line="252" w:lineRule="auto"/>
              <w:jc w:val="left"/>
            </w:pPr>
            <w:r>
              <w:rPr>
                <w:rFonts w:ascii="Calibri" w:hAnsi="Calibri"/>
                <w:color w:val="1A1A1A"/>
                <w:sz w:val="17"/>
              </w:rPr>
              <w:t>Maintain partner organizations distinguishable from clients</w:t>
            </w:r>
          </w:p>
        </w:tc>
        <w:tc>
          <w:tcPr>
            <w:tcW w:type="dxa" w:w="3061"/>
          </w:tcPr>
          <w:p>
            <w:pPr>
              <w:spacing w:after="0" w:line="252" w:lineRule="auto"/>
              <w:jc w:val="left"/>
            </w:pPr>
            <w:r>
              <w:rPr>
                <w:rFonts w:ascii="Consolas" w:hAnsi="Consolas"/>
                <w:color w:val="8B2E2E"/>
                <w:sz w:val="17"/>
              </w:rPr>
              <w:t>companyType = 'partner'</w:t>
            </w:r>
            <w:r>
              <w:rPr>
                <w:rFonts w:ascii="Calibri" w:hAnsi="Calibri"/>
                <w:color w:val="1A1A1A"/>
                <w:sz w:val="17"/>
              </w:rPr>
              <w:t xml:space="preserve"> filters the partner list</w:t>
            </w:r>
          </w:p>
        </w:tc>
        <w:tc>
          <w:tcPr>
            <w:tcW w:type="dxa" w:w="1020"/>
          </w:tcPr>
          <w:p>
            <w:pPr>
              <w:spacing w:after="0" w:line="252" w:lineRule="auto"/>
              <w:jc w:val="left"/>
            </w:pPr>
            <w:r>
              <w:rPr>
                <w:rFonts w:ascii="Calibri" w:hAnsi="Calibri"/>
                <w:b/>
                <w:color w:val="1E6B33"/>
                <w:sz w:val="17"/>
              </w:rPr>
              <w:t>EXISTS</w:t>
            </w:r>
          </w:p>
        </w:tc>
        <w:tc>
          <w:tcPr>
            <w:tcW w:type="dxa" w:w="1928"/>
          </w:tcPr>
          <w:p>
            <w:pPr>
              <w:spacing w:after="0" w:line="252" w:lineRule="auto"/>
              <w:jc w:val="left"/>
            </w:pPr>
            <w:r>
              <w:rPr>
                <w:rFonts w:ascii="Calibri" w:hAnsi="Calibri"/>
                <w:color w:val="1F4E79"/>
                <w:sz w:val="17"/>
                <w:u w:val="single"/>
              </w:rPr>
              <w:t>partner.router.ts</w:t>
            </w:r>
          </w:p>
        </w:tc>
      </w:tr>
      <w:tr>
        <w:tc>
          <w:tcPr>
            <w:tcW w:type="dxa" w:w="964"/>
            <w:shd w:val="clear" w:color="auto" w:fill="FAFBFC"/>
          </w:tcPr>
          <w:p>
            <w:pPr>
              <w:spacing w:after="0" w:line="252" w:lineRule="auto"/>
              <w:jc w:val="left"/>
            </w:pPr>
            <w:r>
              <w:rPr>
                <w:rFonts w:ascii="Calibri" w:hAnsi="Calibri"/>
                <w:color w:val="1A1A1A"/>
                <w:sz w:val="17"/>
              </w:rPr>
              <w:t>FR-P3-02</w:t>
            </w:r>
          </w:p>
        </w:tc>
        <w:tc>
          <w:tcPr>
            <w:tcW w:type="dxa" w:w="3345"/>
            <w:shd w:val="clear" w:color="auto" w:fill="FAFBFC"/>
          </w:tcPr>
          <w:p>
            <w:pPr>
              <w:spacing w:after="0" w:line="252" w:lineRule="auto"/>
              <w:jc w:val="left"/>
            </w:pPr>
            <w:r>
              <w:rPr>
                <w:rFonts w:ascii="Calibri" w:hAnsi="Calibri"/>
                <w:color w:val="1A1A1A"/>
                <w:sz w:val="17"/>
              </w:rPr>
              <w:t xml:space="preserve">Hold a partner agreement carrying a </w:t>
            </w:r>
            <w:r>
              <w:rPr>
                <w:rFonts w:ascii="Calibri" w:hAnsi="Calibri"/>
                <w:b/>
                <w:color w:val="1A1A1A"/>
                <w:sz w:val="17"/>
              </w:rPr>
              <w:t>fee basis that may be nil</w:t>
            </w:r>
            <w:r>
              <w:rPr>
                <w:rFonts w:ascii="Calibri" w:hAnsi="Calibri"/>
                <w:color w:val="1A1A1A"/>
                <w:sz w:val="17"/>
              </w:rPr>
              <w:t>, with effective and expiry dates</w:t>
            </w:r>
          </w:p>
        </w:tc>
        <w:tc>
          <w:tcPr>
            <w:tcW w:type="dxa" w:w="3061"/>
            <w:shd w:val="clear" w:color="auto" w:fill="FAFBFC"/>
          </w:tcPr>
          <w:p>
            <w:pPr>
              <w:spacing w:after="0" w:line="252" w:lineRule="auto"/>
              <w:jc w:val="left"/>
            </w:pPr>
            <w:r>
              <w:rPr>
                <w:rFonts w:ascii="Calibri" w:hAnsi="Calibri"/>
                <w:color w:val="1A1A1A"/>
                <w:sz w:val="17"/>
              </w:rPr>
              <w:t>Some partners are paid a percentage, some are reciprocal and paid nothing. The agreement records which, so "do we owe this partner anything" is answerable without asking someone</w:t>
            </w:r>
          </w:p>
        </w:tc>
        <w:tc>
          <w:tcPr>
            <w:tcW w:type="dxa" w:w="1020"/>
            <w:shd w:val="clear" w:color="auto" w:fill="FAFBFC"/>
          </w:tcPr>
          <w:p>
            <w:pPr>
              <w:spacing w:after="0" w:line="252" w:lineRule="auto"/>
              <w:jc w:val="left"/>
            </w:pPr>
            <w:r>
              <w:rPr>
                <w:rFonts w:ascii="Calibri" w:hAnsi="Calibri"/>
                <w:b/>
                <w:color w:val="1F4E79"/>
                <w:sz w:val="17"/>
              </w:rPr>
              <w:t>NEW</w:t>
            </w:r>
            <w:r>
              <w:rPr>
                <w:rFonts w:ascii="Calibri" w:hAnsi="Calibri"/>
                <w:color w:val="1F4E79"/>
                <w:sz w:val="17"/>
              </w:rPr>
              <w:t xml:space="preserve"> — reviewed 25 Aug: mixed model, fee basis optional</w:t>
            </w:r>
          </w:p>
        </w:tc>
        <w:tc>
          <w:tcPr>
            <w:tcW w:type="dxa" w:w="1928"/>
            <w:shd w:val="clear" w:color="auto" w:fill="FAFBFC"/>
          </w:tcPr>
          <w:p>
            <w:pPr>
              <w:spacing w:after="0" w:line="252" w:lineRule="auto"/>
              <w:jc w:val="left"/>
            </w:pPr>
            <w:r>
              <w:rPr>
                <w:rFonts w:ascii="Calibri" w:hAnsi="Calibri"/>
                <w:color w:val="1A1A1A"/>
                <w:sz w:val="17"/>
              </w:rPr>
              <w:t xml:space="preserve">New </w:t>
            </w:r>
            <w:r>
              <w:rPr>
                <w:rFonts w:ascii="Consolas" w:hAnsi="Consolas"/>
                <w:color w:val="8B2E2E"/>
                <w:sz w:val="17"/>
              </w:rPr>
              <w:t>partner_agreements</w:t>
            </w:r>
            <w:r>
              <w:rPr>
                <w:rFonts w:ascii="Calibri" w:hAnsi="Calibri"/>
                <w:color w:val="1A1A1A"/>
                <w:sz w:val="17"/>
              </w:rPr>
              <w:t xml:space="preserve"> table</w:t>
            </w:r>
          </w:p>
        </w:tc>
      </w:tr>
      <w:tr>
        <w:tc>
          <w:tcPr>
            <w:tcW w:type="dxa" w:w="964"/>
          </w:tcPr>
          <w:p>
            <w:pPr>
              <w:spacing w:after="0" w:line="252" w:lineRule="auto"/>
              <w:jc w:val="left"/>
            </w:pPr>
            <w:r>
              <w:rPr>
                <w:rFonts w:ascii="Calibri" w:hAnsi="Calibri"/>
                <w:color w:val="1A1A1A"/>
                <w:sz w:val="17"/>
              </w:rPr>
              <w:t>FR-P3-03</w:t>
            </w:r>
          </w:p>
        </w:tc>
        <w:tc>
          <w:tcPr>
            <w:tcW w:type="dxa" w:w="3345"/>
          </w:tcPr>
          <w:p>
            <w:pPr>
              <w:spacing w:after="0" w:line="252" w:lineRule="auto"/>
              <w:jc w:val="left"/>
            </w:pPr>
            <w:r>
              <w:rPr>
                <w:rFonts w:ascii="Calibri" w:hAnsi="Calibri"/>
                <w:color w:val="1A1A1A"/>
                <w:sz w:val="17"/>
              </w:rPr>
              <w:t>Assign partners to tiers, with tier movement driven by measured contribution</w:t>
            </w:r>
          </w:p>
        </w:tc>
        <w:tc>
          <w:tcPr>
            <w:tcW w:type="dxa" w:w="3061"/>
          </w:tcPr>
          <w:p>
            <w:pPr>
              <w:spacing w:after="0" w:line="252" w:lineRule="auto"/>
              <w:jc w:val="left"/>
            </w:pPr>
            <w:r>
              <w:rPr>
                <w:rFonts w:ascii="Calibri" w:hAnsi="Calibri"/>
                <w:color w:val="1A1A1A"/>
                <w:sz w:val="17"/>
              </w:rPr>
              <w:t>Tier is stored, its criteria are stated, and movement is recorded with a date and reason</w:t>
            </w:r>
          </w:p>
        </w:tc>
        <w:tc>
          <w:tcPr>
            <w:tcW w:type="dxa" w:w="1020"/>
          </w:tcPr>
          <w:p>
            <w:pPr>
              <w:spacing w:after="0" w:line="252" w:lineRule="auto"/>
              <w:jc w:val="left"/>
            </w:pPr>
            <w:r>
              <w:rPr>
                <w:rFonts w:ascii="Calibri" w:hAnsi="Calibri"/>
                <w:b/>
                <w:color w:val="1F4E79"/>
                <w:sz w:val="17"/>
              </w:rPr>
              <w:t>NEW</w:t>
            </w:r>
            <w:r>
              <w:rPr>
                <w:rFonts w:ascii="Calibri" w:hAnsi="Calibri"/>
                <w:color w:val="1F4E79"/>
                <w:sz w:val="17"/>
              </w:rPr>
              <w:t xml:space="preserve"> — </w:t>
            </w:r>
            <w:r>
              <w:rPr>
                <w:rFonts w:ascii="Calibri" w:hAnsi="Calibri"/>
                <w:i/>
                <w:color w:val="1F4E79"/>
                <w:sz w:val="17"/>
              </w:rPr>
              <w:t>thin justification after the 25 Aug simplifications; see the note below this table</w:t>
            </w:r>
          </w:p>
        </w:tc>
        <w:tc>
          <w:tcPr>
            <w:tcW w:type="dxa" w:w="1928"/>
          </w:tcPr>
          <w:p>
            <w:pPr>
              <w:spacing w:after="0" w:line="252" w:lineRule="auto"/>
              <w:jc w:val="left"/>
            </w:pPr>
            <w:r>
              <w:rPr>
                <w:rFonts w:ascii="Calibri" w:hAnsi="Calibri"/>
                <w:color w:val="1A1A1A"/>
                <w:sz w:val="17"/>
              </w:rPr>
              <w:t xml:space="preserve">New </w:t>
            </w:r>
            <w:r>
              <w:rPr>
                <w:rFonts w:ascii="Consolas" w:hAnsi="Consolas"/>
                <w:color w:val="8B2E2E"/>
                <w:sz w:val="17"/>
              </w:rPr>
              <w:t>partner_tiers</w:t>
            </w:r>
          </w:p>
        </w:tc>
      </w:tr>
      <w:tr>
        <w:tc>
          <w:tcPr>
            <w:tcW w:type="dxa" w:w="964"/>
            <w:shd w:val="clear" w:color="auto" w:fill="FAFBFC"/>
          </w:tcPr>
          <w:p>
            <w:pPr>
              <w:spacing w:after="0" w:line="252" w:lineRule="auto"/>
              <w:jc w:val="left"/>
            </w:pPr>
            <w:r>
              <w:rPr>
                <w:rFonts w:ascii="Calibri" w:hAnsi="Calibri"/>
                <w:color w:val="1A1A1A"/>
                <w:sz w:val="17"/>
              </w:rPr>
              <w:t>FR-P3-04</w:t>
            </w:r>
          </w:p>
        </w:tc>
        <w:tc>
          <w:tcPr>
            <w:tcW w:type="dxa" w:w="3345"/>
            <w:shd w:val="clear" w:color="auto" w:fill="FAFBFC"/>
          </w:tcPr>
          <w:p>
            <w:pPr>
              <w:spacing w:after="0" w:line="252" w:lineRule="auto"/>
              <w:jc w:val="left"/>
            </w:pPr>
            <w:r>
              <w:rPr>
                <w:rFonts w:ascii="Calibri" w:hAnsi="Calibri"/>
                <w:color w:val="1A1A1A"/>
                <w:sz w:val="17"/>
              </w:rPr>
              <w:t>Record partner coverage by service line and geography</w:t>
            </w:r>
          </w:p>
        </w:tc>
        <w:tc>
          <w:tcPr>
            <w:tcW w:type="dxa" w:w="3061"/>
            <w:shd w:val="clear" w:color="auto" w:fill="FAFBFC"/>
          </w:tcPr>
          <w:p>
            <w:pPr>
              <w:spacing w:after="0" w:line="252" w:lineRule="auto"/>
              <w:jc w:val="left"/>
            </w:pPr>
            <w:r>
              <w:rPr>
                <w:rFonts w:ascii="Calibri" w:hAnsi="Calibri"/>
                <w:color w:val="1A1A1A"/>
                <w:sz w:val="17"/>
              </w:rPr>
              <w:t>Coverage is stored and used to filter which partners suit an opportunity</w:t>
            </w:r>
          </w:p>
        </w:tc>
        <w:tc>
          <w:tcPr>
            <w:tcW w:type="dxa" w:w="1020"/>
            <w:shd w:val="clear" w:color="auto" w:fill="FAFBFC"/>
          </w:tcPr>
          <w:p>
            <w:pPr>
              <w:spacing w:after="0" w:line="252" w:lineRule="auto"/>
              <w:jc w:val="left"/>
            </w:pPr>
            <w:r>
              <w:rPr>
                <w:rFonts w:ascii="Calibri" w:hAnsi="Calibri"/>
                <w:b/>
                <w:color w:val="1F4E79"/>
                <w:sz w:val="17"/>
              </w:rPr>
              <w:t>NEW</w:t>
            </w:r>
            <w:r>
              <w:rPr>
                <w:rFonts w:ascii="Calibri" w:hAnsi="Calibri"/>
                <w:color w:val="1F4E79"/>
                <w:sz w:val="17"/>
              </w:rPr>
              <w:t xml:space="preserve"> — </w:t>
            </w:r>
            <w:r>
              <w:rPr>
                <w:rFonts w:ascii="Calibri" w:hAnsi="Calibri"/>
                <w:i/>
                <w:color w:val="1F4E79"/>
                <w:sz w:val="17"/>
              </w:rPr>
              <w:t>thin justification after the 25 Aug simplifications; see the note below this table</w:t>
            </w:r>
          </w:p>
        </w:tc>
        <w:tc>
          <w:tcPr>
            <w:tcW w:type="dxa" w:w="1928"/>
            <w:shd w:val="clear" w:color="auto" w:fill="FAFBFC"/>
          </w:tcPr>
          <w:p>
            <w:pPr>
              <w:spacing w:after="0" w:line="252" w:lineRule="auto"/>
              <w:jc w:val="left"/>
            </w:pPr>
            <w:r>
              <w:rPr>
                <w:rFonts w:ascii="Consolas" w:hAnsi="Consolas"/>
                <w:color w:val="8B2E2E"/>
                <w:sz w:val="17"/>
              </w:rPr>
              <w:t>partner_agreements</w:t>
            </w:r>
          </w:p>
        </w:tc>
      </w:tr>
    </w:tbl>
    <w:p>
      <w:pPr>
        <w:spacing w:after="80"/>
      </w:pPr>
    </w:p>
    <w:p>
      <w:pPr>
        <w:pStyle w:val="Heading3"/>
      </w:pPr>
      <w:r>
        <w:t>Attribution</w:t>
      </w:r>
    </w:p>
    <w:p>
      <w:pPr>
        <w:spacing w:before="120" w:after="160"/>
        <w:ind w:left="198"/>
        <w:pBdr>
          <w:left w:val="single" w:sz="18" w:space="8" w:color="B08D57"/>
        </w:pBdr>
        <w:shd w:val="clear" w:color="auto" w:fill="F4F1E8"/>
      </w:pPr>
      <w:r>
        <w:rPr>
          <w:rFonts w:ascii="Calibri" w:hAnsi="Calibri"/>
          <w:b/>
          <w:color w:val="1A1A1A"/>
          <w:sz w:val="19"/>
        </w:rPr>
        <w:t>REVIEW DECISION, 25 Aug 2026 (closes Q-2)</w:t>
      </w:r>
      <w:r>
        <w:rPr>
          <w:rFonts w:ascii="Calibri" w:hAnsi="Calibri"/>
          <w:color w:val="1A1A1A"/>
          <w:sz w:val="19"/>
        </w:rPr>
        <w:t xml:space="preserve">  Formal referral registration is cut. Partners introduce clients informally and attribution is recorded when it becomes known, as today. A deal carries </w:t>
      </w:r>
      <w:r>
        <w:rPr>
          <w:rFonts w:ascii="Calibri" w:hAnsi="Calibri"/>
          <w:b/>
          <w:color w:val="1A1A1A"/>
          <w:sz w:val="19"/>
        </w:rPr>
        <w:t>one partner or none</w:t>
      </w:r>
      <w:r>
        <w:rPr>
          <w:rFonts w:ascii="Calibri" w:hAnsi="Calibri"/>
          <w:color w:val="1A1A1A"/>
          <w:sz w:val="19"/>
        </w:rPr>
        <w:t xml:space="preserve"> — no credit types, no splits, no attribution window, no expiry. This removes FR-P3-05 to FR-P3-09. If contested claims ever become common, revisit; nothing here forecloses adding them.</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064"/>
        <w:gridCol w:w="2064"/>
        <w:gridCol w:w="2064"/>
        <w:gridCol w:w="2064"/>
        <w:gridCol w:w="2064"/>
      </w:tblGrid>
      <w:tr>
        <w:trPr>
          <w:tblHeader w:val="true"/>
        </w:trPr>
        <w:tc>
          <w:tcPr>
            <w:tcW w:type="dxa" w:w="964"/>
            <w:shd w:val="clear" w:color="auto" w:fill="E8EDF2"/>
          </w:tcPr>
          <w:p>
            <w:pPr>
              <w:spacing w:after="0"/>
              <w:jc w:val="left"/>
            </w:pPr>
            <w:r>
              <w:rPr>
                <w:rFonts w:ascii="Calibri" w:hAnsi="Calibri"/>
                <w:b/>
                <w:color w:val="1A1A1A"/>
                <w:sz w:val="17"/>
              </w:rPr>
              <w:t>ID</w:t>
            </w:r>
          </w:p>
        </w:tc>
        <w:tc>
          <w:tcPr>
            <w:tcW w:type="dxa" w:w="3345"/>
            <w:shd w:val="clear" w:color="auto" w:fill="E8EDF2"/>
          </w:tcPr>
          <w:p>
            <w:pPr>
              <w:spacing w:after="0"/>
              <w:jc w:val="left"/>
            </w:pPr>
            <w:r>
              <w:rPr>
                <w:rFonts w:ascii="Calibri" w:hAnsi="Calibri"/>
                <w:b/>
                <w:color w:val="1A1A1A"/>
                <w:sz w:val="17"/>
              </w:rPr>
              <w:t>Requirement</w:t>
            </w:r>
          </w:p>
        </w:tc>
        <w:tc>
          <w:tcPr>
            <w:tcW w:type="dxa" w:w="3061"/>
            <w:shd w:val="clear" w:color="auto" w:fill="E8EDF2"/>
          </w:tcPr>
          <w:p>
            <w:pPr>
              <w:spacing w:after="0"/>
              <w:jc w:val="left"/>
            </w:pPr>
            <w:r>
              <w:rPr>
                <w:rFonts w:ascii="Calibri" w:hAnsi="Calibri"/>
                <w:b/>
                <w:color w:val="1A1A1A"/>
                <w:sz w:val="17"/>
              </w:rPr>
              <w:t>Acceptance</w:t>
            </w:r>
          </w:p>
        </w:tc>
        <w:tc>
          <w:tcPr>
            <w:tcW w:type="dxa" w:w="1020"/>
            <w:shd w:val="clear" w:color="auto" w:fill="E8EDF2"/>
          </w:tcPr>
          <w:p>
            <w:pPr>
              <w:spacing w:after="0"/>
              <w:jc w:val="left"/>
            </w:pPr>
            <w:r>
              <w:rPr>
                <w:rFonts w:ascii="Calibri" w:hAnsi="Calibri"/>
                <w:b/>
                <w:color w:val="1A1A1A"/>
                <w:sz w:val="17"/>
              </w:rPr>
              <w:t>Status</w:t>
            </w:r>
          </w:p>
        </w:tc>
        <w:tc>
          <w:tcPr>
            <w:tcW w:type="dxa" w:w="1928"/>
            <w:shd w:val="clear" w:color="auto" w:fill="E8EDF2"/>
          </w:tcPr>
          <w:p>
            <w:pPr>
              <w:spacing w:after="0"/>
              <w:jc w:val="left"/>
            </w:pPr>
            <w:r>
              <w:rPr>
                <w:rFonts w:ascii="Calibri" w:hAnsi="Calibri"/>
                <w:b/>
                <w:color w:val="1A1A1A"/>
                <w:sz w:val="17"/>
              </w:rPr>
              <w:t>Lands in</w:t>
            </w:r>
          </w:p>
        </w:tc>
      </w:tr>
      <w:tr>
        <w:tc>
          <w:tcPr>
            <w:tcW w:type="dxa" w:w="964"/>
          </w:tcPr>
          <w:p>
            <w:pPr>
              <w:spacing w:after="0" w:line="252" w:lineRule="auto"/>
              <w:jc w:val="left"/>
            </w:pPr>
            <w:r>
              <w:rPr>
                <w:rFonts w:ascii="Calibri" w:hAnsi="Calibri"/>
                <w:color w:val="1A1A1A"/>
                <w:sz w:val="17"/>
              </w:rPr>
              <w:t>~~FR-P3-05~~</w:t>
            </w:r>
          </w:p>
        </w:tc>
        <w:tc>
          <w:tcPr>
            <w:tcW w:type="dxa" w:w="3345"/>
          </w:tcPr>
          <w:p>
            <w:pPr>
              <w:spacing w:after="0" w:line="252" w:lineRule="auto"/>
              <w:jc w:val="left"/>
            </w:pPr>
            <w:r>
              <w:rPr>
                <w:rFonts w:ascii="Calibri" w:hAnsi="Calibri"/>
                <w:color w:val="1A1A1A"/>
                <w:sz w:val="17"/>
              </w:rPr>
              <w:t>~~Register a referral before the opportunity closes, with an attribution window~~</w:t>
            </w:r>
          </w:p>
        </w:tc>
        <w:tc>
          <w:tcPr>
            <w:tcW w:type="dxa" w:w="3061"/>
          </w:tcPr>
          <w:p>
            <w:pPr>
              <w:spacing w:after="0" w:line="252" w:lineRule="auto"/>
              <w:jc w:val="left"/>
            </w:pPr>
            <w:r>
              <w:rPr>
                <w:rFonts w:ascii="Calibri" w:hAnsi="Calibri"/>
                <w:color w:val="1A1A1A"/>
                <w:sz w:val="17"/>
              </w:rPr>
              <w:t>—</w:t>
            </w:r>
          </w:p>
        </w:tc>
        <w:tc>
          <w:tcPr>
            <w:tcW w:type="dxa" w:w="1020"/>
          </w:tcPr>
          <w:p>
            <w:pPr>
              <w:spacing w:after="0" w:line="252" w:lineRule="auto"/>
              <w:jc w:val="left"/>
            </w:pPr>
            <w:r>
              <w:rPr>
                <w:rFonts w:ascii="Calibri" w:hAnsi="Calibri"/>
                <w:b/>
                <w:color w:val="1A1A1A"/>
                <w:sz w:val="17"/>
              </w:rPr>
              <w:t>WITHDRAWN</w:t>
            </w:r>
            <w:r>
              <w:rPr>
                <w:rFonts w:ascii="Calibri" w:hAnsi="Calibri"/>
                <w:color w:val="1A1A1A"/>
                <w:sz w:val="17"/>
              </w:rPr>
              <w:t xml:space="preserve"> 25 Aug — too formal for how partners actually approach the business</w:t>
            </w:r>
          </w:p>
        </w:tc>
        <w:tc>
          <w:tcPr>
            <w:tcW w:type="dxa" w:w="1928"/>
          </w:tcPr>
          <w:p>
            <w:pPr>
              <w:spacing w:after="0" w:line="252" w:lineRule="auto"/>
              <w:jc w:val="left"/>
            </w:pPr>
            <w:r>
              <w:rPr>
                <w:rFonts w:ascii="Calibri" w:hAnsi="Calibri"/>
                <w:color w:val="1A1A1A"/>
                <w:sz w:val="17"/>
              </w:rPr>
              <w:t>—</w:t>
            </w:r>
          </w:p>
        </w:tc>
      </w:tr>
      <w:tr>
        <w:tc>
          <w:tcPr>
            <w:tcW w:type="dxa" w:w="964"/>
            <w:shd w:val="clear" w:color="auto" w:fill="FAFBFC"/>
          </w:tcPr>
          <w:p>
            <w:pPr>
              <w:spacing w:after="0" w:line="252" w:lineRule="auto"/>
              <w:jc w:val="left"/>
            </w:pPr>
            <w:r>
              <w:rPr>
                <w:rFonts w:ascii="Calibri" w:hAnsi="Calibri"/>
                <w:color w:val="1A1A1A"/>
                <w:sz w:val="17"/>
              </w:rPr>
              <w:t>~~FR-P3-06~~</w:t>
            </w:r>
          </w:p>
        </w:tc>
        <w:tc>
          <w:tcPr>
            <w:tcW w:type="dxa" w:w="3345"/>
            <w:shd w:val="clear" w:color="auto" w:fill="FAFBFC"/>
          </w:tcPr>
          <w:p>
            <w:pPr>
              <w:spacing w:after="0" w:line="252" w:lineRule="auto"/>
              <w:jc w:val="left"/>
            </w:pPr>
            <w:r>
              <w:rPr>
                <w:rFonts w:ascii="Calibri" w:hAnsi="Calibri"/>
                <w:color w:val="1A1A1A"/>
                <w:sz w:val="17"/>
              </w:rPr>
              <w:t>~~Detect and handle conflict between a new referral and existing pipeline~~</w:t>
            </w:r>
          </w:p>
        </w:tc>
        <w:tc>
          <w:tcPr>
            <w:tcW w:type="dxa" w:w="3061"/>
            <w:shd w:val="clear" w:color="auto" w:fill="FAFBFC"/>
          </w:tcPr>
          <w:p>
            <w:pPr>
              <w:spacing w:after="0" w:line="252" w:lineRule="auto"/>
              <w:jc w:val="left"/>
            </w:pPr>
            <w:r>
              <w:rPr>
                <w:rFonts w:ascii="Calibri" w:hAnsi="Calibri"/>
                <w:color w:val="1A1A1A"/>
                <w:sz w:val="17"/>
              </w:rPr>
              <w:t>—</w:t>
            </w:r>
          </w:p>
        </w:tc>
        <w:tc>
          <w:tcPr>
            <w:tcW w:type="dxa" w:w="1020"/>
            <w:shd w:val="clear" w:color="auto" w:fill="FAFBFC"/>
          </w:tcPr>
          <w:p>
            <w:pPr>
              <w:spacing w:after="0" w:line="252" w:lineRule="auto"/>
              <w:jc w:val="left"/>
            </w:pPr>
            <w:r>
              <w:rPr>
                <w:rFonts w:ascii="Calibri" w:hAnsi="Calibri"/>
                <w:b/>
                <w:color w:val="1A1A1A"/>
                <w:sz w:val="17"/>
              </w:rPr>
              <w:t>WITHDRAWN</w:t>
            </w:r>
            <w:r>
              <w:rPr>
                <w:rFonts w:ascii="Calibri" w:hAnsi="Calibri"/>
                <w:color w:val="1A1A1A"/>
                <w:sz w:val="17"/>
              </w:rPr>
              <w:t xml:space="preserve"> 25 Aug — no registration, so no conflict to detect</w:t>
            </w:r>
          </w:p>
        </w:tc>
        <w:tc>
          <w:tcPr>
            <w:tcW w:type="dxa" w:w="1928"/>
            <w:shd w:val="clear" w:color="auto" w:fill="FAFBFC"/>
          </w:tcPr>
          <w:p>
            <w:pPr>
              <w:spacing w:after="0" w:line="252" w:lineRule="auto"/>
              <w:jc w:val="left"/>
            </w:pPr>
            <w:r>
              <w:rPr>
                <w:rFonts w:ascii="Calibri" w:hAnsi="Calibri"/>
                <w:color w:val="1A1A1A"/>
                <w:sz w:val="17"/>
              </w:rPr>
              <w:t>—</w:t>
            </w:r>
          </w:p>
        </w:tc>
      </w:tr>
      <w:tr>
        <w:tc>
          <w:tcPr>
            <w:tcW w:type="dxa" w:w="964"/>
          </w:tcPr>
          <w:p>
            <w:pPr>
              <w:spacing w:after="0" w:line="252" w:lineRule="auto"/>
              <w:jc w:val="left"/>
            </w:pPr>
            <w:r>
              <w:rPr>
                <w:rFonts w:ascii="Calibri" w:hAnsi="Calibri"/>
                <w:color w:val="1A1A1A"/>
                <w:sz w:val="17"/>
              </w:rPr>
              <w:t>~~FR-P3-07~~</w:t>
            </w:r>
          </w:p>
        </w:tc>
        <w:tc>
          <w:tcPr>
            <w:tcW w:type="dxa" w:w="3345"/>
          </w:tcPr>
          <w:p>
            <w:pPr>
              <w:spacing w:after="0" w:line="252" w:lineRule="auto"/>
              <w:jc w:val="left"/>
            </w:pPr>
            <w:r>
              <w:rPr>
                <w:rFonts w:ascii="Calibri" w:hAnsi="Calibri"/>
                <w:color w:val="1A1A1A"/>
                <w:sz w:val="17"/>
              </w:rPr>
              <w:t>~~Distinguish sourced, influenced and co-sold credit~~</w:t>
            </w:r>
          </w:p>
        </w:tc>
        <w:tc>
          <w:tcPr>
            <w:tcW w:type="dxa" w:w="3061"/>
          </w:tcPr>
          <w:p>
            <w:pPr>
              <w:spacing w:after="0" w:line="252" w:lineRule="auto"/>
              <w:jc w:val="left"/>
            </w:pPr>
            <w:r>
              <w:rPr>
                <w:rFonts w:ascii="Calibri" w:hAnsi="Calibri"/>
                <w:color w:val="1A1A1A"/>
                <w:sz w:val="17"/>
              </w:rPr>
              <w:t>—</w:t>
            </w:r>
          </w:p>
        </w:tc>
        <w:tc>
          <w:tcPr>
            <w:tcW w:type="dxa" w:w="1020"/>
          </w:tcPr>
          <w:p>
            <w:pPr>
              <w:spacing w:after="0" w:line="252" w:lineRule="auto"/>
              <w:jc w:val="left"/>
            </w:pPr>
            <w:r>
              <w:rPr>
                <w:rFonts w:ascii="Calibri" w:hAnsi="Calibri"/>
                <w:b/>
                <w:color w:val="1A1A1A"/>
                <w:sz w:val="17"/>
              </w:rPr>
              <w:t>WITHDRAWN</w:t>
            </w:r>
            <w:r>
              <w:rPr>
                <w:rFonts w:ascii="Calibri" w:hAnsi="Calibri"/>
                <w:color w:val="1A1A1A"/>
                <w:sz w:val="17"/>
              </w:rPr>
              <w:t xml:space="preserve"> 25 Aug — a single credit type is sufficient</w:t>
            </w:r>
          </w:p>
        </w:tc>
        <w:tc>
          <w:tcPr>
            <w:tcW w:type="dxa" w:w="1928"/>
          </w:tcPr>
          <w:p>
            <w:pPr>
              <w:spacing w:after="0" w:line="252" w:lineRule="auto"/>
              <w:jc w:val="left"/>
            </w:pPr>
            <w:r>
              <w:rPr>
                <w:rFonts w:ascii="Calibri" w:hAnsi="Calibri"/>
                <w:color w:val="1A1A1A"/>
                <w:sz w:val="17"/>
              </w:rPr>
              <w:t>—</w:t>
            </w:r>
          </w:p>
        </w:tc>
      </w:tr>
      <w:tr>
        <w:tc>
          <w:tcPr>
            <w:tcW w:type="dxa" w:w="964"/>
            <w:shd w:val="clear" w:color="auto" w:fill="FAFBFC"/>
          </w:tcPr>
          <w:p>
            <w:pPr>
              <w:spacing w:after="0" w:line="252" w:lineRule="auto"/>
              <w:jc w:val="left"/>
            </w:pPr>
            <w:r>
              <w:rPr>
                <w:rFonts w:ascii="Calibri" w:hAnsi="Calibri"/>
                <w:color w:val="1A1A1A"/>
                <w:sz w:val="17"/>
              </w:rPr>
              <w:t>~~FR-P3-08~~</w:t>
            </w:r>
          </w:p>
        </w:tc>
        <w:tc>
          <w:tcPr>
            <w:tcW w:type="dxa" w:w="3345"/>
            <w:shd w:val="clear" w:color="auto" w:fill="FAFBFC"/>
          </w:tcPr>
          <w:p>
            <w:pPr>
              <w:spacing w:after="0" w:line="252" w:lineRule="auto"/>
              <w:jc w:val="left"/>
            </w:pPr>
            <w:r>
              <w:rPr>
                <w:rFonts w:ascii="Calibri" w:hAnsi="Calibri"/>
                <w:color w:val="1A1A1A"/>
                <w:sz w:val="17"/>
              </w:rPr>
              <w:t>~~Apply a shared-credit rule when more than one partner claims an opportunity~~</w:t>
            </w:r>
          </w:p>
        </w:tc>
        <w:tc>
          <w:tcPr>
            <w:tcW w:type="dxa" w:w="3061"/>
            <w:shd w:val="clear" w:color="auto" w:fill="FAFBFC"/>
          </w:tcPr>
          <w:p>
            <w:pPr>
              <w:spacing w:after="0" w:line="252" w:lineRule="auto"/>
              <w:jc w:val="left"/>
            </w:pPr>
            <w:r>
              <w:rPr>
                <w:rFonts w:ascii="Calibri" w:hAnsi="Calibri"/>
                <w:color w:val="1A1A1A"/>
                <w:sz w:val="17"/>
              </w:rPr>
              <w:t>—</w:t>
            </w:r>
          </w:p>
        </w:tc>
        <w:tc>
          <w:tcPr>
            <w:tcW w:type="dxa" w:w="1020"/>
            <w:shd w:val="clear" w:color="auto" w:fill="FAFBFC"/>
          </w:tcPr>
          <w:p>
            <w:pPr>
              <w:spacing w:after="0" w:line="252" w:lineRule="auto"/>
              <w:jc w:val="left"/>
            </w:pPr>
            <w:r>
              <w:rPr>
                <w:rFonts w:ascii="Calibri" w:hAnsi="Calibri"/>
                <w:b/>
                <w:color w:val="1A1A1A"/>
                <w:sz w:val="17"/>
              </w:rPr>
              <w:t>WITHDRAWN</w:t>
            </w:r>
            <w:r>
              <w:rPr>
                <w:rFonts w:ascii="Calibri" w:hAnsi="Calibri"/>
                <w:color w:val="1A1A1A"/>
                <w:sz w:val="17"/>
              </w:rPr>
              <w:t xml:space="preserve"> 25 Aug — partners rarely overlap; no splits</w:t>
            </w:r>
          </w:p>
        </w:tc>
        <w:tc>
          <w:tcPr>
            <w:tcW w:type="dxa" w:w="1928"/>
            <w:shd w:val="clear" w:color="auto" w:fill="FAFBFC"/>
          </w:tcPr>
          <w:p>
            <w:pPr>
              <w:spacing w:after="0" w:line="252" w:lineRule="auto"/>
              <w:jc w:val="left"/>
            </w:pPr>
            <w:r>
              <w:rPr>
                <w:rFonts w:ascii="Calibri" w:hAnsi="Calibri"/>
                <w:color w:val="1A1A1A"/>
                <w:sz w:val="17"/>
              </w:rPr>
              <w:t>—</w:t>
            </w:r>
          </w:p>
        </w:tc>
      </w:tr>
      <w:tr>
        <w:tc>
          <w:tcPr>
            <w:tcW w:type="dxa" w:w="964"/>
          </w:tcPr>
          <w:p>
            <w:pPr>
              <w:spacing w:after="0" w:line="252" w:lineRule="auto"/>
              <w:jc w:val="left"/>
            </w:pPr>
            <w:r>
              <w:rPr>
                <w:rFonts w:ascii="Calibri" w:hAnsi="Calibri"/>
                <w:color w:val="1A1A1A"/>
                <w:sz w:val="17"/>
              </w:rPr>
              <w:t>~~FR-P3-09~~</w:t>
            </w:r>
          </w:p>
        </w:tc>
        <w:tc>
          <w:tcPr>
            <w:tcW w:type="dxa" w:w="3345"/>
          </w:tcPr>
          <w:p>
            <w:pPr>
              <w:spacing w:after="0" w:line="252" w:lineRule="auto"/>
              <w:jc w:val="left"/>
            </w:pPr>
            <w:r>
              <w:rPr>
                <w:rFonts w:ascii="Calibri" w:hAnsi="Calibri"/>
                <w:color w:val="1A1A1A"/>
                <w:sz w:val="17"/>
              </w:rPr>
              <w:t>~~Expire attribution automatically when the window lapses~~</w:t>
            </w:r>
          </w:p>
        </w:tc>
        <w:tc>
          <w:tcPr>
            <w:tcW w:type="dxa" w:w="3061"/>
          </w:tcPr>
          <w:p>
            <w:pPr>
              <w:spacing w:after="0" w:line="252" w:lineRule="auto"/>
              <w:jc w:val="left"/>
            </w:pPr>
            <w:r>
              <w:rPr>
                <w:rFonts w:ascii="Calibri" w:hAnsi="Calibri"/>
                <w:color w:val="1A1A1A"/>
                <w:sz w:val="17"/>
              </w:rPr>
              <w:t>—</w:t>
            </w:r>
          </w:p>
        </w:tc>
        <w:tc>
          <w:tcPr>
            <w:tcW w:type="dxa" w:w="1020"/>
          </w:tcPr>
          <w:p>
            <w:pPr>
              <w:spacing w:after="0" w:line="252" w:lineRule="auto"/>
              <w:jc w:val="left"/>
            </w:pPr>
            <w:r>
              <w:rPr>
                <w:rFonts w:ascii="Calibri" w:hAnsi="Calibri"/>
                <w:b/>
                <w:color w:val="1A1A1A"/>
                <w:sz w:val="17"/>
              </w:rPr>
              <w:t>WITHDRAWN</w:t>
            </w:r>
            <w:r>
              <w:rPr>
                <w:rFonts w:ascii="Calibri" w:hAnsi="Calibri"/>
                <w:color w:val="1A1A1A"/>
                <w:sz w:val="17"/>
              </w:rPr>
              <w:t xml:space="preserve"> 25 Aug — no window to expire</w:t>
            </w:r>
          </w:p>
        </w:tc>
        <w:tc>
          <w:tcPr>
            <w:tcW w:type="dxa" w:w="1928"/>
          </w:tcPr>
          <w:p>
            <w:pPr>
              <w:spacing w:after="0" w:line="252" w:lineRule="auto"/>
              <w:jc w:val="left"/>
            </w:pPr>
            <w:r>
              <w:rPr>
                <w:rFonts w:ascii="Calibri" w:hAnsi="Calibri"/>
                <w:color w:val="1A1A1A"/>
                <w:sz w:val="17"/>
              </w:rPr>
              <w:t>—</w:t>
            </w:r>
          </w:p>
        </w:tc>
      </w:tr>
      <w:tr>
        <w:tc>
          <w:tcPr>
            <w:tcW w:type="dxa" w:w="964"/>
            <w:shd w:val="clear" w:color="auto" w:fill="FAFBFC"/>
          </w:tcPr>
          <w:p>
            <w:pPr>
              <w:spacing w:after="0" w:line="252" w:lineRule="auto"/>
              <w:jc w:val="left"/>
            </w:pPr>
            <w:r>
              <w:rPr>
                <w:rFonts w:ascii="Calibri" w:hAnsi="Calibri"/>
                <w:color w:val="1A1A1A"/>
                <w:sz w:val="17"/>
              </w:rPr>
              <w:t>FR-P3-16</w:t>
            </w:r>
          </w:p>
        </w:tc>
        <w:tc>
          <w:tcPr>
            <w:tcW w:type="dxa" w:w="3345"/>
            <w:shd w:val="clear" w:color="auto" w:fill="FAFBFC"/>
          </w:tcPr>
          <w:p>
            <w:pPr>
              <w:spacing w:after="0" w:line="252" w:lineRule="auto"/>
              <w:jc w:val="left"/>
            </w:pPr>
            <w:r>
              <w:rPr>
                <w:rFonts w:ascii="Calibri" w:hAnsi="Calibri"/>
                <w:color w:val="1A1A1A"/>
                <w:sz w:val="17"/>
              </w:rPr>
              <w:t>Resolve the two competing partner foreign keys on an opportunity into one</w:t>
            </w:r>
          </w:p>
        </w:tc>
        <w:tc>
          <w:tcPr>
            <w:tcW w:type="dxa" w:w="3061"/>
            <w:shd w:val="clear" w:color="auto" w:fill="FAFBFC"/>
          </w:tcPr>
          <w:p>
            <w:pPr>
              <w:spacing w:after="0" w:line="252" w:lineRule="auto"/>
              <w:jc w:val="left"/>
            </w:pPr>
            <w:r>
              <w:rPr>
                <w:rFonts w:ascii="Consolas" w:hAnsi="Consolas"/>
                <w:color w:val="8B2E2E"/>
                <w:sz w:val="17"/>
              </w:rPr>
              <w:t>deals</w:t>
            </w:r>
            <w:r>
              <w:rPr>
                <w:rFonts w:ascii="Calibri" w:hAnsi="Calibri"/>
                <w:color w:val="1A1A1A"/>
                <w:sz w:val="17"/>
              </w:rPr>
              <w:t xml:space="preserve"> today carries both </w:t>
            </w:r>
            <w:r>
              <w:rPr>
                <w:rFonts w:ascii="Consolas" w:hAnsi="Consolas"/>
                <w:color w:val="8B2E2E"/>
                <w:sz w:val="17"/>
              </w:rPr>
              <w:t>partnerCompanyId</w:t>
            </w:r>
            <w:r>
              <w:rPr>
                <w:rFonts w:ascii="Calibri" w:hAnsi="Calibri"/>
                <w:color w:val="1A1A1A"/>
                <w:sz w:val="17"/>
              </w:rPr>
              <w:t xml:space="preserve"> and </w:t>
            </w:r>
            <w:r>
              <w:rPr>
                <w:rFonts w:ascii="Consolas" w:hAnsi="Consolas"/>
                <w:color w:val="8B2E2E"/>
                <w:sz w:val="17"/>
              </w:rPr>
              <w:t>referredByPartnerId</w:t>
            </w:r>
            <w:r>
              <w:rPr>
                <w:rFonts w:ascii="Calibri" w:hAnsi="Calibri"/>
                <w:color w:val="1A1A1A"/>
                <w:sz w:val="17"/>
              </w:rPr>
              <w:t xml:space="preserve"> against the same table with no documented distinction, and attribution reads only the second. One is kept, the other migrated and dropped</w:t>
            </w:r>
          </w:p>
        </w:tc>
        <w:tc>
          <w:tcPr>
            <w:tcW w:type="dxa" w:w="1020"/>
            <w:shd w:val="clear" w:color="auto" w:fill="FAFBFC"/>
          </w:tcPr>
          <w:p>
            <w:pPr>
              <w:spacing w:after="0" w:line="252" w:lineRule="auto"/>
              <w:jc w:val="left"/>
            </w:pPr>
            <w:r>
              <w:rPr>
                <w:rFonts w:ascii="Calibri" w:hAnsi="Calibri"/>
                <w:b/>
                <w:color w:val="1F4E79"/>
                <w:sz w:val="17"/>
              </w:rPr>
              <w:t>NEW</w:t>
            </w:r>
            <w:r>
              <w:rPr>
                <w:rFonts w:ascii="Calibri" w:hAnsi="Calibri"/>
                <w:color w:val="1F4E79"/>
                <w:sz w:val="17"/>
              </w:rPr>
              <w:t xml:space="preserve"> — raised during review 25 Aug; a data-model ambiguity, not a feature</w:t>
            </w:r>
          </w:p>
        </w:tc>
        <w:tc>
          <w:tcPr>
            <w:tcW w:type="dxa" w:w="1928"/>
            <w:shd w:val="clear" w:color="auto" w:fill="FAFBFC"/>
          </w:tcPr>
          <w:p>
            <w:pPr>
              <w:spacing w:after="0" w:line="252" w:lineRule="auto"/>
              <w:jc w:val="left"/>
            </w:pPr>
            <w:r>
              <w:rPr>
                <w:rFonts w:ascii="Calibri" w:hAnsi="Calibri"/>
                <w:color w:val="1F4E79"/>
                <w:sz w:val="17"/>
                <w:u w:val="single"/>
              </w:rPr>
              <w:t>deals.ts</w:t>
            </w:r>
            <w:r>
              <w:rPr>
                <w:rFonts w:ascii="Calibri" w:hAnsi="Calibri"/>
                <w:color w:val="1A1A1A"/>
                <w:sz w:val="17"/>
              </w:rPr>
              <w:t xml:space="preserve"> + migration</w:t>
            </w:r>
          </w:p>
        </w:tc>
      </w:tr>
      <w:tr>
        <w:tc>
          <w:tcPr>
            <w:tcW w:type="dxa" w:w="964"/>
          </w:tcPr>
          <w:p>
            <w:pPr>
              <w:spacing w:after="0" w:line="252" w:lineRule="auto"/>
              <w:jc w:val="left"/>
            </w:pPr>
            <w:r>
              <w:rPr>
                <w:rFonts w:ascii="Calibri" w:hAnsi="Calibri"/>
                <w:color w:val="1A1A1A"/>
                <w:sz w:val="17"/>
              </w:rPr>
              <w:t>FR-P3-10</w:t>
            </w:r>
          </w:p>
        </w:tc>
        <w:tc>
          <w:tcPr>
            <w:tcW w:type="dxa" w:w="3345"/>
          </w:tcPr>
          <w:p>
            <w:pPr>
              <w:spacing w:after="0" w:line="252" w:lineRule="auto"/>
              <w:jc w:val="left"/>
            </w:pPr>
            <w:r>
              <w:rPr>
                <w:rFonts w:ascii="Calibri" w:hAnsi="Calibri"/>
                <w:color w:val="1A1A1A"/>
                <w:sz w:val="17"/>
              </w:rPr>
              <w:t>Report referred leads, open and won opportunities, and won revenue per partner</w:t>
            </w:r>
          </w:p>
        </w:tc>
        <w:tc>
          <w:tcPr>
            <w:tcW w:type="dxa" w:w="3061"/>
          </w:tcPr>
          <w:p>
            <w:pPr>
              <w:spacing w:after="0" w:line="252" w:lineRule="auto"/>
              <w:jc w:val="left"/>
            </w:pPr>
            <w:r>
              <w:rPr>
                <w:rFonts w:ascii="Calibri" w:hAnsi="Calibri"/>
                <w:color w:val="1A1A1A"/>
                <w:sz w:val="17"/>
              </w:rPr>
              <w:t>The partner page shows all four</w:t>
            </w:r>
          </w:p>
        </w:tc>
        <w:tc>
          <w:tcPr>
            <w:tcW w:type="dxa" w:w="1020"/>
          </w:tcPr>
          <w:p>
            <w:pPr>
              <w:spacing w:after="0" w:line="252" w:lineRule="auto"/>
              <w:jc w:val="left"/>
            </w:pPr>
            <w:r>
              <w:rPr>
                <w:rFonts w:ascii="Calibri" w:hAnsi="Calibri"/>
                <w:b/>
                <w:color w:val="1E6B33"/>
                <w:sz w:val="17"/>
              </w:rPr>
              <w:t>EXISTS</w:t>
            </w:r>
          </w:p>
        </w:tc>
        <w:tc>
          <w:tcPr>
            <w:tcW w:type="dxa" w:w="1928"/>
          </w:tcPr>
          <w:p>
            <w:pPr>
              <w:spacing w:after="0" w:line="252" w:lineRule="auto"/>
              <w:jc w:val="left"/>
            </w:pPr>
            <w:r>
              <w:rPr>
                <w:rFonts w:ascii="Calibri" w:hAnsi="Calibri"/>
                <w:color w:val="1F4E79"/>
                <w:sz w:val="17"/>
                <w:u w:val="single"/>
              </w:rPr>
              <w:t>partner.router.ts</w:t>
            </w:r>
          </w:p>
        </w:tc>
      </w:tr>
      <w:tr>
        <w:tc>
          <w:tcPr>
            <w:tcW w:type="dxa" w:w="964"/>
            <w:shd w:val="clear" w:color="auto" w:fill="FAFBFC"/>
          </w:tcPr>
          <w:p>
            <w:pPr>
              <w:spacing w:after="0" w:line="252" w:lineRule="auto"/>
              <w:jc w:val="left"/>
            </w:pPr>
            <w:r>
              <w:rPr>
                <w:rFonts w:ascii="Calibri" w:hAnsi="Calibri"/>
                <w:color w:val="1A1A1A"/>
                <w:sz w:val="17"/>
              </w:rPr>
              <w:t>FR-P3-11</w:t>
            </w:r>
          </w:p>
        </w:tc>
        <w:tc>
          <w:tcPr>
            <w:tcW w:type="dxa" w:w="3345"/>
            <w:shd w:val="clear" w:color="auto" w:fill="FAFBFC"/>
          </w:tcPr>
          <w:p>
            <w:pPr>
              <w:spacing w:after="0" w:line="252" w:lineRule="auto"/>
              <w:jc w:val="left"/>
            </w:pPr>
            <w:r>
              <w:rPr>
                <w:rFonts w:ascii="Calibri" w:hAnsi="Calibri"/>
                <w:color w:val="1A1A1A"/>
                <w:sz w:val="17"/>
              </w:rPr>
              <w:t>Suppress partner revenue figures from roles not entitled to see money</w:t>
            </w:r>
          </w:p>
        </w:tc>
        <w:tc>
          <w:tcPr>
            <w:tcW w:type="dxa" w:w="3061"/>
            <w:shd w:val="clear" w:color="auto" w:fill="FAFBFC"/>
          </w:tcPr>
          <w:p>
            <w:pPr>
              <w:spacing w:after="0" w:line="252" w:lineRule="auto"/>
              <w:jc w:val="left"/>
            </w:pPr>
            <w:r>
              <w:rPr>
                <w:rFonts w:ascii="Calibri" w:hAnsi="Calibri"/>
                <w:color w:val="1A1A1A"/>
                <w:sz w:val="17"/>
              </w:rPr>
              <w:t>Analyst role sees partner attribution with revenue nulled</w:t>
            </w:r>
          </w:p>
        </w:tc>
        <w:tc>
          <w:tcPr>
            <w:tcW w:type="dxa" w:w="1020"/>
            <w:shd w:val="clear" w:color="auto" w:fill="FAFBFC"/>
          </w:tcPr>
          <w:p>
            <w:pPr>
              <w:spacing w:after="0" w:line="252" w:lineRule="auto"/>
              <w:jc w:val="left"/>
            </w:pPr>
            <w:r>
              <w:rPr>
                <w:rFonts w:ascii="Calibri" w:hAnsi="Calibri"/>
                <w:b/>
                <w:color w:val="1E6B33"/>
                <w:sz w:val="17"/>
              </w:rPr>
              <w:t>EXISTS</w:t>
            </w:r>
          </w:p>
        </w:tc>
        <w:tc>
          <w:tcPr>
            <w:tcW w:type="dxa" w:w="1928"/>
            <w:shd w:val="clear" w:color="auto" w:fill="FAFBFC"/>
          </w:tcPr>
          <w:p>
            <w:pPr>
              <w:spacing w:after="0" w:line="252" w:lineRule="auto"/>
              <w:jc w:val="left"/>
            </w:pPr>
            <w:r>
              <w:rPr>
                <w:rFonts w:ascii="Consolas" w:hAnsi="Consolas"/>
                <w:color w:val="8B2E2E"/>
                <w:sz w:val="17"/>
              </w:rPr>
              <w:t>partner.router.ts</w:t>
            </w:r>
          </w:p>
        </w:tc>
      </w:tr>
    </w:tbl>
    <w:p>
      <w:pPr>
        <w:spacing w:after="80"/>
      </w:pPr>
    </w:p>
    <w:p>
      <w:pPr>
        <w:pStyle w:val="Heading3"/>
      </w:pPr>
      <w:r>
        <w:t>Co-sell and settlement</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064"/>
        <w:gridCol w:w="2064"/>
        <w:gridCol w:w="2064"/>
        <w:gridCol w:w="2064"/>
        <w:gridCol w:w="2064"/>
      </w:tblGrid>
      <w:tr>
        <w:trPr>
          <w:tblHeader w:val="true"/>
        </w:trPr>
        <w:tc>
          <w:tcPr>
            <w:tcW w:type="dxa" w:w="964"/>
            <w:shd w:val="clear" w:color="auto" w:fill="E8EDF2"/>
          </w:tcPr>
          <w:p>
            <w:pPr>
              <w:spacing w:after="0"/>
              <w:jc w:val="left"/>
            </w:pPr>
            <w:r>
              <w:rPr>
                <w:rFonts w:ascii="Calibri" w:hAnsi="Calibri"/>
                <w:b/>
                <w:color w:val="1A1A1A"/>
                <w:sz w:val="17"/>
              </w:rPr>
              <w:t>ID</w:t>
            </w:r>
          </w:p>
        </w:tc>
        <w:tc>
          <w:tcPr>
            <w:tcW w:type="dxa" w:w="3345"/>
            <w:shd w:val="clear" w:color="auto" w:fill="E8EDF2"/>
          </w:tcPr>
          <w:p>
            <w:pPr>
              <w:spacing w:after="0"/>
              <w:jc w:val="left"/>
            </w:pPr>
            <w:r>
              <w:rPr>
                <w:rFonts w:ascii="Calibri" w:hAnsi="Calibri"/>
                <w:b/>
                <w:color w:val="1A1A1A"/>
                <w:sz w:val="17"/>
              </w:rPr>
              <w:t>Requirement</w:t>
            </w:r>
          </w:p>
        </w:tc>
        <w:tc>
          <w:tcPr>
            <w:tcW w:type="dxa" w:w="3061"/>
            <w:shd w:val="clear" w:color="auto" w:fill="E8EDF2"/>
          </w:tcPr>
          <w:p>
            <w:pPr>
              <w:spacing w:after="0"/>
              <w:jc w:val="left"/>
            </w:pPr>
            <w:r>
              <w:rPr>
                <w:rFonts w:ascii="Calibri" w:hAnsi="Calibri"/>
                <w:b/>
                <w:color w:val="1A1A1A"/>
                <w:sz w:val="17"/>
              </w:rPr>
              <w:t>Acceptance</w:t>
            </w:r>
          </w:p>
        </w:tc>
        <w:tc>
          <w:tcPr>
            <w:tcW w:type="dxa" w:w="1020"/>
            <w:shd w:val="clear" w:color="auto" w:fill="E8EDF2"/>
          </w:tcPr>
          <w:p>
            <w:pPr>
              <w:spacing w:after="0"/>
              <w:jc w:val="left"/>
            </w:pPr>
            <w:r>
              <w:rPr>
                <w:rFonts w:ascii="Calibri" w:hAnsi="Calibri"/>
                <w:b/>
                <w:color w:val="1A1A1A"/>
                <w:sz w:val="17"/>
              </w:rPr>
              <w:t>Status</w:t>
            </w:r>
          </w:p>
        </w:tc>
        <w:tc>
          <w:tcPr>
            <w:tcW w:type="dxa" w:w="1928"/>
            <w:shd w:val="clear" w:color="auto" w:fill="E8EDF2"/>
          </w:tcPr>
          <w:p>
            <w:pPr>
              <w:spacing w:after="0"/>
              <w:jc w:val="left"/>
            </w:pPr>
            <w:r>
              <w:rPr>
                <w:rFonts w:ascii="Calibri" w:hAnsi="Calibri"/>
                <w:b/>
                <w:color w:val="1A1A1A"/>
                <w:sz w:val="17"/>
              </w:rPr>
              <w:t>Lands in</w:t>
            </w:r>
          </w:p>
        </w:tc>
      </w:tr>
      <w:tr>
        <w:tc>
          <w:tcPr>
            <w:tcW w:type="dxa" w:w="964"/>
          </w:tcPr>
          <w:p>
            <w:pPr>
              <w:spacing w:after="0" w:line="252" w:lineRule="auto"/>
              <w:jc w:val="left"/>
            </w:pPr>
            <w:r>
              <w:rPr>
                <w:rFonts w:ascii="Calibri" w:hAnsi="Calibri"/>
                <w:color w:val="1A1A1A"/>
                <w:sz w:val="17"/>
              </w:rPr>
              <w:t>FR-P3-12</w:t>
            </w:r>
          </w:p>
        </w:tc>
        <w:tc>
          <w:tcPr>
            <w:tcW w:type="dxa" w:w="3345"/>
          </w:tcPr>
          <w:p>
            <w:pPr>
              <w:spacing w:after="0" w:line="252" w:lineRule="auto"/>
              <w:jc w:val="left"/>
            </w:pPr>
            <w:r>
              <w:rPr>
                <w:rFonts w:ascii="Calibri" w:hAnsi="Calibri"/>
                <w:color w:val="1A1A1A"/>
                <w:sz w:val="17"/>
              </w:rPr>
              <w:t xml:space="preserve">Show joint activity and commitments against a partner </w:t>
            </w:r>
            <w:r>
              <w:rPr>
                <w:rFonts w:ascii="Calibri" w:hAnsi="Calibri"/>
                <w:b/>
                <w:color w:val="1A1A1A"/>
                <w:sz w:val="17"/>
              </w:rPr>
              <w:t>internally</w:t>
            </w:r>
          </w:p>
        </w:tc>
        <w:tc>
          <w:tcPr>
            <w:tcW w:type="dxa" w:w="3061"/>
          </w:tcPr>
          <w:p>
            <w:pPr>
              <w:spacing w:after="0" w:line="252" w:lineRule="auto"/>
              <w:jc w:val="left"/>
            </w:pPr>
            <w:r>
              <w:rPr>
                <w:rFonts w:ascii="Calibri" w:hAnsi="Calibri"/>
                <w:color w:val="1A1A1A"/>
                <w:sz w:val="17"/>
              </w:rPr>
              <w:t xml:space="preserve">The partner page shows the opportunities and contacts attributed to that partner together with recent joint activity. </w:t>
            </w:r>
            <w:r>
              <w:rPr>
                <w:rFonts w:ascii="Calibri" w:hAnsi="Calibri"/>
                <w:b/>
                <w:color w:val="1A1A1A"/>
                <w:sz w:val="17"/>
              </w:rPr>
              <w:t>No partner-facing surface</w:t>
            </w:r>
          </w:p>
        </w:tc>
        <w:tc>
          <w:tcPr>
            <w:tcW w:type="dxa" w:w="1020"/>
          </w:tcPr>
          <w:p>
            <w:pPr>
              <w:spacing w:after="0" w:line="252" w:lineRule="auto"/>
              <w:jc w:val="left"/>
            </w:pPr>
            <w:r>
              <w:rPr>
                <w:rFonts w:ascii="Calibri" w:hAnsi="Calibri"/>
                <w:b/>
                <w:color w:val="9A5B00"/>
                <w:sz w:val="17"/>
              </w:rPr>
              <w:t>PARTIAL</w:t>
            </w:r>
            <w:r>
              <w:rPr>
                <w:rFonts w:ascii="Calibri" w:hAnsi="Calibri"/>
                <w:color w:val="9A5B00"/>
                <w:sz w:val="17"/>
              </w:rPr>
              <w:t xml:space="preserve"> — reviewed 25 Aug: partner-facing half cut. </w:t>
            </w:r>
            <w:r>
              <w:rPr>
                <w:rFonts w:ascii="Consolas" w:hAnsi="Consolas"/>
                <w:color w:val="8B2E2E"/>
                <w:sz w:val="17"/>
              </w:rPr>
              <w:t>dealsByPartner</w:t>
            </w:r>
            <w:r>
              <w:rPr>
                <w:rFonts w:ascii="Calibri" w:hAnsi="Calibri"/>
                <w:color w:val="9A5B00"/>
                <w:sz w:val="17"/>
              </w:rPr>
              <w:t xml:space="preserve"> and </w:t>
            </w:r>
            <w:r>
              <w:rPr>
                <w:rFonts w:ascii="Consolas" w:hAnsi="Consolas"/>
                <w:color w:val="8B2E2E"/>
                <w:sz w:val="17"/>
              </w:rPr>
              <w:t>contactsByPartner</w:t>
            </w:r>
            <w:r>
              <w:rPr>
                <w:rFonts w:ascii="Calibri" w:hAnsi="Calibri"/>
                <w:color w:val="9A5B00"/>
                <w:sz w:val="17"/>
              </w:rPr>
              <w:t xml:space="preserve"> already provide most of this; joint activity does not appear</w:t>
            </w:r>
          </w:p>
        </w:tc>
        <w:tc>
          <w:tcPr>
            <w:tcW w:type="dxa" w:w="1928"/>
          </w:tcPr>
          <w:p>
            <w:pPr>
              <w:spacing w:after="0" w:line="252" w:lineRule="auto"/>
              <w:jc w:val="left"/>
            </w:pPr>
            <w:r>
              <w:rPr>
                <w:rFonts w:ascii="Calibri" w:hAnsi="Calibri"/>
                <w:color w:val="1F4E79"/>
                <w:sz w:val="17"/>
                <w:u w:val="single"/>
              </w:rPr>
              <w:t>partner.router.ts</w:t>
            </w:r>
          </w:p>
        </w:tc>
      </w:tr>
      <w:tr>
        <w:tc>
          <w:tcPr>
            <w:tcW w:type="dxa" w:w="964"/>
            <w:shd w:val="clear" w:color="auto" w:fill="FAFBFC"/>
          </w:tcPr>
          <w:p>
            <w:pPr>
              <w:spacing w:after="0" w:line="252" w:lineRule="auto"/>
              <w:jc w:val="left"/>
            </w:pPr>
            <w:r>
              <w:rPr>
                <w:rFonts w:ascii="Calibri" w:hAnsi="Calibri"/>
                <w:color w:val="1A1A1A"/>
                <w:sz w:val="17"/>
              </w:rPr>
              <w:t>FR-P3-13</w:t>
            </w:r>
          </w:p>
        </w:tc>
        <w:tc>
          <w:tcPr>
            <w:tcW w:type="dxa" w:w="3345"/>
            <w:shd w:val="clear" w:color="auto" w:fill="FAFBFC"/>
          </w:tcPr>
          <w:p>
            <w:pPr>
              <w:spacing w:after="0" w:line="252" w:lineRule="auto"/>
              <w:jc w:val="left"/>
            </w:pPr>
            <w:r>
              <w:rPr>
                <w:rFonts w:ascii="Calibri" w:hAnsi="Calibri"/>
                <w:color w:val="1A1A1A"/>
                <w:sz w:val="17"/>
              </w:rPr>
              <w:t>Trigger a fee obligation on the event named in the partner agreement, for partners whose agreement carries a fee</w:t>
            </w:r>
          </w:p>
        </w:tc>
        <w:tc>
          <w:tcPr>
            <w:tcW w:type="dxa" w:w="3061"/>
            <w:shd w:val="clear" w:color="auto" w:fill="FAFBFC"/>
          </w:tcPr>
          <w:p>
            <w:pPr>
              <w:spacing w:after="0" w:line="252" w:lineRule="auto"/>
              <w:jc w:val="left"/>
            </w:pPr>
            <w:r>
              <w:rPr>
                <w:rFonts w:ascii="Calibri" w:hAnsi="Calibri"/>
                <w:color w:val="1A1A1A"/>
                <w:sz w:val="17"/>
              </w:rPr>
              <w:t>When the trigger event fires in Pillar 7, an obligation is created with an amount and a due date. Partners on a nil fee basis generate nothing</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P3 ↔ P7</w:t>
            </w:r>
          </w:p>
        </w:tc>
      </w:tr>
      <w:tr>
        <w:tc>
          <w:tcPr>
            <w:tcW w:type="dxa" w:w="964"/>
          </w:tcPr>
          <w:p>
            <w:pPr>
              <w:spacing w:after="0" w:line="252" w:lineRule="auto"/>
              <w:jc w:val="left"/>
            </w:pPr>
            <w:r>
              <w:rPr>
                <w:rFonts w:ascii="Calibri" w:hAnsi="Calibri"/>
                <w:color w:val="1A1A1A"/>
                <w:sz w:val="17"/>
              </w:rPr>
              <w:t>FR-P3-14</w:t>
            </w:r>
          </w:p>
        </w:tc>
        <w:tc>
          <w:tcPr>
            <w:tcW w:type="dxa" w:w="3345"/>
          </w:tcPr>
          <w:p>
            <w:pPr>
              <w:spacing w:after="0" w:line="252" w:lineRule="auto"/>
              <w:jc w:val="left"/>
            </w:pPr>
            <w:r>
              <w:rPr>
                <w:rFonts w:ascii="Calibri" w:hAnsi="Calibri"/>
                <w:color w:val="1A1A1A"/>
                <w:sz w:val="17"/>
              </w:rPr>
              <w:t>Settle fee obligations against collected revenue and track what is outstanding</w:t>
            </w:r>
          </w:p>
        </w:tc>
        <w:tc>
          <w:tcPr>
            <w:tcW w:type="dxa" w:w="3061"/>
          </w:tcPr>
          <w:p>
            <w:pPr>
              <w:spacing w:after="0" w:line="252" w:lineRule="auto"/>
              <w:jc w:val="left"/>
            </w:pPr>
            <w:r>
              <w:rPr>
                <w:rFonts w:ascii="Calibri" w:hAnsi="Calibri"/>
                <w:color w:val="1A1A1A"/>
                <w:sz w:val="17"/>
              </w:rPr>
              <w:t>An obligation moves accrued → due → settled, each with a date, and outstanding obligations are reportable</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 xml:space="preserve">New </w:t>
            </w:r>
            <w:r>
              <w:rPr>
                <w:rFonts w:ascii="Consolas" w:hAnsi="Consolas"/>
                <w:color w:val="8B2E2E"/>
                <w:sz w:val="17"/>
              </w:rPr>
              <w:t>partner_fee_obligations</w:t>
            </w:r>
          </w:p>
        </w:tc>
      </w:tr>
      <w:tr>
        <w:tc>
          <w:tcPr>
            <w:tcW w:type="dxa" w:w="964"/>
            <w:shd w:val="clear" w:color="auto" w:fill="FAFBFC"/>
          </w:tcPr>
          <w:p>
            <w:pPr>
              <w:spacing w:after="0" w:line="252" w:lineRule="auto"/>
              <w:jc w:val="left"/>
            </w:pPr>
            <w:r>
              <w:rPr>
                <w:rFonts w:ascii="Calibri" w:hAnsi="Calibri"/>
                <w:color w:val="1A1A1A"/>
                <w:sz w:val="17"/>
              </w:rPr>
              <w:t>FR-P3-15</w:t>
            </w:r>
          </w:p>
        </w:tc>
        <w:tc>
          <w:tcPr>
            <w:tcW w:type="dxa" w:w="3345"/>
            <w:shd w:val="clear" w:color="auto" w:fill="FAFBFC"/>
          </w:tcPr>
          <w:p>
            <w:pPr>
              <w:spacing w:after="0" w:line="252" w:lineRule="auto"/>
              <w:jc w:val="left"/>
            </w:pPr>
            <w:r>
              <w:rPr>
                <w:rFonts w:ascii="Calibri" w:hAnsi="Calibri"/>
                <w:color w:val="1A1A1A"/>
                <w:sz w:val="17"/>
              </w:rPr>
              <w:t>Measure partner performance: referral volume, conversion rate, revenue contribution, and average deal size</w:t>
            </w:r>
          </w:p>
        </w:tc>
        <w:tc>
          <w:tcPr>
            <w:tcW w:type="dxa" w:w="3061"/>
            <w:shd w:val="clear" w:color="auto" w:fill="FAFBFC"/>
          </w:tcPr>
          <w:p>
            <w:pPr>
              <w:spacing w:after="0" w:line="252" w:lineRule="auto"/>
              <w:jc w:val="left"/>
            </w:pPr>
            <w:r>
              <w:rPr>
                <w:rFonts w:ascii="Calibri" w:hAnsi="Calibri"/>
                <w:color w:val="1A1A1A"/>
                <w:sz w:val="17"/>
              </w:rPr>
              <w:t>A partner scorecard shows all four over a selectable period</w:t>
            </w:r>
          </w:p>
        </w:tc>
        <w:tc>
          <w:tcPr>
            <w:tcW w:type="dxa" w:w="1020"/>
            <w:shd w:val="clear" w:color="auto" w:fill="FAFBFC"/>
          </w:tcPr>
          <w:p>
            <w:pPr>
              <w:spacing w:after="0" w:line="252" w:lineRule="auto"/>
              <w:jc w:val="left"/>
            </w:pPr>
            <w:r>
              <w:rPr>
                <w:rFonts w:ascii="Calibri" w:hAnsi="Calibri"/>
                <w:b/>
                <w:color w:val="9A5B00"/>
                <w:sz w:val="17"/>
              </w:rPr>
              <w:t>PARTIAL</w:t>
            </w:r>
            <w:r>
              <w:rPr>
                <w:rFonts w:ascii="Calibri" w:hAnsi="Calibri"/>
                <w:color w:val="9A5B00"/>
                <w:sz w:val="17"/>
              </w:rPr>
              <w:t xml:space="preserve"> — volume and revenue exist; conversion rate and trend do not</w:t>
            </w:r>
          </w:p>
        </w:tc>
        <w:tc>
          <w:tcPr>
            <w:tcW w:type="dxa" w:w="1928"/>
            <w:shd w:val="clear" w:color="auto" w:fill="FAFBFC"/>
          </w:tcPr>
          <w:p>
            <w:pPr>
              <w:spacing w:after="0" w:line="252" w:lineRule="auto"/>
              <w:jc w:val="left"/>
            </w:pPr>
            <w:r>
              <w:rPr>
                <w:rFonts w:ascii="Consolas" w:hAnsi="Consolas"/>
                <w:color w:val="8B2E2E"/>
                <w:sz w:val="17"/>
              </w:rPr>
              <w:t>partner.router.ts</w:t>
            </w:r>
          </w:p>
        </w:tc>
      </w:tr>
    </w:tbl>
    <w:p>
      <w:pPr>
        <w:spacing w:after="80"/>
      </w:pPr>
    </w:p>
    <w:p>
      <w:pPr>
        <w:spacing w:before="120" w:after="160"/>
        <w:ind w:left="198"/>
        <w:pBdr>
          <w:left w:val="single" w:sz="18" w:space="8" w:color="B08D57"/>
        </w:pBdr>
        <w:shd w:val="clear" w:color="auto" w:fill="F4F1E8"/>
      </w:pPr>
      <w:r>
        <w:rPr>
          <w:rFonts w:ascii="Calibri" w:hAnsi="Calibri"/>
          <w:b/>
          <w:color w:val="1A1A1A"/>
          <w:sz w:val="19"/>
        </w:rPr>
        <w:t>CONCRETE EXAMPLE</w:t>
      </w:r>
      <w:r>
        <w:rPr>
          <w:rFonts w:ascii="Calibri" w:hAnsi="Calibri"/>
          <w:color w:val="1A1A1A"/>
          <w:sz w:val="19"/>
        </w:rPr>
        <w:t xml:space="preserve">  A virtual-CISO firm registers Northwind as a referral with a 90-day attribution window. The opportunity converts inside the window, so the partner is credited as sourced. On collection of the first invoice a 10% referral fee obligation is triggered. Across the year the partner has produced eleven referrals, a 45% conversion rate, and INR 94,00,000 in collected revenue — moving it into the top tier.</w:t>
      </w:r>
    </w:p>
    <w:p>
      <w:pPr>
        <w:pStyle w:val="Heading3"/>
      </w:pPr>
      <w:r>
        <w:t>Features — Pillar 3</w:t>
      </w:r>
    </w:p>
    <w:p>
      <w:r>
        <w:rPr>
          <w:rFonts w:ascii="Calibri" w:hAnsi="Calibri"/>
          <w:color w:val="1A1A1A"/>
        </w:rPr>
        <w:t xml:space="preserve">Partner list with attribution stats · attach an existing deal to a partner retroactively · create a deal against a partner · referred leads and deals per partner · revenue masked for Analysts · </w:t>
      </w:r>
      <w:r>
        <w:rPr>
          <w:rFonts w:ascii="Calibri" w:hAnsi="Calibri"/>
          <w:b/>
          <w:color w:val="1A1A1A"/>
        </w:rPr>
        <w:t>partner agreement with an optional fee basis (new)</w:t>
      </w:r>
      <w:r>
        <w:rPr>
          <w:rFonts w:ascii="Calibri" w:hAnsi="Calibri"/>
          <w:color w:val="1A1A1A"/>
        </w:rPr>
        <w:t xml:space="preserve"> · </w:t>
      </w:r>
      <w:r>
        <w:rPr>
          <w:rFonts w:ascii="Calibri" w:hAnsi="Calibri"/>
          <w:b/>
          <w:color w:val="1A1A1A"/>
        </w:rPr>
        <w:t>fee obligation ledger with settlement (new)</w:t>
      </w:r>
      <w:r>
        <w:rPr>
          <w:rFonts w:ascii="Calibri" w:hAnsi="Calibri"/>
          <w:color w:val="1A1A1A"/>
        </w:rPr>
        <w:t xml:space="preserve"> · </w:t>
      </w:r>
      <w:r>
        <w:rPr>
          <w:rFonts w:ascii="Calibri" w:hAnsi="Calibri"/>
          <w:b/>
          <w:color w:val="1A1A1A"/>
        </w:rPr>
        <w:t>partner scorecard with conversion rate and trend (new)</w:t>
      </w:r>
      <w:r>
        <w:rPr>
          <w:rFonts w:ascii="Calibri" w:hAnsi="Calibri"/>
          <w:color w:val="1A1A1A"/>
        </w:rPr>
        <w:t>.</w:t>
      </w:r>
    </w:p>
    <w:p>
      <w:pPr>
        <w:spacing w:before="120" w:after="160"/>
        <w:ind w:left="198"/>
        <w:pBdr>
          <w:left w:val="single" w:sz="18" w:space="8" w:color="B08D57"/>
        </w:pBdr>
        <w:shd w:val="clear" w:color="auto" w:fill="F4F1E8"/>
      </w:pPr>
      <w:r>
        <w:rPr>
          <w:rFonts w:ascii="Calibri" w:hAnsi="Calibri"/>
          <w:b/>
          <w:color w:val="1A1A1A"/>
          <w:sz w:val="19"/>
        </w:rPr>
        <w:t>NOTE ON FR-P3-03 AND FR-P3-04</w:t>
      </w:r>
      <w:r>
        <w:rPr>
          <w:rFonts w:ascii="Calibri" w:hAnsi="Calibri"/>
          <w:color w:val="1A1A1A"/>
          <w:sz w:val="19"/>
        </w:rPr>
        <w:t xml:space="preserve">  Tiers and coverage survived the 25 Aug review only because they were not asked about. With registration, credit types and partner access all cut, both are now thin: tiers were justified by measured contribution driving investment decisions, and coverage by routing referrals — neither of which this pillar now does. They are worth an explicit keep-or-cut before Phase 6.</w:t>
      </w:r>
    </w:p>
    <w:p>
      <w:pPr>
        <w:pStyle w:val="Heading2"/>
      </w:pPr>
      <w:r>
        <w:t>Pillar 4 — Engagement Pricing &amp; Quotation</w:t>
      </w:r>
    </w:p>
    <w:p>
      <w:r>
        <w:rPr>
          <w:rFonts w:ascii="Calibri" w:hAnsi="Calibri"/>
          <w:i/>
          <w:color w:val="1A1A1A"/>
        </w:rPr>
        <w:t>What will it cost us, can we staff it, what do we charge, and what do we send them?</w:t>
      </w:r>
    </w:p>
    <w:p>
      <w:r>
        <w:rPr>
          <w:rFonts w:ascii="Calibri" w:hAnsi="Calibri"/>
          <w:color w:val="1A1A1A"/>
        </w:rPr>
        <w:t xml:space="preserve">Almost entirely new. This pillar absorbs all seven capabilities of the </w:t>
      </w:r>
      <w:r>
        <w:rPr>
          <w:rFonts w:ascii="Calibri" w:hAnsi="Calibri"/>
          <w:color w:val="1F4E79"/>
          <w:u w:val="single"/>
        </w:rPr>
        <w:t>Engagement Pricing &amp; Quotation Desk</w:t>
      </w:r>
      <w:r>
        <w:rPr>
          <w:rFonts w:ascii="Calibri" w:hAnsi="Calibri"/>
          <w:color w:val="1A1A1A"/>
        </w:rPr>
        <w:t>. It is the largest single body of work in the document and the one that changes the commercial character of the platform most.</w:t>
      </w:r>
    </w:p>
    <w:p>
      <w:pPr>
        <w:spacing w:before="120" w:after="160"/>
        <w:ind w:left="198"/>
        <w:pBdr>
          <w:left w:val="single" w:sz="18" w:space="8" w:color="B08D57"/>
        </w:pBdr>
        <w:shd w:val="clear" w:color="auto" w:fill="F4F1E8"/>
      </w:pPr>
      <w:r>
        <w:rPr>
          <w:rFonts w:ascii="Calibri" w:hAnsi="Calibri"/>
          <w:b/>
          <w:color w:val="1A1A1A"/>
          <w:sz w:val="19"/>
        </w:rPr>
        <w:t>ARCHITECTURE PRINCIPLE</w:t>
      </w:r>
      <w:r>
        <w:rPr>
          <w:rFonts w:ascii="Calibri" w:hAnsi="Calibri"/>
          <w:color w:val="1A1A1A"/>
          <w:sz w:val="19"/>
        </w:rPr>
        <w:t xml:space="preserve">  A quotation is three claims bundled into one number: a price, a delivery window, and an implied margin. All three must be provable before the quote is sent, and each is proven independently.</w:t>
      </w:r>
    </w:p>
    <w:p>
      <w:pPr>
        <w:spacing w:before="120" w:after="160"/>
        <w:ind w:left="198"/>
        <w:pBdr>
          <w:left w:val="single" w:sz="18" w:space="8" w:color="B08D57"/>
        </w:pBdr>
        <w:shd w:val="clear" w:color="auto" w:fill="F4F1E8"/>
      </w:pPr>
      <w:r>
        <w:rPr>
          <w:rFonts w:ascii="Calibri" w:hAnsi="Calibri"/>
          <w:b/>
          <w:color w:val="1A1A1A"/>
          <w:sz w:val="19"/>
        </w:rPr>
        <w:t>REVIEW DECISION, 25 Aug 2026 — the costing model.</w:t>
      </w:r>
      <w:r>
        <w:rPr>
          <w:rFonts w:ascii="Calibri" w:hAnsi="Calibri"/>
          <w:color w:val="1A1A1A"/>
          <w:sz w:val="19"/>
        </w:rPr>
        <w:t xml:space="preserve">  The initial draft priced in </w:t>
      </w:r>
      <w:r>
        <w:rPr>
          <w:rFonts w:ascii="Calibri" w:hAnsi="Calibri"/>
          <w:b/>
          <w:color w:val="1A1A1A"/>
          <w:sz w:val="19"/>
        </w:rPr>
        <w:t>role-hours</w:t>
      </w:r>
      <w:r>
        <w:rPr>
          <w:rFonts w:ascii="Calibri" w:hAnsi="Calibri"/>
          <w:color w:val="1A1A1A"/>
          <w:sz w:val="19"/>
        </w:rPr>
        <w:t xml:space="preserve">. That was wrong. The business estimates in </w:t>
      </w:r>
      <w:r>
        <w:rPr>
          <w:rFonts w:ascii="Calibri" w:hAnsi="Calibri"/>
          <w:b/>
          <w:color w:val="1A1A1A"/>
          <w:sz w:val="19"/>
        </w:rPr>
        <w:t>resource-weeks</w:t>
      </w:r>
      <w:r>
        <w:rPr>
          <w:rFonts w:ascii="Calibri" w:hAnsi="Calibri"/>
          <w:color w:val="1A1A1A"/>
          <w:sz w:val="19"/>
        </w:rPr>
        <w:t>: a team of named employees, each carrying a role, each on the engagement for a number of weeks. Cost builds up per resource per week and the whole engagement is uplifted at the end.  ``</w:t>
      </w:r>
      <w:r>
        <w:rPr>
          <w:rFonts w:ascii="Consolas" w:hAnsi="Consolas"/>
          <w:color w:val="8B2E2E"/>
          <w:sz w:val="19"/>
        </w:rPr>
        <w:t xml:space="preserve"> PER RESOURCE, PER WEEK base cost          (salary-derived) + seat cost          (laptop, infra) + support cost       (HR, admin, internal functions) ───────────────────────────────────────── = loaded weekly cost  ENGAGEMENT Σ (loaded weekly cost × weeks on engagement) + non-labour         (external auditor fee, tooling, travel) ───────────────────────────────────────── × (1 + GNR %)        gross non-recoverable: bench time, rework, unbilled travel = TOTAL DELIVERY COST </w:t>
      </w:r>
      <w:r>
        <w:rPr>
          <w:rFonts w:ascii="Calibri" w:hAnsi="Calibri"/>
          <w:color w:val="1A1A1A"/>
          <w:sz w:val="19"/>
        </w:rPr>
        <w:t xml:space="preserve">``  </w:t>
      </w:r>
      <w:r>
        <w:rPr>
          <w:rFonts w:ascii="Calibri" w:hAnsi="Calibri"/>
          <w:b/>
          <w:color w:val="1A1A1A"/>
          <w:sz w:val="19"/>
        </w:rPr>
        <w:t>Every figure is pre-filled with a recommended default and remains editable</w:t>
      </w:r>
      <w:r>
        <w:rPr>
          <w:rFonts w:ascii="Calibri" w:hAnsi="Calibri"/>
          <w:color w:val="1A1A1A"/>
          <w:sz w:val="19"/>
        </w:rPr>
        <w:t>, and estimators can add their own cost variables. This is a standing principle across the pillar, not a feature of one screen — see FR-P4-55 and FR-P4-56.</w:t>
      </w:r>
    </w:p>
    <w:p>
      <w:pPr>
        <w:pStyle w:val="Heading3"/>
      </w:pPr>
      <w:r>
        <w:t>4.1 Service &amp; effort catalog</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064"/>
        <w:gridCol w:w="2064"/>
        <w:gridCol w:w="2064"/>
        <w:gridCol w:w="2064"/>
        <w:gridCol w:w="2064"/>
      </w:tblGrid>
      <w:tr>
        <w:trPr>
          <w:tblHeader w:val="true"/>
        </w:trPr>
        <w:tc>
          <w:tcPr>
            <w:tcW w:type="dxa" w:w="964"/>
            <w:shd w:val="clear" w:color="auto" w:fill="E8EDF2"/>
          </w:tcPr>
          <w:p>
            <w:pPr>
              <w:spacing w:after="0"/>
              <w:jc w:val="left"/>
            </w:pPr>
            <w:r>
              <w:rPr>
                <w:rFonts w:ascii="Calibri" w:hAnsi="Calibri"/>
                <w:b/>
                <w:color w:val="1A1A1A"/>
                <w:sz w:val="17"/>
              </w:rPr>
              <w:t>ID</w:t>
            </w:r>
          </w:p>
        </w:tc>
        <w:tc>
          <w:tcPr>
            <w:tcW w:type="dxa" w:w="3345"/>
            <w:shd w:val="clear" w:color="auto" w:fill="E8EDF2"/>
          </w:tcPr>
          <w:p>
            <w:pPr>
              <w:spacing w:after="0"/>
              <w:jc w:val="left"/>
            </w:pPr>
            <w:r>
              <w:rPr>
                <w:rFonts w:ascii="Calibri" w:hAnsi="Calibri"/>
                <w:b/>
                <w:color w:val="1A1A1A"/>
                <w:sz w:val="17"/>
              </w:rPr>
              <w:t>Requirement</w:t>
            </w:r>
          </w:p>
        </w:tc>
        <w:tc>
          <w:tcPr>
            <w:tcW w:type="dxa" w:w="3061"/>
            <w:shd w:val="clear" w:color="auto" w:fill="E8EDF2"/>
          </w:tcPr>
          <w:p>
            <w:pPr>
              <w:spacing w:after="0"/>
              <w:jc w:val="left"/>
            </w:pPr>
            <w:r>
              <w:rPr>
                <w:rFonts w:ascii="Calibri" w:hAnsi="Calibri"/>
                <w:b/>
                <w:color w:val="1A1A1A"/>
                <w:sz w:val="17"/>
              </w:rPr>
              <w:t>Acceptance</w:t>
            </w:r>
          </w:p>
        </w:tc>
        <w:tc>
          <w:tcPr>
            <w:tcW w:type="dxa" w:w="1020"/>
            <w:shd w:val="clear" w:color="auto" w:fill="E8EDF2"/>
          </w:tcPr>
          <w:p>
            <w:pPr>
              <w:spacing w:after="0"/>
              <w:jc w:val="left"/>
            </w:pPr>
            <w:r>
              <w:rPr>
                <w:rFonts w:ascii="Calibri" w:hAnsi="Calibri"/>
                <w:b/>
                <w:color w:val="1A1A1A"/>
                <w:sz w:val="17"/>
              </w:rPr>
              <w:t>Status</w:t>
            </w:r>
          </w:p>
        </w:tc>
        <w:tc>
          <w:tcPr>
            <w:tcW w:type="dxa" w:w="1928"/>
            <w:shd w:val="clear" w:color="auto" w:fill="E8EDF2"/>
          </w:tcPr>
          <w:p>
            <w:pPr>
              <w:spacing w:after="0"/>
              <w:jc w:val="left"/>
            </w:pPr>
            <w:r>
              <w:rPr>
                <w:rFonts w:ascii="Calibri" w:hAnsi="Calibri"/>
                <w:b/>
                <w:color w:val="1A1A1A"/>
                <w:sz w:val="17"/>
              </w:rPr>
              <w:t>Lands in</w:t>
            </w:r>
          </w:p>
        </w:tc>
      </w:tr>
      <w:tr>
        <w:tc>
          <w:tcPr>
            <w:tcW w:type="dxa" w:w="964"/>
          </w:tcPr>
          <w:p>
            <w:pPr>
              <w:spacing w:after="0" w:line="252" w:lineRule="auto"/>
              <w:jc w:val="left"/>
            </w:pPr>
            <w:r>
              <w:rPr>
                <w:rFonts w:ascii="Calibri" w:hAnsi="Calibri"/>
                <w:color w:val="1A1A1A"/>
                <w:sz w:val="17"/>
              </w:rPr>
              <w:t>FR-P4-54</w:t>
            </w:r>
          </w:p>
        </w:tc>
        <w:tc>
          <w:tcPr>
            <w:tcW w:type="dxa" w:w="3345"/>
          </w:tcPr>
          <w:p>
            <w:pPr>
              <w:spacing w:after="0" w:line="252" w:lineRule="auto"/>
              <w:jc w:val="left"/>
            </w:pPr>
            <w:r>
              <w:rPr>
                <w:rFonts w:ascii="Calibri" w:hAnsi="Calibri"/>
                <w:color w:val="1A1A1A"/>
                <w:sz w:val="17"/>
              </w:rPr>
              <w:t xml:space="preserve">Hold a </w:t>
            </w:r>
            <w:r>
              <w:rPr>
                <w:rFonts w:ascii="Calibri" w:hAnsi="Calibri"/>
                <w:b/>
                <w:color w:val="1A1A1A"/>
                <w:sz w:val="17"/>
              </w:rPr>
              <w:t>delivery-role taxonomy</w:t>
            </w:r>
            <w:r>
              <w:rPr>
                <w:rFonts w:ascii="Calibri" w:hAnsi="Calibri"/>
                <w:color w:val="1A1A1A"/>
                <w:sz w:val="17"/>
              </w:rPr>
              <w:t xml:space="preserve"> distinct from permission roles</w:t>
            </w:r>
          </w:p>
        </w:tc>
        <w:tc>
          <w:tcPr>
            <w:tcW w:type="dxa" w:w="3061"/>
          </w:tcPr>
          <w:p>
            <w:pPr>
              <w:spacing w:after="0" w:line="252" w:lineRule="auto"/>
              <w:jc w:val="left"/>
            </w:pPr>
            <w:r>
              <w:rPr>
                <w:rFonts w:ascii="Calibri" w:hAnsi="Calibri"/>
                <w:color w:val="1A1A1A"/>
                <w:sz w:val="17"/>
              </w:rPr>
              <w:t xml:space="preserve">Lead consultant, security analyst, compliance analyst, QA and reviewer exist as delivery roles. </w:t>
            </w:r>
            <w:r>
              <w:rPr>
                <w:rFonts w:ascii="Calibri" w:hAnsi="Calibri"/>
                <w:color w:val="1F4E79"/>
                <w:sz w:val="17"/>
                <w:u w:val="single"/>
              </w:rPr>
              <w:t>users.ts</w:t>
            </w:r>
            <w:r>
              <w:rPr>
                <w:rFonts w:ascii="Calibri" w:hAnsi="Calibri"/>
                <w:color w:val="1A1A1A"/>
                <w:sz w:val="17"/>
              </w:rPr>
              <w:t xml:space="preserve"> </w:t>
            </w:r>
            <w:r>
              <w:rPr>
                <w:rFonts w:ascii="Consolas" w:hAnsi="Consolas"/>
                <w:color w:val="8B2E2E"/>
                <w:sz w:val="17"/>
              </w:rPr>
              <w:t>roleId</w:t>
            </w:r>
            <w:r>
              <w:rPr>
                <w:rFonts w:ascii="Calibri" w:hAnsi="Calibri"/>
                <w:color w:val="1A1A1A"/>
                <w:sz w:val="17"/>
              </w:rPr>
              <w:t xml:space="preserve"> points at </w:t>
            </w:r>
            <w:r>
              <w:rPr>
                <w:rFonts w:ascii="Calibri" w:hAnsi="Calibri"/>
                <w:i/>
                <w:color w:val="1A1A1A"/>
                <w:sz w:val="17"/>
              </w:rPr>
              <w:t>permission</w:t>
            </w:r>
            <w:r>
              <w:rPr>
                <w:rFonts w:ascii="Calibri" w:hAnsi="Calibri"/>
                <w:color w:val="1A1A1A"/>
                <w:sz w:val="17"/>
              </w:rPr>
              <w:t xml:space="preserve"> roles and cannot serve this purpose. An employee carries a delivery role independent of what they may do in the CRM</w:t>
            </w:r>
          </w:p>
        </w:tc>
        <w:tc>
          <w:tcPr>
            <w:tcW w:type="dxa" w:w="1020"/>
          </w:tcPr>
          <w:p>
            <w:pPr>
              <w:spacing w:after="0" w:line="252" w:lineRule="auto"/>
              <w:jc w:val="left"/>
            </w:pPr>
            <w:r>
              <w:rPr>
                <w:rFonts w:ascii="Calibri" w:hAnsi="Calibri"/>
                <w:b/>
                <w:color w:val="1F4E79"/>
                <w:sz w:val="17"/>
              </w:rPr>
              <w:t>NEW</w:t>
            </w:r>
            <w:r>
              <w:rPr>
                <w:rFonts w:ascii="Calibri" w:hAnsi="Calibri"/>
                <w:color w:val="1F4E79"/>
                <w:sz w:val="17"/>
              </w:rPr>
              <w:t xml:space="preserve"> — foundational; nothing in the platform expresses a delivery role, so nothing else in this pillar can be built first</w:t>
            </w:r>
          </w:p>
        </w:tc>
        <w:tc>
          <w:tcPr>
            <w:tcW w:type="dxa" w:w="1928"/>
          </w:tcPr>
          <w:p>
            <w:pPr>
              <w:spacing w:after="0" w:line="252" w:lineRule="auto"/>
              <w:jc w:val="left"/>
            </w:pPr>
            <w:r>
              <w:rPr>
                <w:rFonts w:ascii="Calibri" w:hAnsi="Calibri"/>
                <w:color w:val="1A1A1A"/>
                <w:sz w:val="17"/>
              </w:rPr>
              <w:t xml:space="preserve">New </w:t>
            </w:r>
            <w:r>
              <w:rPr>
                <w:rFonts w:ascii="Consolas" w:hAnsi="Consolas"/>
                <w:color w:val="8B2E2E"/>
                <w:sz w:val="17"/>
              </w:rPr>
              <w:t>delivery_roles</w:t>
            </w:r>
            <w:r>
              <w:rPr>
                <w:rFonts w:ascii="Calibri" w:hAnsi="Calibri"/>
                <w:color w:val="1A1A1A"/>
                <w:sz w:val="17"/>
              </w:rPr>
              <w:t xml:space="preserve"> + extend </w:t>
            </w:r>
            <w:r>
              <w:rPr>
                <w:rFonts w:ascii="Consolas" w:hAnsi="Consolas"/>
                <w:color w:val="8B2E2E"/>
                <w:sz w:val="17"/>
              </w:rPr>
              <w:t>users</w:t>
            </w:r>
          </w:p>
        </w:tc>
      </w:tr>
      <w:tr>
        <w:tc>
          <w:tcPr>
            <w:tcW w:type="dxa" w:w="964"/>
            <w:shd w:val="clear" w:color="auto" w:fill="FAFBFC"/>
          </w:tcPr>
          <w:p>
            <w:pPr>
              <w:spacing w:after="0" w:line="252" w:lineRule="auto"/>
              <w:jc w:val="left"/>
            </w:pPr>
            <w:r>
              <w:rPr>
                <w:rFonts w:ascii="Calibri" w:hAnsi="Calibri"/>
                <w:color w:val="1A1A1A"/>
                <w:sz w:val="17"/>
              </w:rPr>
              <w:t>FR-P4-01</w:t>
            </w:r>
          </w:p>
        </w:tc>
        <w:tc>
          <w:tcPr>
            <w:tcW w:type="dxa" w:w="3345"/>
            <w:shd w:val="clear" w:color="auto" w:fill="FAFBFC"/>
          </w:tcPr>
          <w:p>
            <w:pPr>
              <w:spacing w:after="0" w:line="252" w:lineRule="auto"/>
              <w:jc w:val="left"/>
            </w:pPr>
            <w:r>
              <w:rPr>
                <w:rFonts w:ascii="Calibri" w:hAnsi="Calibri"/>
                <w:color w:val="1A1A1A"/>
                <w:sz w:val="17"/>
              </w:rPr>
              <w:t xml:space="preserve">Hold effort baselines per service line as a </w:t>
            </w:r>
            <w:r>
              <w:rPr>
                <w:rFonts w:ascii="Calibri" w:hAnsi="Calibri"/>
                <w:b/>
                <w:color w:val="1A1A1A"/>
                <w:sz w:val="17"/>
              </w:rPr>
              <w:t>team shape over weeks</w:t>
            </w:r>
            <w:r>
              <w:rPr>
                <w:rFonts w:ascii="Calibri" w:hAnsi="Calibri"/>
                <w:color w:val="1A1A1A"/>
                <w:sz w:val="17"/>
              </w:rPr>
              <w:t>, broken down by delivery stage</w:t>
            </w:r>
          </w:p>
        </w:tc>
        <w:tc>
          <w:tcPr>
            <w:tcW w:type="dxa" w:w="3061"/>
            <w:shd w:val="clear" w:color="auto" w:fill="FAFBFC"/>
          </w:tcPr>
          <w:p>
            <w:pPr>
              <w:spacing w:after="0" w:line="252" w:lineRule="auto"/>
              <w:jc w:val="left"/>
            </w:pPr>
            <w:r>
              <w:rPr>
                <w:rFonts w:ascii="Calibri" w:hAnsi="Calibri"/>
                <w:color w:val="1A1A1A"/>
                <w:sz w:val="17"/>
              </w:rPr>
              <w:t>A baseline for SOC 2 Type I/II, ISO 27001, DPDP, VAPT, CSPM, CERT-IN and AI governance states how many resources of each delivery role, for how many weeks, across which stages</w:t>
            </w:r>
          </w:p>
        </w:tc>
        <w:tc>
          <w:tcPr>
            <w:tcW w:type="dxa" w:w="1020"/>
            <w:shd w:val="clear" w:color="auto" w:fill="FAFBFC"/>
          </w:tcPr>
          <w:p>
            <w:pPr>
              <w:spacing w:after="0" w:line="252" w:lineRule="auto"/>
              <w:jc w:val="left"/>
            </w:pPr>
            <w:r>
              <w:rPr>
                <w:rFonts w:ascii="Calibri" w:hAnsi="Calibri"/>
                <w:b/>
                <w:color w:val="1F4E79"/>
                <w:sz w:val="17"/>
              </w:rPr>
              <w:t>NEW</w:t>
            </w:r>
            <w:r>
              <w:rPr>
                <w:rFonts w:ascii="Calibri" w:hAnsi="Calibri"/>
                <w:color w:val="1F4E79"/>
                <w:sz w:val="17"/>
              </w:rPr>
              <w:t xml:space="preserve"> — reviewed 25 Aug: resource-weeks, not role-hours</w:t>
            </w:r>
          </w:p>
        </w:tc>
        <w:tc>
          <w:tcPr>
            <w:tcW w:type="dxa" w:w="1928"/>
            <w:shd w:val="clear" w:color="auto" w:fill="FAFBFC"/>
          </w:tcPr>
          <w:p>
            <w:pPr>
              <w:spacing w:after="0" w:line="252" w:lineRule="auto"/>
              <w:jc w:val="left"/>
            </w:pPr>
            <w:r>
              <w:rPr>
                <w:rFonts w:ascii="Calibri" w:hAnsi="Calibri"/>
                <w:color w:val="1A1A1A"/>
                <w:sz w:val="17"/>
              </w:rPr>
              <w:t xml:space="preserve">New </w:t>
            </w:r>
            <w:r>
              <w:rPr>
                <w:rFonts w:ascii="Consolas" w:hAnsi="Consolas"/>
                <w:color w:val="8B2E2E"/>
                <w:sz w:val="17"/>
              </w:rPr>
              <w:t>effort_baselines</w:t>
            </w:r>
            <w:r>
              <w:rPr>
                <w:rFonts w:ascii="Calibri" w:hAnsi="Calibri"/>
                <w:color w:val="1A1A1A"/>
                <w:sz w:val="17"/>
              </w:rPr>
              <w:t xml:space="preserve"> table</w:t>
            </w:r>
          </w:p>
        </w:tc>
      </w:tr>
      <w:tr>
        <w:tc>
          <w:tcPr>
            <w:tcW w:type="dxa" w:w="964"/>
          </w:tcPr>
          <w:p>
            <w:pPr>
              <w:spacing w:after="0" w:line="252" w:lineRule="auto"/>
              <w:jc w:val="left"/>
            </w:pPr>
            <w:r>
              <w:rPr>
                <w:rFonts w:ascii="Calibri" w:hAnsi="Calibri"/>
                <w:color w:val="1A1A1A"/>
                <w:sz w:val="17"/>
              </w:rPr>
              <w:t>FR-P4-02</w:t>
            </w:r>
          </w:p>
        </w:tc>
        <w:tc>
          <w:tcPr>
            <w:tcW w:type="dxa" w:w="3345"/>
          </w:tcPr>
          <w:p>
            <w:pPr>
              <w:spacing w:after="0" w:line="252" w:lineRule="auto"/>
              <w:jc w:val="left"/>
            </w:pPr>
            <w:r>
              <w:rPr>
                <w:rFonts w:ascii="Calibri" w:hAnsi="Calibri"/>
                <w:color w:val="1A1A1A"/>
                <w:sz w:val="17"/>
              </w:rPr>
              <w:t>Carry a confidence band per baseline derived from sample size and observed variance</w:t>
            </w:r>
          </w:p>
        </w:tc>
        <w:tc>
          <w:tcPr>
            <w:tcW w:type="dxa" w:w="3061"/>
          </w:tcPr>
          <w:p>
            <w:pPr>
              <w:spacing w:after="0" w:line="252" w:lineRule="auto"/>
              <w:jc w:val="left"/>
            </w:pPr>
            <w:r>
              <w:rPr>
                <w:rFonts w:ascii="Calibri" w:hAnsi="Calibri"/>
                <w:color w:val="1A1A1A"/>
                <w:sz w:val="17"/>
              </w:rPr>
              <w:t xml:space="preserve">Each baseline shows High / Medium / Low with the supporting engagement count and observed spread. </w:t>
            </w:r>
            <w:r>
              <w:rPr>
                <w:rFonts w:ascii="Calibri" w:hAnsi="Calibri"/>
                <w:b/>
                <w:color w:val="1A1A1A"/>
                <w:sz w:val="17"/>
              </w:rPr>
              <w:t>Until completed engagements exist, every baseline is Low and declared as judgement-based</w:t>
            </w:r>
          </w:p>
        </w:tc>
        <w:tc>
          <w:tcPr>
            <w:tcW w:type="dxa" w:w="1020"/>
          </w:tcPr>
          <w:p>
            <w:pPr>
              <w:spacing w:after="0" w:line="252" w:lineRule="auto"/>
              <w:jc w:val="left"/>
            </w:pPr>
            <w:r>
              <w:rPr>
                <w:rFonts w:ascii="Calibri" w:hAnsi="Calibri"/>
                <w:b/>
                <w:color w:val="1F4E79"/>
                <w:sz w:val="17"/>
              </w:rPr>
              <w:t>NEW</w:t>
            </w:r>
            <w:r>
              <w:rPr>
                <w:rFonts w:ascii="Calibri" w:hAnsi="Calibri"/>
                <w:color w:val="1F4E79"/>
                <w:sz w:val="17"/>
              </w:rPr>
              <w:t xml:space="preserve"> — no completed-engagement effort data exists to derive a band from; see the dependency note above</w:t>
            </w:r>
          </w:p>
        </w:tc>
        <w:tc>
          <w:tcPr>
            <w:tcW w:type="dxa" w:w="1928"/>
          </w:tcPr>
          <w:p>
            <w:pPr>
              <w:spacing w:after="0" w:line="252" w:lineRule="auto"/>
              <w:jc w:val="left"/>
            </w:pPr>
            <w:r>
              <w:rPr>
                <w:rFonts w:ascii="Consolas" w:hAnsi="Consolas"/>
                <w:color w:val="8B2E2E"/>
                <w:sz w:val="17"/>
              </w:rPr>
              <w:t>effort_baselines.confidence</w:t>
            </w:r>
          </w:p>
        </w:tc>
      </w:tr>
      <w:tr>
        <w:tc>
          <w:tcPr>
            <w:tcW w:type="dxa" w:w="964"/>
            <w:shd w:val="clear" w:color="auto" w:fill="FAFBFC"/>
          </w:tcPr>
          <w:p>
            <w:pPr>
              <w:spacing w:after="0" w:line="252" w:lineRule="auto"/>
              <w:jc w:val="left"/>
            </w:pPr>
            <w:r>
              <w:rPr>
                <w:rFonts w:ascii="Calibri" w:hAnsi="Calibri"/>
                <w:color w:val="1A1A1A"/>
                <w:sz w:val="17"/>
              </w:rPr>
              <w:t>FR-P4-03</w:t>
            </w:r>
          </w:p>
        </w:tc>
        <w:tc>
          <w:tcPr>
            <w:tcW w:type="dxa" w:w="3345"/>
            <w:shd w:val="clear" w:color="auto" w:fill="FAFBFC"/>
          </w:tcPr>
          <w:p>
            <w:pPr>
              <w:spacing w:after="0" w:line="252" w:lineRule="auto"/>
              <w:jc w:val="left"/>
            </w:pPr>
            <w:r>
              <w:rPr>
                <w:rFonts w:ascii="Calibri" w:hAnsi="Calibri"/>
                <w:color w:val="1A1A1A"/>
                <w:sz w:val="17"/>
              </w:rPr>
              <w:t>Version every baseline change, dated and attributed</w:t>
            </w:r>
          </w:p>
        </w:tc>
        <w:tc>
          <w:tcPr>
            <w:tcW w:type="dxa" w:w="3061"/>
            <w:shd w:val="clear" w:color="auto" w:fill="FAFBFC"/>
          </w:tcPr>
          <w:p>
            <w:pPr>
              <w:spacing w:after="0" w:line="252" w:lineRule="auto"/>
              <w:jc w:val="left"/>
            </w:pPr>
            <w:r>
              <w:rPr>
                <w:rFonts w:ascii="Calibri" w:hAnsi="Calibri"/>
                <w:color w:val="1A1A1A"/>
                <w:sz w:val="17"/>
              </w:rPr>
              <w:t>Editing a baseline creates a new version; the prior version remains readable</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onsolas" w:hAnsi="Consolas"/>
                <w:color w:val="8B2E2E"/>
                <w:sz w:val="17"/>
              </w:rPr>
              <w:t>effort_baseline_versions</w:t>
            </w:r>
          </w:p>
        </w:tc>
      </w:tr>
      <w:tr>
        <w:tc>
          <w:tcPr>
            <w:tcW w:type="dxa" w:w="964"/>
          </w:tcPr>
          <w:p>
            <w:pPr>
              <w:spacing w:after="0" w:line="252" w:lineRule="auto"/>
              <w:jc w:val="left"/>
            </w:pPr>
            <w:r>
              <w:rPr>
                <w:rFonts w:ascii="Calibri" w:hAnsi="Calibri"/>
                <w:color w:val="1A1A1A"/>
                <w:sz w:val="17"/>
              </w:rPr>
              <w:t>FR-P4-04</w:t>
            </w:r>
          </w:p>
        </w:tc>
        <w:tc>
          <w:tcPr>
            <w:tcW w:type="dxa" w:w="3345"/>
          </w:tcPr>
          <w:p>
            <w:pPr>
              <w:spacing w:after="0" w:line="252" w:lineRule="auto"/>
              <w:jc w:val="left"/>
            </w:pPr>
            <w:r>
              <w:rPr>
                <w:rFonts w:ascii="Calibri" w:hAnsi="Calibri"/>
                <w:color w:val="1A1A1A"/>
                <w:sz w:val="17"/>
              </w:rPr>
              <w:t>Record on every estimate the exact baseline version it was built from</w:t>
            </w:r>
          </w:p>
        </w:tc>
        <w:tc>
          <w:tcPr>
            <w:tcW w:type="dxa" w:w="3061"/>
          </w:tcPr>
          <w:p>
            <w:pPr>
              <w:spacing w:after="0" w:line="252" w:lineRule="auto"/>
              <w:jc w:val="left"/>
            </w:pPr>
            <w:r>
              <w:rPr>
                <w:rFonts w:ascii="Calibri" w:hAnsi="Calibri"/>
                <w:color w:val="1A1A1A"/>
                <w:sz w:val="17"/>
              </w:rPr>
              <w:t>An estimate names its baseline version; changing the baseline later does not alter the estimate</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onsolas" w:hAnsi="Consolas"/>
                <w:color w:val="8B2E2E"/>
                <w:sz w:val="17"/>
              </w:rPr>
              <w:t>estimates.baseline_version_id</w:t>
            </w:r>
          </w:p>
        </w:tc>
      </w:tr>
      <w:tr>
        <w:tc>
          <w:tcPr>
            <w:tcW w:type="dxa" w:w="964"/>
            <w:shd w:val="clear" w:color="auto" w:fill="FAFBFC"/>
          </w:tcPr>
          <w:p>
            <w:pPr>
              <w:spacing w:after="0" w:line="252" w:lineRule="auto"/>
              <w:jc w:val="left"/>
            </w:pPr>
            <w:r>
              <w:rPr>
                <w:rFonts w:ascii="Calibri" w:hAnsi="Calibri"/>
                <w:color w:val="1A1A1A"/>
                <w:sz w:val="17"/>
              </w:rPr>
              <w:t>FR-P4-05</w:t>
            </w:r>
          </w:p>
        </w:tc>
        <w:tc>
          <w:tcPr>
            <w:tcW w:type="dxa" w:w="3345"/>
            <w:shd w:val="clear" w:color="auto" w:fill="FAFBFC"/>
          </w:tcPr>
          <w:p>
            <w:pPr>
              <w:spacing w:after="0" w:line="252" w:lineRule="auto"/>
              <w:jc w:val="left"/>
            </w:pPr>
            <w:r>
              <w:rPr>
                <w:rFonts w:ascii="Calibri" w:hAnsi="Calibri"/>
                <w:color w:val="1A1A1A"/>
                <w:sz w:val="17"/>
              </w:rPr>
              <w:t>Hold non-labour cost templates: external auditor fee ranges, tooling and evidence platforms, travel</w:t>
            </w:r>
          </w:p>
        </w:tc>
        <w:tc>
          <w:tcPr>
            <w:tcW w:type="dxa" w:w="3061"/>
            <w:shd w:val="clear" w:color="auto" w:fill="FAFBFC"/>
          </w:tcPr>
          <w:p>
            <w:pPr>
              <w:spacing w:after="0" w:line="252" w:lineRule="auto"/>
              <w:jc w:val="left"/>
            </w:pPr>
            <w:r>
              <w:rPr>
                <w:rFonts w:ascii="Calibri" w:hAnsi="Calibri"/>
                <w:color w:val="1A1A1A"/>
                <w:sz w:val="17"/>
              </w:rPr>
              <w:t>Templates are selectable when building an estimate and carry a default amount and a pass-through flag</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 xml:space="preserve">New </w:t>
            </w:r>
            <w:r>
              <w:rPr>
                <w:rFonts w:ascii="Consolas" w:hAnsi="Consolas"/>
                <w:color w:val="8B2E2E"/>
                <w:sz w:val="17"/>
              </w:rPr>
              <w:t>non_labour_templates</w:t>
            </w:r>
          </w:p>
        </w:tc>
      </w:tr>
      <w:tr>
        <w:tc>
          <w:tcPr>
            <w:tcW w:type="dxa" w:w="964"/>
          </w:tcPr>
          <w:p>
            <w:pPr>
              <w:spacing w:after="0" w:line="252" w:lineRule="auto"/>
              <w:jc w:val="left"/>
            </w:pPr>
            <w:r>
              <w:rPr>
                <w:rFonts w:ascii="Calibri" w:hAnsi="Calibri"/>
                <w:color w:val="1A1A1A"/>
                <w:sz w:val="17"/>
              </w:rPr>
              <w:t>FR-P4-06</w:t>
            </w:r>
          </w:p>
        </w:tc>
        <w:tc>
          <w:tcPr>
            <w:tcW w:type="dxa" w:w="3345"/>
          </w:tcPr>
          <w:p>
            <w:pPr>
              <w:spacing w:after="0" w:line="252" w:lineRule="auto"/>
              <w:jc w:val="left"/>
            </w:pPr>
            <w:r>
              <w:rPr>
                <w:rFonts w:ascii="Calibri" w:hAnsi="Calibri"/>
                <w:color w:val="1A1A1A"/>
                <w:sz w:val="17"/>
              </w:rPr>
              <w:t>Support composite and bundled services, prerequisite relationships, and re-certification or surveillance-year variants</w:t>
            </w:r>
          </w:p>
        </w:tc>
        <w:tc>
          <w:tcPr>
            <w:tcW w:type="dxa" w:w="3061"/>
          </w:tcPr>
          <w:p>
            <w:pPr>
              <w:spacing w:after="0" w:line="252" w:lineRule="auto"/>
              <w:jc w:val="left"/>
            </w:pPr>
            <w:r>
              <w:rPr>
                <w:rFonts w:ascii="Calibri" w:hAnsi="Calibri"/>
                <w:color w:val="1A1A1A"/>
                <w:sz w:val="17"/>
              </w:rPr>
              <w:t>A bundle composes its member baselines; a surveillance-year variant is a distinct baseline</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onsolas" w:hAnsi="Consolas"/>
                <w:color w:val="8B2E2E"/>
                <w:sz w:val="17"/>
              </w:rPr>
              <w:t>effort_baselines</w:t>
            </w:r>
          </w:p>
        </w:tc>
      </w:tr>
      <w:tr>
        <w:tc>
          <w:tcPr>
            <w:tcW w:type="dxa" w:w="964"/>
            <w:shd w:val="clear" w:color="auto" w:fill="FAFBFC"/>
          </w:tcPr>
          <w:p>
            <w:pPr>
              <w:spacing w:after="0" w:line="252" w:lineRule="auto"/>
              <w:jc w:val="left"/>
            </w:pPr>
            <w:r>
              <w:rPr>
                <w:rFonts w:ascii="Calibri" w:hAnsi="Calibri"/>
                <w:color w:val="1A1A1A"/>
                <w:sz w:val="17"/>
              </w:rPr>
              <w:t>FR-P4-07</w:t>
            </w:r>
          </w:p>
        </w:tc>
        <w:tc>
          <w:tcPr>
            <w:tcW w:type="dxa" w:w="3345"/>
            <w:shd w:val="clear" w:color="auto" w:fill="FAFBFC"/>
          </w:tcPr>
          <w:p>
            <w:pPr>
              <w:spacing w:after="0" w:line="252" w:lineRule="auto"/>
              <w:jc w:val="left"/>
            </w:pPr>
            <w:r>
              <w:rPr>
                <w:rFonts w:ascii="Calibri" w:hAnsi="Calibri"/>
                <w:color w:val="1A1A1A"/>
                <w:sz w:val="17"/>
              </w:rPr>
              <w:t>Report services with no baseline as a coverage gap</w:t>
            </w:r>
          </w:p>
        </w:tc>
        <w:tc>
          <w:tcPr>
            <w:tcW w:type="dxa" w:w="3061"/>
            <w:shd w:val="clear" w:color="auto" w:fill="FAFBFC"/>
          </w:tcPr>
          <w:p>
            <w:pPr>
              <w:spacing w:after="0" w:line="252" w:lineRule="auto"/>
              <w:jc w:val="left"/>
            </w:pPr>
            <w:r>
              <w:rPr>
                <w:rFonts w:ascii="Calibri" w:hAnsi="Calibri"/>
                <w:color w:val="1A1A1A"/>
                <w:sz w:val="17"/>
              </w:rPr>
              <w:t>A coverage report lists every service sold in Pillar 2 that has no catalog entry</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P4 reporting</w:t>
            </w:r>
          </w:p>
        </w:tc>
      </w:tr>
      <w:tr>
        <w:tc>
          <w:tcPr>
            <w:tcW w:type="dxa" w:w="964"/>
          </w:tcPr>
          <w:p>
            <w:pPr>
              <w:spacing w:after="0" w:line="252" w:lineRule="auto"/>
              <w:jc w:val="left"/>
            </w:pPr>
            <w:r>
              <w:rPr>
                <w:rFonts w:ascii="Calibri" w:hAnsi="Calibri"/>
                <w:color w:val="1A1A1A"/>
                <w:sz w:val="17"/>
              </w:rPr>
              <w:t>FR-P4-55</w:t>
            </w:r>
          </w:p>
        </w:tc>
        <w:tc>
          <w:tcPr>
            <w:tcW w:type="dxa" w:w="3345"/>
          </w:tcPr>
          <w:p>
            <w:pPr>
              <w:spacing w:after="0" w:line="252" w:lineRule="auto"/>
              <w:jc w:val="left"/>
            </w:pPr>
            <w:r>
              <w:rPr>
                <w:rFonts w:ascii="Calibri" w:hAnsi="Calibri"/>
                <w:color w:val="1A1A1A"/>
                <w:sz w:val="17"/>
              </w:rPr>
              <w:t>Pre-fill every cost and sizing input with a recommended default, and keep all of them editable</w:t>
            </w:r>
          </w:p>
        </w:tc>
        <w:tc>
          <w:tcPr>
            <w:tcW w:type="dxa" w:w="3061"/>
          </w:tcPr>
          <w:p>
            <w:pPr>
              <w:spacing w:after="0" w:line="252" w:lineRule="auto"/>
              <w:jc w:val="left"/>
            </w:pPr>
            <w:r>
              <w:rPr>
                <w:rFonts w:ascii="Calibri" w:hAnsi="Calibri"/>
                <w:color w:val="1A1A1A"/>
                <w:sz w:val="17"/>
              </w:rPr>
              <w:t>No figure in an estimate is locked. Each shows its recommended value, whether it has been overridden, and by whom — so an override is visible rather than silent</w:t>
            </w:r>
          </w:p>
        </w:tc>
        <w:tc>
          <w:tcPr>
            <w:tcW w:type="dxa" w:w="1020"/>
          </w:tcPr>
          <w:p>
            <w:pPr>
              <w:spacing w:after="0" w:line="252" w:lineRule="auto"/>
              <w:jc w:val="left"/>
            </w:pPr>
            <w:r>
              <w:rPr>
                <w:rFonts w:ascii="Calibri" w:hAnsi="Calibri"/>
                <w:b/>
                <w:color w:val="1F4E79"/>
                <w:sz w:val="17"/>
              </w:rPr>
              <w:t>NEW</w:t>
            </w:r>
            <w:r>
              <w:rPr>
                <w:rFonts w:ascii="Calibri" w:hAnsi="Calibri"/>
                <w:color w:val="1F4E79"/>
                <w:sz w:val="17"/>
              </w:rPr>
              <w:t xml:space="preserve"> — standing principle, stated once and applied across 4.1 to 4.5</w:t>
            </w:r>
          </w:p>
        </w:tc>
        <w:tc>
          <w:tcPr>
            <w:tcW w:type="dxa" w:w="1928"/>
          </w:tcPr>
          <w:p>
            <w:pPr>
              <w:spacing w:after="0" w:line="252" w:lineRule="auto"/>
              <w:jc w:val="left"/>
            </w:pPr>
            <w:r>
              <w:rPr>
                <w:rFonts w:ascii="Calibri" w:hAnsi="Calibri"/>
                <w:color w:val="1A1A1A"/>
                <w:sz w:val="17"/>
              </w:rPr>
              <w:t>Estimate builder</w:t>
            </w:r>
          </w:p>
        </w:tc>
      </w:tr>
      <w:tr>
        <w:tc>
          <w:tcPr>
            <w:tcW w:type="dxa" w:w="964"/>
            <w:shd w:val="clear" w:color="auto" w:fill="FAFBFC"/>
          </w:tcPr>
          <w:p>
            <w:pPr>
              <w:spacing w:after="0" w:line="252" w:lineRule="auto"/>
              <w:jc w:val="left"/>
            </w:pPr>
            <w:r>
              <w:rPr>
                <w:rFonts w:ascii="Calibri" w:hAnsi="Calibri"/>
                <w:color w:val="1A1A1A"/>
                <w:sz w:val="17"/>
              </w:rPr>
              <w:t>FR-P4-56</w:t>
            </w:r>
          </w:p>
        </w:tc>
        <w:tc>
          <w:tcPr>
            <w:tcW w:type="dxa" w:w="3345"/>
            <w:shd w:val="clear" w:color="auto" w:fill="FAFBFC"/>
          </w:tcPr>
          <w:p>
            <w:pPr>
              <w:spacing w:after="0" w:line="252" w:lineRule="auto"/>
              <w:jc w:val="left"/>
            </w:pPr>
            <w:r>
              <w:rPr>
                <w:rFonts w:ascii="Calibri" w:hAnsi="Calibri"/>
                <w:color w:val="1A1A1A"/>
                <w:sz w:val="17"/>
              </w:rPr>
              <w:t xml:space="preserve">Let an estimator add </w:t>
            </w:r>
            <w:r>
              <w:rPr>
                <w:rFonts w:ascii="Calibri" w:hAnsi="Calibri"/>
                <w:b/>
                <w:color w:val="1A1A1A"/>
                <w:sz w:val="17"/>
              </w:rPr>
              <w:t>custom cost variables</w:t>
            </w:r>
            <w:r>
              <w:rPr>
                <w:rFonts w:ascii="Calibri" w:hAnsi="Calibri"/>
                <w:color w:val="1A1A1A"/>
                <w:sz w:val="17"/>
              </w:rPr>
              <w:t xml:space="preserve"> to an engagement beyond the standard layers</w:t>
            </w:r>
          </w:p>
        </w:tc>
        <w:tc>
          <w:tcPr>
            <w:tcW w:type="dxa" w:w="3061"/>
            <w:shd w:val="clear" w:color="auto" w:fill="FAFBFC"/>
          </w:tcPr>
          <w:p>
            <w:pPr>
              <w:spacing w:after="0" w:line="252" w:lineRule="auto"/>
              <w:jc w:val="left"/>
            </w:pPr>
            <w:r>
              <w:rPr>
                <w:rFonts w:ascii="Calibri" w:hAnsi="Calibri"/>
                <w:color w:val="1A1A1A"/>
                <w:sz w:val="17"/>
              </w:rPr>
              <w:t>A named, typed line can be added to any estimate with its own amount and treatment (per-resource-week, per-engagement, pass-through or marked-up), and it carries onto the cost breakdown and the calibration comparison</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onsolas" w:hAnsi="Consolas"/>
                <w:color w:val="8B2E2E"/>
                <w:sz w:val="17"/>
              </w:rPr>
              <w:t>estimate_cost_lines</w:t>
            </w:r>
          </w:p>
        </w:tc>
      </w:tr>
    </w:tbl>
    <w:p>
      <w:pPr>
        <w:spacing w:after="80"/>
      </w:pPr>
    </w:p>
    <w:p>
      <w:pPr>
        <w:spacing w:before="120" w:after="160"/>
        <w:ind w:left="198"/>
        <w:pBdr>
          <w:left w:val="single" w:sz="18" w:space="8" w:color="B08D57"/>
        </w:pBdr>
        <w:shd w:val="clear" w:color="auto" w:fill="F4F1E8"/>
      </w:pPr>
      <w:r>
        <w:rPr>
          <w:rFonts w:ascii="Calibri" w:hAnsi="Calibri"/>
          <w:b/>
          <w:color w:val="1A1A1A"/>
          <w:sz w:val="19"/>
        </w:rPr>
        <w:t>CONCRETE EXAMPLE</w:t>
      </w:r>
      <w:r>
        <w:rPr>
          <w:rFonts w:ascii="Calibri" w:hAnsi="Calibri"/>
          <w:color w:val="1A1A1A"/>
          <w:sz w:val="19"/>
        </w:rPr>
        <w:t xml:space="preserve">  The SOC 2 Type II baseline for a mid-market first-time client is a team of four over twelve weeks: one lead consultant for 12 weeks, two security analysts for 8 weeks each, one compliance analyst for 6 weeks, and QA and review for 2 weeks. Because no completed engagement effort has been captured yet, it carries a Low confidence band and is declared judgement-based. Once delivered effort accumulates, the band is derived from the spread across completed engagements instead.</w:t>
      </w:r>
    </w:p>
    <w:p>
      <w:pPr>
        <w:pStyle w:val="Heading3"/>
      </w:pPr>
      <w:r>
        <w:t>4.2 Scope &amp; sizing model</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064"/>
        <w:gridCol w:w="2064"/>
        <w:gridCol w:w="2064"/>
        <w:gridCol w:w="2064"/>
        <w:gridCol w:w="2064"/>
      </w:tblGrid>
      <w:tr>
        <w:trPr>
          <w:tblHeader w:val="true"/>
        </w:trPr>
        <w:tc>
          <w:tcPr>
            <w:tcW w:type="dxa" w:w="964"/>
            <w:shd w:val="clear" w:color="auto" w:fill="E8EDF2"/>
          </w:tcPr>
          <w:p>
            <w:pPr>
              <w:spacing w:after="0"/>
              <w:jc w:val="left"/>
            </w:pPr>
            <w:r>
              <w:rPr>
                <w:rFonts w:ascii="Calibri" w:hAnsi="Calibri"/>
                <w:b/>
                <w:color w:val="1A1A1A"/>
                <w:sz w:val="17"/>
              </w:rPr>
              <w:t>ID</w:t>
            </w:r>
          </w:p>
        </w:tc>
        <w:tc>
          <w:tcPr>
            <w:tcW w:type="dxa" w:w="3345"/>
            <w:shd w:val="clear" w:color="auto" w:fill="E8EDF2"/>
          </w:tcPr>
          <w:p>
            <w:pPr>
              <w:spacing w:after="0"/>
              <w:jc w:val="left"/>
            </w:pPr>
            <w:r>
              <w:rPr>
                <w:rFonts w:ascii="Calibri" w:hAnsi="Calibri"/>
                <w:b/>
                <w:color w:val="1A1A1A"/>
                <w:sz w:val="17"/>
              </w:rPr>
              <w:t>Requirement</w:t>
            </w:r>
          </w:p>
        </w:tc>
        <w:tc>
          <w:tcPr>
            <w:tcW w:type="dxa" w:w="3061"/>
            <w:shd w:val="clear" w:color="auto" w:fill="E8EDF2"/>
          </w:tcPr>
          <w:p>
            <w:pPr>
              <w:spacing w:after="0"/>
              <w:jc w:val="left"/>
            </w:pPr>
            <w:r>
              <w:rPr>
                <w:rFonts w:ascii="Calibri" w:hAnsi="Calibri"/>
                <w:b/>
                <w:color w:val="1A1A1A"/>
                <w:sz w:val="17"/>
              </w:rPr>
              <w:t>Acceptance</w:t>
            </w:r>
          </w:p>
        </w:tc>
        <w:tc>
          <w:tcPr>
            <w:tcW w:type="dxa" w:w="1020"/>
            <w:shd w:val="clear" w:color="auto" w:fill="E8EDF2"/>
          </w:tcPr>
          <w:p>
            <w:pPr>
              <w:spacing w:after="0"/>
              <w:jc w:val="left"/>
            </w:pPr>
            <w:r>
              <w:rPr>
                <w:rFonts w:ascii="Calibri" w:hAnsi="Calibri"/>
                <w:b/>
                <w:color w:val="1A1A1A"/>
                <w:sz w:val="17"/>
              </w:rPr>
              <w:t>Status</w:t>
            </w:r>
          </w:p>
        </w:tc>
        <w:tc>
          <w:tcPr>
            <w:tcW w:type="dxa" w:w="1928"/>
            <w:shd w:val="clear" w:color="auto" w:fill="E8EDF2"/>
          </w:tcPr>
          <w:p>
            <w:pPr>
              <w:spacing w:after="0"/>
              <w:jc w:val="left"/>
            </w:pPr>
            <w:r>
              <w:rPr>
                <w:rFonts w:ascii="Calibri" w:hAnsi="Calibri"/>
                <w:b/>
                <w:color w:val="1A1A1A"/>
                <w:sz w:val="17"/>
              </w:rPr>
              <w:t>Lands in</w:t>
            </w:r>
          </w:p>
        </w:tc>
      </w:tr>
      <w:tr>
        <w:tc>
          <w:tcPr>
            <w:tcW w:type="dxa" w:w="964"/>
          </w:tcPr>
          <w:p>
            <w:pPr>
              <w:spacing w:after="0" w:line="252" w:lineRule="auto"/>
              <w:jc w:val="left"/>
            </w:pPr>
            <w:r>
              <w:rPr>
                <w:rFonts w:ascii="Calibri" w:hAnsi="Calibri"/>
                <w:color w:val="1A1A1A"/>
                <w:sz w:val="17"/>
              </w:rPr>
              <w:t>FR-P4-08</w:t>
            </w:r>
          </w:p>
        </w:tc>
        <w:tc>
          <w:tcPr>
            <w:tcW w:type="dxa" w:w="3345"/>
          </w:tcPr>
          <w:p>
            <w:pPr>
              <w:spacing w:after="0" w:line="252" w:lineRule="auto"/>
              <w:jc w:val="left"/>
            </w:pPr>
            <w:r>
              <w:rPr>
                <w:rFonts w:ascii="Calibri" w:hAnsi="Calibri"/>
                <w:color w:val="1A1A1A"/>
                <w:sz w:val="17"/>
              </w:rPr>
              <w:t>Hold a driver library with weights — headcount band, cloud environments, physical locations, security maturity, prior certification, in-scope systems, parallel frameworks</w:t>
            </w:r>
          </w:p>
        </w:tc>
        <w:tc>
          <w:tcPr>
            <w:tcW w:type="dxa" w:w="3061"/>
          </w:tcPr>
          <w:p>
            <w:pPr>
              <w:spacing w:after="0" w:line="252" w:lineRule="auto"/>
              <w:jc w:val="left"/>
            </w:pPr>
            <w:r>
              <w:rPr>
                <w:rFonts w:ascii="Calibri" w:hAnsi="Calibri"/>
                <w:color w:val="1A1A1A"/>
                <w:sz w:val="17"/>
              </w:rPr>
              <w:t>Each driver has a defined value set and a weight, editable by an entitled role</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 xml:space="preserve">New </w:t>
            </w:r>
            <w:r>
              <w:rPr>
                <w:rFonts w:ascii="Consolas" w:hAnsi="Consolas"/>
                <w:color w:val="8B2E2E"/>
                <w:sz w:val="17"/>
              </w:rPr>
              <w:t>sizing_drivers</w:t>
            </w:r>
          </w:p>
        </w:tc>
      </w:tr>
      <w:tr>
        <w:tc>
          <w:tcPr>
            <w:tcW w:type="dxa" w:w="964"/>
            <w:shd w:val="clear" w:color="auto" w:fill="FAFBFC"/>
          </w:tcPr>
          <w:p>
            <w:pPr>
              <w:spacing w:after="0" w:line="252" w:lineRule="auto"/>
              <w:jc w:val="left"/>
            </w:pPr>
            <w:r>
              <w:rPr>
                <w:rFonts w:ascii="Calibri" w:hAnsi="Calibri"/>
                <w:color w:val="1A1A1A"/>
                <w:sz w:val="17"/>
              </w:rPr>
              <w:t>FR-P4-09</w:t>
            </w:r>
          </w:p>
        </w:tc>
        <w:tc>
          <w:tcPr>
            <w:tcW w:type="dxa" w:w="3345"/>
            <w:shd w:val="clear" w:color="auto" w:fill="FAFBFC"/>
          </w:tcPr>
          <w:p>
            <w:pPr>
              <w:spacing w:after="0" w:line="252" w:lineRule="auto"/>
              <w:jc w:val="left"/>
            </w:pPr>
            <w:r>
              <w:rPr>
                <w:rFonts w:ascii="Calibri" w:hAnsi="Calibri"/>
                <w:color w:val="1A1A1A"/>
                <w:sz w:val="17"/>
              </w:rPr>
              <w:t xml:space="preserve">Compose multiple drivers into a single multiplier under stated composition rules, applied to </w:t>
            </w:r>
            <w:r>
              <w:rPr>
                <w:rFonts w:ascii="Calibri" w:hAnsi="Calibri"/>
                <w:b/>
                <w:color w:val="1A1A1A"/>
                <w:sz w:val="17"/>
              </w:rPr>
              <w:t>weeks, team size, or both</w:t>
            </w:r>
          </w:p>
        </w:tc>
        <w:tc>
          <w:tcPr>
            <w:tcW w:type="dxa" w:w="3061"/>
            <w:shd w:val="clear" w:color="auto" w:fill="FAFBFC"/>
          </w:tcPr>
          <w:p>
            <w:pPr>
              <w:spacing w:after="0" w:line="252" w:lineRule="auto"/>
              <w:jc w:val="left"/>
            </w:pPr>
            <w:r>
              <w:rPr>
                <w:rFonts w:ascii="Calibri" w:hAnsi="Calibri"/>
                <w:color w:val="1A1A1A"/>
                <w:sz w:val="17"/>
              </w:rPr>
              <w:t>The composed multiplier and each contributing driver are shown on the estimate, and the driver states whether it lengthens the engagement, enlarges the team, or does both</w:t>
            </w:r>
          </w:p>
        </w:tc>
        <w:tc>
          <w:tcPr>
            <w:tcW w:type="dxa" w:w="1020"/>
            <w:shd w:val="clear" w:color="auto" w:fill="FAFBFC"/>
          </w:tcPr>
          <w:p>
            <w:pPr>
              <w:spacing w:after="0" w:line="252" w:lineRule="auto"/>
              <w:jc w:val="left"/>
            </w:pPr>
            <w:r>
              <w:rPr>
                <w:rFonts w:ascii="Calibri" w:hAnsi="Calibri"/>
                <w:b/>
                <w:color w:val="1F4E79"/>
                <w:sz w:val="17"/>
              </w:rPr>
              <w:t>NEW</w:t>
            </w:r>
            <w:r>
              <w:rPr>
                <w:rFonts w:ascii="Calibri" w:hAnsi="Calibri"/>
                <w:color w:val="1F4E79"/>
                <w:sz w:val="17"/>
              </w:rPr>
              <w:t xml:space="preserve"> — reviewed 25 Aug: a driver that adds a cloud environment may add weeks or add an analyst, and those cost differently</w:t>
            </w:r>
          </w:p>
        </w:tc>
        <w:tc>
          <w:tcPr>
            <w:tcW w:type="dxa" w:w="1928"/>
            <w:shd w:val="clear" w:color="auto" w:fill="FAFBFC"/>
          </w:tcPr>
          <w:p>
            <w:pPr>
              <w:spacing w:after="0" w:line="252" w:lineRule="auto"/>
              <w:jc w:val="left"/>
            </w:pPr>
            <w:r>
              <w:rPr>
                <w:rFonts w:ascii="Calibri" w:hAnsi="Calibri"/>
                <w:color w:val="1A1A1A"/>
                <w:sz w:val="17"/>
              </w:rPr>
              <w:t>Sizing service</w:t>
            </w:r>
          </w:p>
        </w:tc>
      </w:tr>
      <w:tr>
        <w:tc>
          <w:tcPr>
            <w:tcW w:type="dxa" w:w="964"/>
          </w:tcPr>
          <w:p>
            <w:pPr>
              <w:spacing w:after="0" w:line="252" w:lineRule="auto"/>
              <w:jc w:val="left"/>
            </w:pPr>
            <w:r>
              <w:rPr>
                <w:rFonts w:ascii="Calibri" w:hAnsi="Calibri"/>
                <w:color w:val="1A1A1A"/>
                <w:sz w:val="17"/>
              </w:rPr>
              <w:t>FR-P4-10</w:t>
            </w:r>
          </w:p>
        </w:tc>
        <w:tc>
          <w:tcPr>
            <w:tcW w:type="dxa" w:w="3345"/>
          </w:tcPr>
          <w:p>
            <w:pPr>
              <w:spacing w:after="0" w:line="252" w:lineRule="auto"/>
              <w:jc w:val="left"/>
            </w:pPr>
            <w:r>
              <w:rPr>
                <w:rFonts w:ascii="Calibri" w:hAnsi="Calibri"/>
                <w:color w:val="1A1A1A"/>
                <w:sz w:val="17"/>
              </w:rPr>
              <w:t>Guard against implausible compounding with a configurable multiplier ceiling</w:t>
            </w:r>
          </w:p>
        </w:tc>
        <w:tc>
          <w:tcPr>
            <w:tcW w:type="dxa" w:w="3061"/>
          </w:tcPr>
          <w:p>
            <w:pPr>
              <w:spacing w:after="0" w:line="252" w:lineRule="auto"/>
              <w:jc w:val="left"/>
            </w:pPr>
            <w:r>
              <w:rPr>
                <w:rFonts w:ascii="Calibri" w:hAnsi="Calibri"/>
                <w:color w:val="1A1A1A"/>
                <w:sz w:val="17"/>
              </w:rPr>
              <w:t>A composition exceeding the ceiling is capped and flagged for review rather than applied silently</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Sizing service</w:t>
            </w:r>
          </w:p>
        </w:tc>
      </w:tr>
      <w:tr>
        <w:tc>
          <w:tcPr>
            <w:tcW w:type="dxa" w:w="964"/>
            <w:shd w:val="clear" w:color="auto" w:fill="FAFBFC"/>
          </w:tcPr>
          <w:p>
            <w:pPr>
              <w:spacing w:after="0" w:line="252" w:lineRule="auto"/>
              <w:jc w:val="left"/>
            </w:pPr>
            <w:r>
              <w:rPr>
                <w:rFonts w:ascii="Calibri" w:hAnsi="Calibri"/>
                <w:color w:val="1A1A1A"/>
                <w:sz w:val="17"/>
              </w:rPr>
              <w:t>FR-P4-11</w:t>
            </w:r>
          </w:p>
        </w:tc>
        <w:tc>
          <w:tcPr>
            <w:tcW w:type="dxa" w:w="3345"/>
            <w:shd w:val="clear" w:color="auto" w:fill="FAFBFC"/>
          </w:tcPr>
          <w:p>
            <w:pPr>
              <w:spacing w:after="0" w:line="252" w:lineRule="auto"/>
              <w:jc w:val="left"/>
            </w:pPr>
            <w:r>
              <w:rPr>
                <w:rFonts w:ascii="Calibri" w:hAnsi="Calibri"/>
                <w:color w:val="1A1A1A"/>
                <w:sz w:val="17"/>
              </w:rPr>
              <w:t>Capture driver values through a scoping questionnaire that records each answer's source and confidence</w:t>
            </w:r>
          </w:p>
        </w:tc>
        <w:tc>
          <w:tcPr>
            <w:tcW w:type="dxa" w:w="3061"/>
            <w:shd w:val="clear" w:color="auto" w:fill="FAFBFC"/>
          </w:tcPr>
          <w:p>
            <w:pPr>
              <w:spacing w:after="0" w:line="252" w:lineRule="auto"/>
              <w:jc w:val="left"/>
            </w:pPr>
            <w:r>
              <w:rPr>
                <w:rFonts w:ascii="Calibri" w:hAnsi="Calibri"/>
                <w:color w:val="1A1A1A"/>
                <w:sz w:val="17"/>
              </w:rPr>
              <w:t>Every driver value on an estimate carries who supplied it and how confident they were</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New questionnaire UI</w:t>
            </w:r>
          </w:p>
        </w:tc>
      </w:tr>
      <w:tr>
        <w:tc>
          <w:tcPr>
            <w:tcW w:type="dxa" w:w="964"/>
          </w:tcPr>
          <w:p>
            <w:pPr>
              <w:spacing w:after="0" w:line="252" w:lineRule="auto"/>
              <w:jc w:val="left"/>
            </w:pPr>
            <w:r>
              <w:rPr>
                <w:rFonts w:ascii="Calibri" w:hAnsi="Calibri"/>
                <w:color w:val="1A1A1A"/>
                <w:sz w:val="17"/>
              </w:rPr>
              <w:t>FR-P4-12</w:t>
            </w:r>
          </w:p>
        </w:tc>
        <w:tc>
          <w:tcPr>
            <w:tcW w:type="dxa" w:w="3345"/>
          </w:tcPr>
          <w:p>
            <w:pPr>
              <w:spacing w:after="0" w:line="252" w:lineRule="auto"/>
              <w:jc w:val="left"/>
            </w:pPr>
            <w:r>
              <w:rPr>
                <w:rFonts w:ascii="Calibri" w:hAnsi="Calibri"/>
                <w:color w:val="1A1A1A"/>
                <w:sz w:val="17"/>
              </w:rPr>
              <w:t>Capture scope inclusions, exclusions and client obligations as structured items</w:t>
            </w:r>
          </w:p>
        </w:tc>
        <w:tc>
          <w:tcPr>
            <w:tcW w:type="dxa" w:w="3061"/>
          </w:tcPr>
          <w:p>
            <w:pPr>
              <w:spacing w:after="0" w:line="252" w:lineRule="auto"/>
              <w:jc w:val="left"/>
            </w:pPr>
            <w:r>
              <w:rPr>
                <w:rFonts w:ascii="Calibri" w:hAnsi="Calibri"/>
                <w:color w:val="1A1A1A"/>
                <w:sz w:val="17"/>
              </w:rPr>
              <w:t>Each is a discrete record that carries through unchanged to the quotation</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 xml:space="preserve">New </w:t>
            </w:r>
            <w:r>
              <w:rPr>
                <w:rFonts w:ascii="Consolas" w:hAnsi="Consolas"/>
                <w:color w:val="8B2E2E"/>
                <w:sz w:val="17"/>
              </w:rPr>
              <w:t>scope_items</w:t>
            </w:r>
          </w:p>
        </w:tc>
      </w:tr>
      <w:tr>
        <w:tc>
          <w:tcPr>
            <w:tcW w:type="dxa" w:w="964"/>
            <w:shd w:val="clear" w:color="auto" w:fill="FAFBFC"/>
          </w:tcPr>
          <w:p>
            <w:pPr>
              <w:spacing w:after="0" w:line="252" w:lineRule="auto"/>
              <w:jc w:val="left"/>
            </w:pPr>
            <w:r>
              <w:rPr>
                <w:rFonts w:ascii="Calibri" w:hAnsi="Calibri"/>
                <w:color w:val="1A1A1A"/>
                <w:sz w:val="17"/>
              </w:rPr>
              <w:t>FR-P4-13</w:t>
            </w:r>
          </w:p>
        </w:tc>
        <w:tc>
          <w:tcPr>
            <w:tcW w:type="dxa" w:w="3345"/>
            <w:shd w:val="clear" w:color="auto" w:fill="FAFBFC"/>
          </w:tcPr>
          <w:p>
            <w:pPr>
              <w:spacing w:after="0" w:line="252" w:lineRule="auto"/>
              <w:jc w:val="left"/>
            </w:pPr>
            <w:r>
              <w:rPr>
                <w:rFonts w:ascii="Calibri" w:hAnsi="Calibri"/>
                <w:color w:val="1A1A1A"/>
                <w:sz w:val="17"/>
              </w:rPr>
              <w:t>Re-size on scope change and show the effort and cost delta explicitly</w:t>
            </w:r>
          </w:p>
        </w:tc>
        <w:tc>
          <w:tcPr>
            <w:tcW w:type="dxa" w:w="3061"/>
            <w:shd w:val="clear" w:color="auto" w:fill="FAFBFC"/>
          </w:tcPr>
          <w:p>
            <w:pPr>
              <w:spacing w:after="0" w:line="252" w:lineRule="auto"/>
              <w:jc w:val="left"/>
            </w:pPr>
            <w:r>
              <w:rPr>
                <w:rFonts w:ascii="Calibri" w:hAnsi="Calibri"/>
                <w:color w:val="1A1A1A"/>
                <w:sz w:val="17"/>
              </w:rPr>
              <w:t>A scope change produces a named delta in resource-weeks and cost — which roles gained or lost how many weeks — not a silently revised total</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Sizing service</w:t>
            </w:r>
          </w:p>
        </w:tc>
      </w:tr>
    </w:tbl>
    <w:p>
      <w:pPr>
        <w:spacing w:after="80"/>
      </w:pPr>
    </w:p>
    <w:p>
      <w:pPr>
        <w:spacing w:before="120" w:after="160"/>
        <w:ind w:left="198"/>
        <w:pBdr>
          <w:left w:val="single" w:sz="18" w:space="8" w:color="B08D57"/>
        </w:pBdr>
        <w:shd w:val="clear" w:color="auto" w:fill="F4F1E8"/>
      </w:pPr>
      <w:r>
        <w:rPr>
          <w:rFonts w:ascii="Calibri" w:hAnsi="Calibri"/>
          <w:b/>
          <w:color w:val="1A1A1A"/>
          <w:sz w:val="19"/>
        </w:rPr>
        <w:t>CONCRETE EXAMPLE</w:t>
      </w:r>
      <w:r>
        <w:rPr>
          <w:rFonts w:ascii="Calibri" w:hAnsi="Calibri"/>
          <w:color w:val="1A1A1A"/>
          <w:sz w:val="19"/>
        </w:rPr>
        <w:t xml:space="preserve">  Northwind has 180 staff (band 100–250, neutral), three cloud environments (+15%), two locations (+5%), and no prior certification (+10%). Drivers compose to a 1.30 multiplier, taking the twelve-week baseline to roughly sixteen weeks of the same team shape. Each driver, its source, and whether it stretched the schedule or grew the team is retained, so the sizing can be defended or corrected later.</w:t>
      </w:r>
    </w:p>
    <w:p>
      <w:pPr>
        <w:pStyle w:val="Heading3"/>
      </w:pPr>
      <w:r>
        <w:t>4.3 Cost engine</w:t>
      </w:r>
    </w:p>
    <w:p>
      <w:pPr>
        <w:spacing w:before="120" w:after="160"/>
        <w:ind w:left="198"/>
        <w:pBdr>
          <w:left w:val="single" w:sz="18" w:space="8" w:color="B08D57"/>
        </w:pBdr>
        <w:shd w:val="clear" w:color="auto" w:fill="F4F1E8"/>
      </w:pPr>
      <w:r>
        <w:rPr>
          <w:rFonts w:ascii="Calibri" w:hAnsi="Calibri"/>
          <w:b/>
          <w:color w:val="1A1A1A"/>
          <w:sz w:val="19"/>
        </w:rPr>
        <w:t>BOUNDARY NOTE</w:t>
      </w:r>
      <w:r>
        <w:rPr>
          <w:rFonts w:ascii="Calibri" w:hAnsi="Calibri"/>
          <w:color w:val="1A1A1A"/>
          <w:sz w:val="19"/>
        </w:rPr>
        <w:t xml:space="preserve">  In the source document these cost facts lived in a separate platform and were unreachable by design. Absorbed into this platform, they are protected by field-level permission and audit instead. Every requirement in this subsection is load-bearing for the security requirements in Section D.</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064"/>
        <w:gridCol w:w="2064"/>
        <w:gridCol w:w="2064"/>
        <w:gridCol w:w="2064"/>
        <w:gridCol w:w="2064"/>
      </w:tblGrid>
      <w:tr>
        <w:trPr>
          <w:tblHeader w:val="true"/>
        </w:trPr>
        <w:tc>
          <w:tcPr>
            <w:tcW w:type="dxa" w:w="964"/>
            <w:shd w:val="clear" w:color="auto" w:fill="E8EDF2"/>
          </w:tcPr>
          <w:p>
            <w:pPr>
              <w:spacing w:after="0"/>
              <w:jc w:val="left"/>
            </w:pPr>
            <w:r>
              <w:rPr>
                <w:rFonts w:ascii="Calibri" w:hAnsi="Calibri"/>
                <w:b/>
                <w:color w:val="1A1A1A"/>
                <w:sz w:val="17"/>
              </w:rPr>
              <w:t>ID</w:t>
            </w:r>
          </w:p>
        </w:tc>
        <w:tc>
          <w:tcPr>
            <w:tcW w:type="dxa" w:w="3345"/>
            <w:shd w:val="clear" w:color="auto" w:fill="E8EDF2"/>
          </w:tcPr>
          <w:p>
            <w:pPr>
              <w:spacing w:after="0"/>
              <w:jc w:val="left"/>
            </w:pPr>
            <w:r>
              <w:rPr>
                <w:rFonts w:ascii="Calibri" w:hAnsi="Calibri"/>
                <w:b/>
                <w:color w:val="1A1A1A"/>
                <w:sz w:val="17"/>
              </w:rPr>
              <w:t>Requirement</w:t>
            </w:r>
          </w:p>
        </w:tc>
        <w:tc>
          <w:tcPr>
            <w:tcW w:type="dxa" w:w="3061"/>
            <w:shd w:val="clear" w:color="auto" w:fill="E8EDF2"/>
          </w:tcPr>
          <w:p>
            <w:pPr>
              <w:spacing w:after="0"/>
              <w:jc w:val="left"/>
            </w:pPr>
            <w:r>
              <w:rPr>
                <w:rFonts w:ascii="Calibri" w:hAnsi="Calibri"/>
                <w:b/>
                <w:color w:val="1A1A1A"/>
                <w:sz w:val="17"/>
              </w:rPr>
              <w:t>Acceptance</w:t>
            </w:r>
          </w:p>
        </w:tc>
        <w:tc>
          <w:tcPr>
            <w:tcW w:type="dxa" w:w="1020"/>
            <w:shd w:val="clear" w:color="auto" w:fill="E8EDF2"/>
          </w:tcPr>
          <w:p>
            <w:pPr>
              <w:spacing w:after="0"/>
              <w:jc w:val="left"/>
            </w:pPr>
            <w:r>
              <w:rPr>
                <w:rFonts w:ascii="Calibri" w:hAnsi="Calibri"/>
                <w:b/>
                <w:color w:val="1A1A1A"/>
                <w:sz w:val="17"/>
              </w:rPr>
              <w:t>Status</w:t>
            </w:r>
          </w:p>
        </w:tc>
        <w:tc>
          <w:tcPr>
            <w:tcW w:type="dxa" w:w="1928"/>
            <w:shd w:val="clear" w:color="auto" w:fill="E8EDF2"/>
          </w:tcPr>
          <w:p>
            <w:pPr>
              <w:spacing w:after="0"/>
              <w:jc w:val="left"/>
            </w:pPr>
            <w:r>
              <w:rPr>
                <w:rFonts w:ascii="Calibri" w:hAnsi="Calibri"/>
                <w:b/>
                <w:color w:val="1A1A1A"/>
                <w:sz w:val="17"/>
              </w:rPr>
              <w:t>Lands in</w:t>
            </w:r>
          </w:p>
        </w:tc>
      </w:tr>
      <w:tr>
        <w:tc>
          <w:tcPr>
            <w:tcW w:type="dxa" w:w="964"/>
          </w:tcPr>
          <w:p>
            <w:pPr>
              <w:spacing w:after="0" w:line="252" w:lineRule="auto"/>
              <w:jc w:val="left"/>
            </w:pPr>
            <w:r>
              <w:rPr>
                <w:rFonts w:ascii="Calibri" w:hAnsi="Calibri"/>
                <w:color w:val="1A1A1A"/>
                <w:sz w:val="17"/>
              </w:rPr>
              <w:t>FR-P4-14</w:t>
            </w:r>
          </w:p>
        </w:tc>
        <w:tc>
          <w:tcPr>
            <w:tcW w:type="dxa" w:w="3345"/>
          </w:tcPr>
          <w:p>
            <w:pPr>
              <w:spacing w:after="0" w:line="252" w:lineRule="auto"/>
              <w:jc w:val="left"/>
            </w:pPr>
            <w:r>
              <w:rPr>
                <w:rFonts w:ascii="Calibri" w:hAnsi="Calibri"/>
                <w:color w:val="1A1A1A"/>
                <w:sz w:val="17"/>
              </w:rPr>
              <w:t xml:space="preserve">Hold the three </w:t>
            </w:r>
            <w:r>
              <w:rPr>
                <w:rFonts w:ascii="Calibri" w:hAnsi="Calibri"/>
                <w:b/>
                <w:color w:val="1A1A1A"/>
                <w:sz w:val="17"/>
              </w:rPr>
              <w:t>per-resource weekly cost components</w:t>
            </w:r>
            <w:r>
              <w:rPr>
                <w:rFonts w:ascii="Calibri" w:hAnsi="Calibri"/>
                <w:color w:val="1A1A1A"/>
                <w:sz w:val="17"/>
              </w:rPr>
              <w:t xml:space="preserve"> — base, seat and support — with effective dating, at both delivery-role average and named-employee level</w:t>
            </w:r>
          </w:p>
        </w:tc>
        <w:tc>
          <w:tcPr>
            <w:tcW w:type="dxa" w:w="3061"/>
          </w:tcPr>
          <w:p>
            <w:pPr>
              <w:spacing w:after="0" w:line="252" w:lineRule="auto"/>
              <w:jc w:val="left"/>
            </w:pPr>
            <w:r>
              <w:rPr>
                <w:rFonts w:ascii="Calibri" w:hAnsi="Calibri"/>
                <w:color w:val="1A1A1A"/>
                <w:sz w:val="17"/>
              </w:rPr>
              <w:t>Each component has a value, a scope (role or employee), a valid-from and a valid-to. A historic estimate resolves the components that applied on its date. Seat and support default to a company-wide figure and can be overridden per role or per person</w:t>
            </w:r>
          </w:p>
        </w:tc>
        <w:tc>
          <w:tcPr>
            <w:tcW w:type="dxa" w:w="1020"/>
          </w:tcPr>
          <w:p>
            <w:pPr>
              <w:spacing w:after="0" w:line="252" w:lineRule="auto"/>
              <w:jc w:val="left"/>
            </w:pPr>
            <w:r>
              <w:rPr>
                <w:rFonts w:ascii="Calibri" w:hAnsi="Calibri"/>
                <w:b/>
                <w:color w:val="1F4E79"/>
                <w:sz w:val="17"/>
              </w:rPr>
              <w:t>NEW</w:t>
            </w:r>
            <w:r>
              <w:rPr>
                <w:rFonts w:ascii="Calibri" w:hAnsi="Calibri"/>
                <w:color w:val="1F4E79"/>
                <w:sz w:val="17"/>
              </w:rPr>
              <w:t xml:space="preserve"> — reviewed 25 Aug</w:t>
            </w:r>
          </w:p>
        </w:tc>
        <w:tc>
          <w:tcPr>
            <w:tcW w:type="dxa" w:w="1928"/>
          </w:tcPr>
          <w:p>
            <w:pPr>
              <w:spacing w:after="0" w:line="252" w:lineRule="auto"/>
              <w:jc w:val="left"/>
            </w:pPr>
            <w:r>
              <w:rPr>
                <w:rFonts w:ascii="Calibri" w:hAnsi="Calibri"/>
                <w:color w:val="1A1A1A"/>
                <w:sz w:val="17"/>
              </w:rPr>
              <w:t xml:space="preserve">New </w:t>
            </w:r>
            <w:r>
              <w:rPr>
                <w:rFonts w:ascii="Consolas" w:hAnsi="Consolas"/>
                <w:color w:val="8B2E2E"/>
                <w:sz w:val="17"/>
              </w:rPr>
              <w:t>resource_cost_components</w:t>
            </w:r>
          </w:p>
        </w:tc>
      </w:tr>
      <w:tr>
        <w:tc>
          <w:tcPr>
            <w:tcW w:type="dxa" w:w="964"/>
            <w:shd w:val="clear" w:color="auto" w:fill="FAFBFC"/>
          </w:tcPr>
          <w:p>
            <w:pPr>
              <w:spacing w:after="0" w:line="252" w:lineRule="auto"/>
              <w:jc w:val="left"/>
            </w:pPr>
            <w:r>
              <w:rPr>
                <w:rFonts w:ascii="Calibri" w:hAnsi="Calibri"/>
                <w:color w:val="1A1A1A"/>
                <w:sz w:val="17"/>
              </w:rPr>
              <w:t>FR-P4-15</w:t>
            </w:r>
          </w:p>
        </w:tc>
        <w:tc>
          <w:tcPr>
            <w:tcW w:type="dxa" w:w="3345"/>
            <w:shd w:val="clear" w:color="auto" w:fill="FAFBFC"/>
          </w:tcPr>
          <w:p>
            <w:pPr>
              <w:spacing w:after="0" w:line="252" w:lineRule="auto"/>
              <w:jc w:val="left"/>
            </w:pPr>
            <w:r>
              <w:rPr>
                <w:rFonts w:ascii="Calibri" w:hAnsi="Calibri"/>
                <w:color w:val="1A1A1A"/>
                <w:sz w:val="17"/>
              </w:rPr>
              <w:t>Compute labour cost as the sum over resources of loaded weekly cost multiplied by weeks on the engagement</w:t>
            </w:r>
          </w:p>
        </w:tc>
        <w:tc>
          <w:tcPr>
            <w:tcW w:type="dxa" w:w="3061"/>
            <w:shd w:val="clear" w:color="auto" w:fill="FAFBFC"/>
          </w:tcPr>
          <w:p>
            <w:pPr>
              <w:spacing w:after="0" w:line="252" w:lineRule="auto"/>
              <w:jc w:val="left"/>
            </w:pPr>
            <w:r>
              <w:rPr>
                <w:rFonts w:ascii="Calibri" w:hAnsi="Calibri"/>
                <w:color w:val="1A1A1A"/>
                <w:sz w:val="17"/>
              </w:rPr>
              <w:t>Labour cost is derivable resource by resource and week by week, and reconciles to the total. Each resource line shows base, seat and support separately</w:t>
            </w:r>
          </w:p>
        </w:tc>
        <w:tc>
          <w:tcPr>
            <w:tcW w:type="dxa" w:w="1020"/>
            <w:shd w:val="clear" w:color="auto" w:fill="FAFBFC"/>
          </w:tcPr>
          <w:p>
            <w:pPr>
              <w:spacing w:after="0" w:line="252" w:lineRule="auto"/>
              <w:jc w:val="left"/>
            </w:pPr>
            <w:r>
              <w:rPr>
                <w:rFonts w:ascii="Calibri" w:hAnsi="Calibri"/>
                <w:b/>
                <w:color w:val="1F4E79"/>
                <w:sz w:val="17"/>
              </w:rPr>
              <w:t>NEW</w:t>
            </w:r>
            <w:r>
              <w:rPr>
                <w:rFonts w:ascii="Calibri" w:hAnsi="Calibri"/>
                <w:color w:val="1F4E79"/>
                <w:sz w:val="17"/>
              </w:rPr>
              <w:t xml:space="preserve"> — reviewed 25 Aug: resource-weeks, not role-hours</w:t>
            </w:r>
          </w:p>
        </w:tc>
        <w:tc>
          <w:tcPr>
            <w:tcW w:type="dxa" w:w="1928"/>
            <w:shd w:val="clear" w:color="auto" w:fill="FAFBFC"/>
          </w:tcPr>
          <w:p>
            <w:pPr>
              <w:spacing w:after="0" w:line="252" w:lineRule="auto"/>
              <w:jc w:val="left"/>
            </w:pPr>
            <w:r>
              <w:rPr>
                <w:rFonts w:ascii="Calibri" w:hAnsi="Calibri"/>
                <w:color w:val="1A1A1A"/>
                <w:sz w:val="17"/>
              </w:rPr>
              <w:t>Cost engine service</w:t>
            </w:r>
          </w:p>
        </w:tc>
      </w:tr>
      <w:tr>
        <w:tc>
          <w:tcPr>
            <w:tcW w:type="dxa" w:w="964"/>
          </w:tcPr>
          <w:p>
            <w:pPr>
              <w:spacing w:after="0" w:line="252" w:lineRule="auto"/>
              <w:jc w:val="left"/>
            </w:pPr>
            <w:r>
              <w:rPr>
                <w:rFonts w:ascii="Calibri" w:hAnsi="Calibri"/>
                <w:color w:val="1A1A1A"/>
                <w:sz w:val="17"/>
              </w:rPr>
              <w:t>FR-P4-16</w:t>
            </w:r>
          </w:p>
        </w:tc>
        <w:tc>
          <w:tcPr>
            <w:tcW w:type="dxa" w:w="3345"/>
          </w:tcPr>
          <w:p>
            <w:pPr>
              <w:spacing w:after="0" w:line="252" w:lineRule="auto"/>
              <w:jc w:val="left"/>
            </w:pPr>
            <w:r>
              <w:rPr>
                <w:rFonts w:ascii="Calibri" w:hAnsi="Calibri"/>
                <w:color w:val="1A1A1A"/>
                <w:sz w:val="17"/>
              </w:rPr>
              <w:t>Hold non-labour cost lines, each marked pass-through or marked-up</w:t>
            </w:r>
          </w:p>
        </w:tc>
        <w:tc>
          <w:tcPr>
            <w:tcW w:type="dxa" w:w="3061"/>
          </w:tcPr>
          <w:p>
            <w:pPr>
              <w:spacing w:after="0" w:line="252" w:lineRule="auto"/>
              <w:jc w:val="left"/>
            </w:pPr>
            <w:r>
              <w:rPr>
                <w:rFonts w:ascii="Calibri" w:hAnsi="Calibri"/>
                <w:color w:val="1A1A1A"/>
                <w:sz w:val="17"/>
              </w:rPr>
              <w:t>Pass-through lines appear at cost on the quotation; marked-up lines contribute to margin</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onsolas" w:hAnsi="Consolas"/>
                <w:color w:val="8B2E2E"/>
                <w:sz w:val="17"/>
              </w:rPr>
              <w:t>estimate_cost_lines</w:t>
            </w:r>
          </w:p>
        </w:tc>
      </w:tr>
      <w:tr>
        <w:tc>
          <w:tcPr>
            <w:tcW w:type="dxa" w:w="964"/>
            <w:shd w:val="clear" w:color="auto" w:fill="FAFBFC"/>
          </w:tcPr>
          <w:p>
            <w:pPr>
              <w:spacing w:after="0" w:line="252" w:lineRule="auto"/>
              <w:jc w:val="left"/>
            </w:pPr>
            <w:r>
              <w:rPr>
                <w:rFonts w:ascii="Calibri" w:hAnsi="Calibri"/>
                <w:color w:val="1A1A1A"/>
                <w:sz w:val="17"/>
              </w:rPr>
              <w:t>FR-P4-17</w:t>
            </w:r>
          </w:p>
        </w:tc>
        <w:tc>
          <w:tcPr>
            <w:tcW w:type="dxa" w:w="3345"/>
            <w:shd w:val="clear" w:color="auto" w:fill="FAFBFC"/>
          </w:tcPr>
          <w:p>
            <w:pPr>
              <w:spacing w:after="0" w:line="252" w:lineRule="auto"/>
              <w:jc w:val="left"/>
            </w:pPr>
            <w:r>
              <w:rPr>
                <w:rFonts w:ascii="Calibri" w:hAnsi="Calibri"/>
                <w:color w:val="1A1A1A"/>
                <w:sz w:val="17"/>
              </w:rPr>
              <w:t xml:space="preserve">Apply </w:t>
            </w:r>
            <w:r>
              <w:rPr>
                <w:rFonts w:ascii="Calibri" w:hAnsi="Calibri"/>
                <w:b/>
                <w:color w:val="1A1A1A"/>
                <w:sz w:val="17"/>
              </w:rPr>
              <w:t>GNR (gross non-recoverable)</w:t>
            </w:r>
            <w:r>
              <w:rPr>
                <w:rFonts w:ascii="Calibri" w:hAnsi="Calibri"/>
                <w:color w:val="1A1A1A"/>
                <w:sz w:val="17"/>
              </w:rPr>
              <w:t xml:space="preserve"> as a versioned percentage uplift on the engagement total, covering bench time, rework and unbilled travel</w:t>
            </w:r>
          </w:p>
        </w:tc>
        <w:tc>
          <w:tcPr>
            <w:tcW w:type="dxa" w:w="3061"/>
            <w:shd w:val="clear" w:color="auto" w:fill="FAFBFC"/>
          </w:tcPr>
          <w:p>
            <w:pPr>
              <w:spacing w:after="0" w:line="252" w:lineRule="auto"/>
              <w:jc w:val="left"/>
            </w:pPr>
            <w:r>
              <w:rPr>
                <w:rFonts w:ascii="Calibri" w:hAnsi="Calibri"/>
                <w:color w:val="1A1A1A"/>
                <w:sz w:val="17"/>
              </w:rPr>
              <w:t>The GNR rate and its policy version are retained on the estimate. The base it applies to defaults to the full total including non-labour, and is configurable to labour-only</w:t>
            </w:r>
          </w:p>
        </w:tc>
        <w:tc>
          <w:tcPr>
            <w:tcW w:type="dxa" w:w="1020"/>
            <w:shd w:val="clear" w:color="auto" w:fill="FAFBFC"/>
          </w:tcPr>
          <w:p>
            <w:pPr>
              <w:spacing w:after="0" w:line="252" w:lineRule="auto"/>
              <w:jc w:val="left"/>
            </w:pPr>
            <w:r>
              <w:rPr>
                <w:rFonts w:ascii="Calibri" w:hAnsi="Calibri"/>
                <w:b/>
                <w:color w:val="1F4E79"/>
                <w:sz w:val="17"/>
              </w:rPr>
              <w:t>NEW</w:t>
            </w:r>
            <w:r>
              <w:rPr>
                <w:rFonts w:ascii="Calibri" w:hAnsi="Calibri"/>
                <w:color w:val="1F4E79"/>
                <w:sz w:val="17"/>
              </w:rPr>
              <w:t xml:space="preserve"> — reviewed 25 Aug: replaces the "overhead policy" of the initial draft, which was the wrong concept</w:t>
            </w:r>
          </w:p>
        </w:tc>
        <w:tc>
          <w:tcPr>
            <w:tcW w:type="dxa" w:w="1928"/>
            <w:shd w:val="clear" w:color="auto" w:fill="FAFBFC"/>
          </w:tcPr>
          <w:p>
            <w:pPr>
              <w:spacing w:after="0" w:line="252" w:lineRule="auto"/>
              <w:jc w:val="left"/>
            </w:pPr>
            <w:r>
              <w:rPr>
                <w:rFonts w:ascii="Calibri" w:hAnsi="Calibri"/>
                <w:color w:val="1A1A1A"/>
                <w:sz w:val="17"/>
              </w:rPr>
              <w:t xml:space="preserve">New </w:t>
            </w:r>
            <w:r>
              <w:rPr>
                <w:rFonts w:ascii="Consolas" w:hAnsi="Consolas"/>
                <w:color w:val="8B2E2E"/>
                <w:sz w:val="17"/>
              </w:rPr>
              <w:t>gnr_policies</w:t>
            </w:r>
          </w:p>
        </w:tc>
      </w:tr>
      <w:tr>
        <w:tc>
          <w:tcPr>
            <w:tcW w:type="dxa" w:w="964"/>
          </w:tcPr>
          <w:p>
            <w:pPr>
              <w:spacing w:after="0" w:line="252" w:lineRule="auto"/>
              <w:jc w:val="left"/>
            </w:pPr>
            <w:r>
              <w:rPr>
                <w:rFonts w:ascii="Calibri" w:hAnsi="Calibri"/>
                <w:color w:val="1A1A1A"/>
                <w:sz w:val="17"/>
              </w:rPr>
              <w:t>FR-P4-18</w:t>
            </w:r>
          </w:p>
        </w:tc>
        <w:tc>
          <w:tcPr>
            <w:tcW w:type="dxa" w:w="3345"/>
          </w:tcPr>
          <w:p>
            <w:pPr>
              <w:spacing w:after="0" w:line="252" w:lineRule="auto"/>
              <w:jc w:val="left"/>
            </w:pPr>
            <w:r>
              <w:rPr>
                <w:rFonts w:ascii="Calibri" w:hAnsi="Calibri"/>
                <w:color w:val="1A1A1A"/>
                <w:sz w:val="17"/>
              </w:rPr>
              <w:t xml:space="preserve">Support </w:t>
            </w:r>
            <w:r>
              <w:rPr>
                <w:rFonts w:ascii="Calibri" w:hAnsi="Calibri"/>
                <w:b/>
                <w:color w:val="1A1A1A"/>
                <w:sz w:val="17"/>
              </w:rPr>
              <w:t>blended costing</w:t>
            </w:r>
            <w:r>
              <w:rPr>
                <w:rFonts w:ascii="Calibri" w:hAnsi="Calibri"/>
                <w:color w:val="1A1A1A"/>
                <w:sz w:val="17"/>
              </w:rPr>
              <w:t xml:space="preserve"> at delivery-role averages and </w:t>
            </w:r>
            <w:r>
              <w:rPr>
                <w:rFonts w:ascii="Calibri" w:hAnsi="Calibri"/>
                <w:b/>
                <w:color w:val="1A1A1A"/>
                <w:sz w:val="17"/>
              </w:rPr>
              <w:t>named costing</w:t>
            </w:r>
            <w:r>
              <w:rPr>
                <w:rFonts w:ascii="Calibri" w:hAnsi="Calibri"/>
                <w:color w:val="1A1A1A"/>
                <w:sz w:val="17"/>
              </w:rPr>
              <w:t xml:space="preserve"> at the cost of the specific people proposed</w:t>
            </w:r>
          </w:p>
        </w:tc>
        <w:tc>
          <w:tcPr>
            <w:tcW w:type="dxa" w:w="3061"/>
          </w:tcPr>
          <w:p>
            <w:pPr>
              <w:spacing w:after="0" w:line="252" w:lineRule="auto"/>
              <w:jc w:val="left"/>
            </w:pPr>
            <w:r>
              <w:rPr>
                <w:rFonts w:ascii="Calibri" w:hAnsi="Calibri"/>
                <w:color w:val="1A1A1A"/>
                <w:sz w:val="17"/>
              </w:rPr>
              <w:t>Both modes produce a total from the same team shape; the difference between them is displayed. Blended is the default before a team is chosen</w:t>
            </w:r>
          </w:p>
        </w:tc>
        <w:tc>
          <w:tcPr>
            <w:tcW w:type="dxa" w:w="1020"/>
          </w:tcPr>
          <w:p>
            <w:pPr>
              <w:spacing w:after="0" w:line="252" w:lineRule="auto"/>
              <w:jc w:val="left"/>
            </w:pPr>
            <w:r>
              <w:rPr>
                <w:rFonts w:ascii="Calibri" w:hAnsi="Calibri"/>
                <w:b/>
                <w:color w:val="1F4E79"/>
                <w:sz w:val="17"/>
              </w:rPr>
              <w:t>NEW</w:t>
            </w:r>
            <w:r>
              <w:rPr>
                <w:rFonts w:ascii="Calibri" w:hAnsi="Calibri"/>
                <w:color w:val="1F4E79"/>
                <w:sz w:val="17"/>
              </w:rPr>
              <w:t xml:space="preserve"> — central to this model, since a team is N named employees with different roles</w:t>
            </w:r>
          </w:p>
        </w:tc>
        <w:tc>
          <w:tcPr>
            <w:tcW w:type="dxa" w:w="1928"/>
          </w:tcPr>
          <w:p>
            <w:pPr>
              <w:spacing w:after="0" w:line="252" w:lineRule="auto"/>
              <w:jc w:val="left"/>
            </w:pPr>
            <w:r>
              <w:rPr>
                <w:rFonts w:ascii="Calibri" w:hAnsi="Calibri"/>
                <w:color w:val="1A1A1A"/>
                <w:sz w:val="17"/>
              </w:rPr>
              <w:t>Cost engine service</w:t>
            </w:r>
          </w:p>
        </w:tc>
      </w:tr>
      <w:tr>
        <w:tc>
          <w:tcPr>
            <w:tcW w:type="dxa" w:w="964"/>
            <w:shd w:val="clear" w:color="auto" w:fill="FAFBFC"/>
          </w:tcPr>
          <w:p>
            <w:pPr>
              <w:spacing w:after="0" w:line="252" w:lineRule="auto"/>
              <w:jc w:val="left"/>
            </w:pPr>
            <w:r>
              <w:rPr>
                <w:rFonts w:ascii="Calibri" w:hAnsi="Calibri"/>
                <w:color w:val="1A1A1A"/>
                <w:sz w:val="17"/>
              </w:rPr>
              <w:t>FR-P4-19</w:t>
            </w:r>
          </w:p>
        </w:tc>
        <w:tc>
          <w:tcPr>
            <w:tcW w:type="dxa" w:w="3345"/>
            <w:shd w:val="clear" w:color="auto" w:fill="FAFBFC"/>
          </w:tcPr>
          <w:p>
            <w:pPr>
              <w:spacing w:after="0" w:line="252" w:lineRule="auto"/>
              <w:jc w:val="left"/>
            </w:pPr>
            <w:r>
              <w:rPr>
                <w:rFonts w:ascii="Calibri" w:hAnsi="Calibri"/>
                <w:color w:val="1A1A1A"/>
                <w:sz w:val="17"/>
              </w:rPr>
              <w:t xml:space="preserve">Present a cost breakdown by role, stage and line item </w:t>
            </w:r>
            <w:r>
              <w:rPr>
                <w:rFonts w:ascii="Calibri" w:hAnsi="Calibri"/>
                <w:b/>
                <w:color w:val="1A1A1A"/>
                <w:sz w:val="17"/>
              </w:rPr>
              <w:t>only</w:t>
            </w:r>
            <w:r>
              <w:rPr>
                <w:rFonts w:ascii="Calibri" w:hAnsi="Calibri"/>
                <w:color w:val="1A1A1A"/>
                <w:sz w:val="17"/>
              </w:rPr>
              <w:t xml:space="preserve"> to entitled roles</w:t>
            </w:r>
          </w:p>
        </w:tc>
        <w:tc>
          <w:tcPr>
            <w:tcW w:type="dxa" w:w="3061"/>
            <w:shd w:val="clear" w:color="auto" w:fill="FAFBFC"/>
          </w:tcPr>
          <w:p>
            <w:pPr>
              <w:spacing w:after="0" w:line="252" w:lineRule="auto"/>
              <w:jc w:val="left"/>
            </w:pPr>
            <w:r>
              <w:rPr>
                <w:rFonts w:ascii="Calibri" w:hAnsi="Calibri"/>
                <w:color w:val="1A1A1A"/>
                <w:sz w:val="17"/>
              </w:rPr>
              <w:t>A user without the cost entitlement sees the price and never the cost — in the UI, in exports, in reports, in the API and in the AI assistant</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Cost engine + NFR-SEC-04</w:t>
            </w:r>
          </w:p>
        </w:tc>
      </w:tr>
      <w:tr>
        <w:tc>
          <w:tcPr>
            <w:tcW w:type="dxa" w:w="964"/>
          </w:tcPr>
          <w:p>
            <w:pPr>
              <w:spacing w:after="0" w:line="252" w:lineRule="auto"/>
              <w:jc w:val="left"/>
            </w:pPr>
            <w:r>
              <w:rPr>
                <w:rFonts w:ascii="Calibri" w:hAnsi="Calibri"/>
                <w:color w:val="1A1A1A"/>
                <w:sz w:val="17"/>
              </w:rPr>
              <w:t>FR-P4-20</w:t>
            </w:r>
          </w:p>
        </w:tc>
        <w:tc>
          <w:tcPr>
            <w:tcW w:type="dxa" w:w="3345"/>
          </w:tcPr>
          <w:p>
            <w:pPr>
              <w:spacing w:after="0" w:line="252" w:lineRule="auto"/>
              <w:jc w:val="left"/>
            </w:pPr>
            <w:r>
              <w:rPr>
                <w:rFonts w:ascii="Calibri" w:hAnsi="Calibri"/>
                <w:color w:val="1A1A1A"/>
                <w:sz w:val="17"/>
              </w:rPr>
              <w:t>Present a permission-safe cost summary to non-entitled roles where one is needed</w:t>
            </w:r>
          </w:p>
        </w:tc>
        <w:tc>
          <w:tcPr>
            <w:tcW w:type="dxa" w:w="3061"/>
          </w:tcPr>
          <w:p>
            <w:pPr>
              <w:spacing w:after="0" w:line="252" w:lineRule="auto"/>
              <w:jc w:val="left"/>
            </w:pPr>
            <w:r>
              <w:rPr>
                <w:rFonts w:ascii="Calibri" w:hAnsi="Calibri"/>
                <w:color w:val="1A1A1A"/>
                <w:sz w:val="17"/>
              </w:rPr>
              <w:t>Non-entitled roles see a margin band or a health indicator, never a currency cost figure</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Cost engine service</w:t>
            </w:r>
          </w:p>
        </w:tc>
      </w:tr>
    </w:tbl>
    <w:p>
      <w:pPr>
        <w:spacing w:after="80"/>
      </w:pPr>
    </w:p>
    <w:p>
      <w:pPr>
        <w:spacing w:before="120" w:after="160"/>
        <w:ind w:left="198"/>
        <w:pBdr>
          <w:left w:val="single" w:sz="18" w:space="8" w:color="B08D57"/>
        </w:pBdr>
        <w:shd w:val="clear" w:color="auto" w:fill="F4F1E8"/>
      </w:pPr>
      <w:r>
        <w:rPr>
          <w:rFonts w:ascii="Calibri" w:hAnsi="Calibri"/>
          <w:b/>
          <w:color w:val="1A1A1A"/>
          <w:sz w:val="19"/>
        </w:rPr>
        <w:t>CONCRETE EXAMPLE</w:t>
      </w:r>
      <w:r>
        <w:rPr>
          <w:rFonts w:ascii="Calibri" w:hAnsi="Calibri"/>
          <w:color w:val="1A1A1A"/>
          <w:sz w:val="19"/>
        </w:rPr>
        <w:t xml:space="preserve">  Northwind's sized team is one lead consultant for 16 weeks, two security analysts for 10 weeks each, one compliance analyst for 8 weeks, and QA for 3 weeks. Each resource's loaded weekly cost is its base rate plus a seat cost for laptop and infrastructure plus a support allocation for HR and admin. Summed across the team and their weeks, that gives the labour subtotal. Non-labour adds the external auditor fee — passed through at cost, not marked up — plus tooling. GNR is then applied to the total to cover bench time and rework. Every one of those figures arrived pre-filled and any of them can be overridden, with the override recorded.</w:t>
      </w:r>
    </w:p>
    <w:p>
      <w:pPr>
        <w:pStyle w:val="Heading3"/>
      </w:pPr>
      <w:r>
        <w:t>4.4 Capacity feasibility</w:t>
      </w:r>
    </w:p>
    <w:p>
      <w:r>
        <w:rPr>
          <w:rFonts w:ascii="Calibri" w:hAnsi="Calibri"/>
          <w:color w:val="1A1A1A"/>
        </w:rPr>
        <w:t>Feasibility depends on a workforce data source that does not exist yet. The requirements are stated in full so the interface is designed correctly now; FR-P4-27 defines the interim behaviour and Section F sequences the real thing last.</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064"/>
        <w:gridCol w:w="2064"/>
        <w:gridCol w:w="2064"/>
        <w:gridCol w:w="2064"/>
        <w:gridCol w:w="2064"/>
      </w:tblGrid>
      <w:tr>
        <w:trPr>
          <w:tblHeader w:val="true"/>
        </w:trPr>
        <w:tc>
          <w:tcPr>
            <w:tcW w:type="dxa" w:w="964"/>
            <w:shd w:val="clear" w:color="auto" w:fill="E8EDF2"/>
          </w:tcPr>
          <w:p>
            <w:pPr>
              <w:spacing w:after="0"/>
              <w:jc w:val="left"/>
            </w:pPr>
            <w:r>
              <w:rPr>
                <w:rFonts w:ascii="Calibri" w:hAnsi="Calibri"/>
                <w:b/>
                <w:color w:val="1A1A1A"/>
                <w:sz w:val="17"/>
              </w:rPr>
              <w:t>ID</w:t>
            </w:r>
          </w:p>
        </w:tc>
        <w:tc>
          <w:tcPr>
            <w:tcW w:type="dxa" w:w="3345"/>
            <w:shd w:val="clear" w:color="auto" w:fill="E8EDF2"/>
          </w:tcPr>
          <w:p>
            <w:pPr>
              <w:spacing w:after="0"/>
              <w:jc w:val="left"/>
            </w:pPr>
            <w:r>
              <w:rPr>
                <w:rFonts w:ascii="Calibri" w:hAnsi="Calibri"/>
                <w:b/>
                <w:color w:val="1A1A1A"/>
                <w:sz w:val="17"/>
              </w:rPr>
              <w:t>Requirement</w:t>
            </w:r>
          </w:p>
        </w:tc>
        <w:tc>
          <w:tcPr>
            <w:tcW w:type="dxa" w:w="3061"/>
            <w:shd w:val="clear" w:color="auto" w:fill="E8EDF2"/>
          </w:tcPr>
          <w:p>
            <w:pPr>
              <w:spacing w:after="0"/>
              <w:jc w:val="left"/>
            </w:pPr>
            <w:r>
              <w:rPr>
                <w:rFonts w:ascii="Calibri" w:hAnsi="Calibri"/>
                <w:b/>
                <w:color w:val="1A1A1A"/>
                <w:sz w:val="17"/>
              </w:rPr>
              <w:t>Acceptance</w:t>
            </w:r>
          </w:p>
        </w:tc>
        <w:tc>
          <w:tcPr>
            <w:tcW w:type="dxa" w:w="1020"/>
            <w:shd w:val="clear" w:color="auto" w:fill="E8EDF2"/>
          </w:tcPr>
          <w:p>
            <w:pPr>
              <w:spacing w:after="0"/>
              <w:jc w:val="left"/>
            </w:pPr>
            <w:r>
              <w:rPr>
                <w:rFonts w:ascii="Calibri" w:hAnsi="Calibri"/>
                <w:b/>
                <w:color w:val="1A1A1A"/>
                <w:sz w:val="17"/>
              </w:rPr>
              <w:t>Status</w:t>
            </w:r>
          </w:p>
        </w:tc>
        <w:tc>
          <w:tcPr>
            <w:tcW w:type="dxa" w:w="1928"/>
            <w:shd w:val="clear" w:color="auto" w:fill="E8EDF2"/>
          </w:tcPr>
          <w:p>
            <w:pPr>
              <w:spacing w:after="0"/>
              <w:jc w:val="left"/>
            </w:pPr>
            <w:r>
              <w:rPr>
                <w:rFonts w:ascii="Calibri" w:hAnsi="Calibri"/>
                <w:b/>
                <w:color w:val="1A1A1A"/>
                <w:sz w:val="17"/>
              </w:rPr>
              <w:t>Lands in</w:t>
            </w:r>
          </w:p>
        </w:tc>
      </w:tr>
      <w:tr>
        <w:tc>
          <w:tcPr>
            <w:tcW w:type="dxa" w:w="964"/>
          </w:tcPr>
          <w:p>
            <w:pPr>
              <w:spacing w:after="0" w:line="252" w:lineRule="auto"/>
              <w:jc w:val="left"/>
            </w:pPr>
            <w:r>
              <w:rPr>
                <w:rFonts w:ascii="Calibri" w:hAnsi="Calibri"/>
                <w:color w:val="1A1A1A"/>
                <w:sz w:val="17"/>
              </w:rPr>
              <w:t>FR-P4-21</w:t>
            </w:r>
          </w:p>
        </w:tc>
        <w:tc>
          <w:tcPr>
            <w:tcW w:type="dxa" w:w="3345"/>
          </w:tcPr>
          <w:p>
            <w:pPr>
              <w:spacing w:after="0" w:line="252" w:lineRule="auto"/>
              <w:jc w:val="left"/>
            </w:pPr>
            <w:r>
              <w:rPr>
                <w:rFonts w:ascii="Calibri" w:hAnsi="Calibri"/>
                <w:color w:val="1A1A1A"/>
                <w:sz w:val="17"/>
              </w:rPr>
              <w:t>Derive the required staffing shape from sized effort — which delivery roles, how many of each, across which calendar weeks</w:t>
            </w:r>
          </w:p>
        </w:tc>
        <w:tc>
          <w:tcPr>
            <w:tcW w:type="dxa" w:w="3061"/>
          </w:tcPr>
          <w:p>
            <w:pPr>
              <w:spacing w:after="0" w:line="252" w:lineRule="auto"/>
              <w:jc w:val="left"/>
            </w:pPr>
            <w:r>
              <w:rPr>
                <w:rFonts w:ascii="Calibri" w:hAnsi="Calibri"/>
                <w:color w:val="1A1A1A"/>
                <w:sz w:val="17"/>
              </w:rPr>
              <w:t>A staffing shape is produced from any sized estimate without further input</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Feasibility service</w:t>
            </w:r>
          </w:p>
        </w:tc>
      </w:tr>
      <w:tr>
        <w:tc>
          <w:tcPr>
            <w:tcW w:type="dxa" w:w="964"/>
            <w:shd w:val="clear" w:color="auto" w:fill="FAFBFC"/>
          </w:tcPr>
          <w:p>
            <w:pPr>
              <w:spacing w:after="0" w:line="252" w:lineRule="auto"/>
              <w:jc w:val="left"/>
            </w:pPr>
            <w:r>
              <w:rPr>
                <w:rFonts w:ascii="Calibri" w:hAnsi="Calibri"/>
                <w:color w:val="1A1A1A"/>
                <w:sz w:val="17"/>
              </w:rPr>
              <w:t>FR-P4-22</w:t>
            </w:r>
          </w:p>
        </w:tc>
        <w:tc>
          <w:tcPr>
            <w:tcW w:type="dxa" w:w="3345"/>
            <w:shd w:val="clear" w:color="auto" w:fill="FAFBFC"/>
          </w:tcPr>
          <w:p>
            <w:pPr>
              <w:spacing w:after="0" w:line="252" w:lineRule="auto"/>
              <w:jc w:val="left"/>
            </w:pPr>
            <w:r>
              <w:rPr>
                <w:rFonts w:ascii="Calibri" w:hAnsi="Calibri"/>
                <w:color w:val="1A1A1A"/>
                <w:sz w:val="17"/>
              </w:rPr>
              <w:t>Search for qualified and available people combining skill, certification, proficiency and forecast availability</w:t>
            </w:r>
          </w:p>
        </w:tc>
        <w:tc>
          <w:tcPr>
            <w:tcW w:type="dxa" w:w="3061"/>
            <w:shd w:val="clear" w:color="auto" w:fill="FAFBFC"/>
          </w:tcPr>
          <w:p>
            <w:pPr>
              <w:spacing w:after="0" w:line="252" w:lineRule="auto"/>
              <w:jc w:val="left"/>
            </w:pPr>
            <w:r>
              <w:rPr>
                <w:rFonts w:ascii="Calibri" w:hAnsi="Calibri"/>
                <w:color w:val="1A1A1A"/>
                <w:sz w:val="17"/>
              </w:rPr>
              <w:t>The search returns candidates satisfying all four constraints in the target window</w:t>
            </w:r>
          </w:p>
        </w:tc>
        <w:tc>
          <w:tcPr>
            <w:tcW w:type="dxa" w:w="1020"/>
            <w:shd w:val="clear" w:color="auto" w:fill="FAFBFC"/>
          </w:tcPr>
          <w:p>
            <w:pPr>
              <w:spacing w:after="0" w:line="252" w:lineRule="auto"/>
              <w:jc w:val="left"/>
            </w:pPr>
            <w:r>
              <w:rPr>
                <w:rFonts w:ascii="Calibri" w:hAnsi="Calibri"/>
                <w:b/>
                <w:color w:val="1F4E79"/>
                <w:sz w:val="17"/>
              </w:rPr>
              <w:t>NEW</w:t>
            </w:r>
            <w:r>
              <w:rPr>
                <w:rFonts w:ascii="Calibri" w:hAnsi="Calibri"/>
                <w:color w:val="1F4E79"/>
                <w:sz w:val="17"/>
              </w:rPr>
              <w:t xml:space="preserve"> — requires a workforce data source</w:t>
            </w:r>
          </w:p>
        </w:tc>
        <w:tc>
          <w:tcPr>
            <w:tcW w:type="dxa" w:w="1928"/>
            <w:shd w:val="clear" w:color="auto" w:fill="FAFBFC"/>
          </w:tcPr>
          <w:p>
            <w:pPr>
              <w:spacing w:after="0" w:line="252" w:lineRule="auto"/>
              <w:jc w:val="left"/>
            </w:pPr>
            <w:r>
              <w:rPr>
                <w:rFonts w:ascii="Calibri" w:hAnsi="Calibri"/>
                <w:color w:val="1A1A1A"/>
                <w:sz w:val="17"/>
              </w:rPr>
              <w:t>Feasibility service</w:t>
            </w:r>
          </w:p>
        </w:tc>
      </w:tr>
      <w:tr>
        <w:tc>
          <w:tcPr>
            <w:tcW w:type="dxa" w:w="964"/>
          </w:tcPr>
          <w:p>
            <w:pPr>
              <w:spacing w:after="0" w:line="252" w:lineRule="auto"/>
              <w:jc w:val="left"/>
            </w:pPr>
            <w:r>
              <w:rPr>
                <w:rFonts w:ascii="Calibri" w:hAnsi="Calibri"/>
                <w:color w:val="1A1A1A"/>
                <w:sz w:val="17"/>
              </w:rPr>
              <w:t>FR-P4-23</w:t>
            </w:r>
          </w:p>
        </w:tc>
        <w:tc>
          <w:tcPr>
            <w:tcW w:type="dxa" w:w="3345"/>
          </w:tcPr>
          <w:p>
            <w:pPr>
              <w:spacing w:after="0" w:line="252" w:lineRule="auto"/>
              <w:jc w:val="left"/>
            </w:pPr>
            <w:r>
              <w:rPr>
                <w:rFonts w:ascii="Calibri" w:hAnsi="Calibri"/>
                <w:color w:val="1A1A1A"/>
                <w:sz w:val="17"/>
              </w:rPr>
              <w:t xml:space="preserve">Return the earliest realistic start date with the specific constraint that sets it </w:t>
            </w:r>
            <w:r>
              <w:rPr>
                <w:rFonts w:ascii="Calibri" w:hAnsi="Calibri"/>
                <w:b/>
                <w:color w:val="1A1A1A"/>
                <w:sz w:val="17"/>
              </w:rPr>
              <w:t>named</w:t>
            </w:r>
            <w:r>
              <w:rPr>
                <w:rFonts w:ascii="Calibri" w:hAnsi="Calibri"/>
                <w:color w:val="1A1A1A"/>
                <w:sz w:val="17"/>
              </w:rPr>
              <w:t>, not implied</w:t>
            </w:r>
          </w:p>
        </w:tc>
        <w:tc>
          <w:tcPr>
            <w:tcW w:type="dxa" w:w="3061"/>
          </w:tcPr>
          <w:p>
            <w:pPr>
              <w:spacing w:after="0" w:line="252" w:lineRule="auto"/>
              <w:jc w:val="left"/>
            </w:pPr>
            <w:r>
              <w:rPr>
                <w:rFonts w:ascii="Calibri" w:hAnsi="Calibri"/>
                <w:color w:val="1A1A1A"/>
                <w:sz w:val="17"/>
              </w:rPr>
              <w:t>The verdict states, for example, "22 October — constrained by SOC 2 qualified lead, 85% allocated to 20 October"</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Feasibility service</w:t>
            </w:r>
          </w:p>
        </w:tc>
      </w:tr>
      <w:tr>
        <w:tc>
          <w:tcPr>
            <w:tcW w:type="dxa" w:w="964"/>
            <w:shd w:val="clear" w:color="auto" w:fill="FAFBFC"/>
          </w:tcPr>
          <w:p>
            <w:pPr>
              <w:spacing w:after="0" w:line="252" w:lineRule="auto"/>
              <w:jc w:val="left"/>
            </w:pPr>
            <w:r>
              <w:rPr>
                <w:rFonts w:ascii="Calibri" w:hAnsi="Calibri"/>
                <w:color w:val="1A1A1A"/>
                <w:sz w:val="17"/>
              </w:rPr>
              <w:t>FR-P4-24</w:t>
            </w:r>
          </w:p>
        </w:tc>
        <w:tc>
          <w:tcPr>
            <w:tcW w:type="dxa" w:w="3345"/>
            <w:shd w:val="clear" w:color="auto" w:fill="FAFBFC"/>
          </w:tcPr>
          <w:p>
            <w:pPr>
              <w:spacing w:after="0" w:line="252" w:lineRule="auto"/>
              <w:jc w:val="left"/>
            </w:pPr>
            <w:r>
              <w:rPr>
                <w:rFonts w:ascii="Calibri" w:hAnsi="Calibri"/>
                <w:color w:val="1A1A1A"/>
                <w:sz w:val="17"/>
              </w:rPr>
              <w:t>Produce a contention list of other pipeline opportunities and committed engagements competing for the same scarce people</w:t>
            </w:r>
          </w:p>
        </w:tc>
        <w:tc>
          <w:tcPr>
            <w:tcW w:type="dxa" w:w="3061"/>
            <w:shd w:val="clear" w:color="auto" w:fill="FAFBFC"/>
          </w:tcPr>
          <w:p>
            <w:pPr>
              <w:spacing w:after="0" w:line="252" w:lineRule="auto"/>
              <w:jc w:val="left"/>
            </w:pPr>
            <w:r>
              <w:rPr>
                <w:rFonts w:ascii="Calibri" w:hAnsi="Calibri"/>
                <w:color w:val="1A1A1A"/>
                <w:sz w:val="17"/>
              </w:rPr>
              <w:t>Contention is visible before the quote is sent</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Feasibility service</w:t>
            </w:r>
          </w:p>
        </w:tc>
      </w:tr>
      <w:tr>
        <w:tc>
          <w:tcPr>
            <w:tcW w:type="dxa" w:w="964"/>
          </w:tcPr>
          <w:p>
            <w:pPr>
              <w:spacing w:after="0" w:line="252" w:lineRule="auto"/>
              <w:jc w:val="left"/>
            </w:pPr>
            <w:r>
              <w:rPr>
                <w:rFonts w:ascii="Calibri" w:hAnsi="Calibri"/>
                <w:color w:val="1A1A1A"/>
                <w:sz w:val="17"/>
              </w:rPr>
              <w:t>FR-P4-25</w:t>
            </w:r>
          </w:p>
        </w:tc>
        <w:tc>
          <w:tcPr>
            <w:tcW w:type="dxa" w:w="3345"/>
          </w:tcPr>
          <w:p>
            <w:pPr>
              <w:spacing w:after="0" w:line="252" w:lineRule="auto"/>
              <w:jc w:val="left"/>
            </w:pPr>
            <w:r>
              <w:rPr>
                <w:rFonts w:ascii="Calibri" w:hAnsi="Calibri"/>
                <w:color w:val="1A1A1A"/>
                <w:sz w:val="17"/>
              </w:rPr>
              <w:t>Offer alternative staffing options — later start, different mix, partial contractor, mentored junior — each with its cost and risk consequence</w:t>
            </w:r>
          </w:p>
        </w:tc>
        <w:tc>
          <w:tcPr>
            <w:tcW w:type="dxa" w:w="3061"/>
          </w:tcPr>
          <w:p>
            <w:pPr>
              <w:spacing w:after="0" w:line="252" w:lineRule="auto"/>
              <w:jc w:val="left"/>
            </w:pPr>
            <w:r>
              <w:rPr>
                <w:rFonts w:ascii="Calibri" w:hAnsi="Calibri"/>
                <w:color w:val="1A1A1A"/>
                <w:sz w:val="17"/>
              </w:rPr>
              <w:t>At least one alternative is presented with its delta against the primary option</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Feasibility service</w:t>
            </w:r>
          </w:p>
        </w:tc>
      </w:tr>
      <w:tr>
        <w:tc>
          <w:tcPr>
            <w:tcW w:type="dxa" w:w="964"/>
            <w:shd w:val="clear" w:color="auto" w:fill="FAFBFC"/>
          </w:tcPr>
          <w:p>
            <w:pPr>
              <w:spacing w:after="0" w:line="252" w:lineRule="auto"/>
              <w:jc w:val="left"/>
            </w:pPr>
            <w:r>
              <w:rPr>
                <w:rFonts w:ascii="Calibri" w:hAnsi="Calibri"/>
                <w:color w:val="1A1A1A"/>
                <w:sz w:val="17"/>
              </w:rPr>
              <w:t>FR-P4-26</w:t>
            </w:r>
          </w:p>
        </w:tc>
        <w:tc>
          <w:tcPr>
            <w:tcW w:type="dxa" w:w="3345"/>
            <w:shd w:val="clear" w:color="auto" w:fill="FAFBFC"/>
          </w:tcPr>
          <w:p>
            <w:pPr>
              <w:spacing w:after="0" w:line="252" w:lineRule="auto"/>
              <w:jc w:val="left"/>
            </w:pPr>
            <w:r>
              <w:rPr>
                <w:rFonts w:ascii="Calibri" w:hAnsi="Calibri"/>
                <w:color w:val="1A1A1A"/>
                <w:sz w:val="17"/>
              </w:rPr>
              <w:t xml:space="preserve">Treat feasibility as a </w:t>
            </w:r>
            <w:r>
              <w:rPr>
                <w:rFonts w:ascii="Calibri" w:hAnsi="Calibri"/>
                <w:b/>
                <w:color w:val="1A1A1A"/>
                <w:sz w:val="17"/>
              </w:rPr>
              <w:t>gate</w:t>
            </w:r>
            <w:r>
              <w:rPr>
                <w:rFonts w:ascii="Calibri" w:hAnsi="Calibri"/>
                <w:color w:val="1A1A1A"/>
                <w:sz w:val="17"/>
              </w:rPr>
              <w:t>: a quotation carrying a start date the organization cannot support cannot be sent without a recorded override</w:t>
            </w:r>
          </w:p>
        </w:tc>
        <w:tc>
          <w:tcPr>
            <w:tcW w:type="dxa" w:w="3061"/>
            <w:shd w:val="clear" w:color="auto" w:fill="FAFBFC"/>
          </w:tcPr>
          <w:p>
            <w:pPr>
              <w:spacing w:after="0" w:line="252" w:lineRule="auto"/>
              <w:jc w:val="left"/>
            </w:pPr>
            <w:r>
              <w:rPr>
                <w:rFonts w:ascii="Calibri" w:hAnsi="Calibri"/>
                <w:color w:val="1A1A1A"/>
                <w:sz w:val="17"/>
              </w:rPr>
              <w:t>Sending against an infeasible date requires an entitled approver and writes an override record with a reason</w:t>
            </w:r>
          </w:p>
        </w:tc>
        <w:tc>
          <w:tcPr>
            <w:tcW w:type="dxa" w:w="1020"/>
            <w:shd w:val="clear" w:color="auto" w:fill="FAFBFC"/>
          </w:tcPr>
          <w:p>
            <w:pPr>
              <w:spacing w:after="0" w:line="252" w:lineRule="auto"/>
              <w:jc w:val="left"/>
            </w:pPr>
            <w:r>
              <w:rPr>
                <w:rFonts w:ascii="Calibri" w:hAnsi="Calibri"/>
                <w:b/>
                <w:color w:val="1F4E79"/>
                <w:sz w:val="17"/>
              </w:rPr>
              <w:t>NEW</w:t>
            </w:r>
            <w:r>
              <w:rPr>
                <w:rFonts w:ascii="Calibri" w:hAnsi="Calibri"/>
                <w:color w:val="1F4E79"/>
                <w:sz w:val="17"/>
              </w:rPr>
              <w:t xml:space="preserve"> — see open question Q-4</w:t>
            </w:r>
          </w:p>
        </w:tc>
        <w:tc>
          <w:tcPr>
            <w:tcW w:type="dxa" w:w="1928"/>
            <w:shd w:val="clear" w:color="auto" w:fill="FAFBFC"/>
          </w:tcPr>
          <w:p>
            <w:pPr>
              <w:spacing w:after="0" w:line="252" w:lineRule="auto"/>
              <w:jc w:val="left"/>
            </w:pPr>
            <w:r>
              <w:rPr>
                <w:rFonts w:ascii="Calibri" w:hAnsi="Calibri"/>
                <w:color w:val="1A1A1A"/>
                <w:sz w:val="17"/>
              </w:rPr>
              <w:t>Quotation service</w:t>
            </w:r>
          </w:p>
        </w:tc>
      </w:tr>
      <w:tr>
        <w:tc>
          <w:tcPr>
            <w:tcW w:type="dxa" w:w="964"/>
          </w:tcPr>
          <w:p>
            <w:pPr>
              <w:spacing w:after="0" w:line="252" w:lineRule="auto"/>
              <w:jc w:val="left"/>
            </w:pPr>
            <w:r>
              <w:rPr>
                <w:rFonts w:ascii="Calibri" w:hAnsi="Calibri"/>
                <w:color w:val="1A1A1A"/>
                <w:sz w:val="17"/>
              </w:rPr>
              <w:t>FR-P4-27</w:t>
            </w:r>
          </w:p>
        </w:tc>
        <w:tc>
          <w:tcPr>
            <w:tcW w:type="dxa" w:w="3345"/>
          </w:tcPr>
          <w:p>
            <w:pPr>
              <w:spacing w:after="0" w:line="252" w:lineRule="auto"/>
              <w:jc w:val="left"/>
            </w:pPr>
            <w:r>
              <w:rPr>
                <w:rFonts w:ascii="Calibri" w:hAnsi="Calibri"/>
                <w:color w:val="1A1A1A"/>
                <w:sz w:val="17"/>
              </w:rPr>
              <w:t>Until a workforce data source exists, accept a manually entered earliest start with a named constraint, and mark the verdict unverified</w:t>
            </w:r>
          </w:p>
        </w:tc>
        <w:tc>
          <w:tcPr>
            <w:tcW w:type="dxa" w:w="3061"/>
          </w:tcPr>
          <w:p>
            <w:pPr>
              <w:spacing w:after="0" w:line="252" w:lineRule="auto"/>
              <w:jc w:val="left"/>
            </w:pPr>
            <w:r>
              <w:rPr>
                <w:rFonts w:ascii="Calibri" w:hAnsi="Calibri"/>
                <w:color w:val="1A1A1A"/>
                <w:sz w:val="17"/>
              </w:rPr>
              <w:t>The quotation shows the date as manually asserted rather than system-verified</w:t>
            </w:r>
          </w:p>
        </w:tc>
        <w:tc>
          <w:tcPr>
            <w:tcW w:type="dxa" w:w="1020"/>
          </w:tcPr>
          <w:p>
            <w:pPr>
              <w:spacing w:after="0" w:line="252" w:lineRule="auto"/>
              <w:jc w:val="left"/>
            </w:pPr>
            <w:r>
              <w:rPr>
                <w:rFonts w:ascii="Calibri" w:hAnsi="Calibri"/>
                <w:b/>
                <w:color w:val="1F4E79"/>
                <w:sz w:val="17"/>
              </w:rPr>
              <w:t>NEW</w:t>
            </w:r>
            <w:r>
              <w:rPr>
                <w:rFonts w:ascii="Calibri" w:hAnsi="Calibri"/>
                <w:color w:val="1F4E79"/>
                <w:sz w:val="17"/>
              </w:rPr>
              <w:t xml:space="preserve"> — interim behaviour</w:t>
            </w:r>
          </w:p>
        </w:tc>
        <w:tc>
          <w:tcPr>
            <w:tcW w:type="dxa" w:w="1928"/>
          </w:tcPr>
          <w:p>
            <w:pPr>
              <w:spacing w:after="0" w:line="252" w:lineRule="auto"/>
              <w:jc w:val="left"/>
            </w:pPr>
            <w:r>
              <w:rPr>
                <w:rFonts w:ascii="Calibri" w:hAnsi="Calibri"/>
                <w:color w:val="1A1A1A"/>
                <w:sz w:val="17"/>
              </w:rPr>
              <w:t>Feasibility service</w:t>
            </w:r>
          </w:p>
        </w:tc>
      </w:tr>
    </w:tbl>
    <w:p>
      <w:pPr>
        <w:spacing w:after="80"/>
      </w:pPr>
    </w:p>
    <w:p>
      <w:pPr>
        <w:spacing w:before="120" w:after="160"/>
        <w:ind w:left="198"/>
        <w:pBdr>
          <w:left w:val="single" w:sz="18" w:space="8" w:color="B08D57"/>
        </w:pBdr>
        <w:shd w:val="clear" w:color="auto" w:fill="F4F1E8"/>
      </w:pPr>
      <w:r>
        <w:rPr>
          <w:rFonts w:ascii="Calibri" w:hAnsi="Calibri"/>
          <w:b/>
          <w:color w:val="1A1A1A"/>
          <w:sz w:val="19"/>
        </w:rPr>
        <w:t>CONCRETE EXAMPLE</w:t>
      </w:r>
      <w:r>
        <w:rPr>
          <w:rFonts w:ascii="Calibri" w:hAnsi="Calibri"/>
          <w:color w:val="1A1A1A"/>
          <w:sz w:val="19"/>
        </w:rPr>
        <w:t xml:space="preserve">  Northwind needs a SOC 2-qualified lead from 1 October for roughly twelve weeks. The only qualified lead is 85% allocated until 20 October, so the desk returns an earliest realistic start of </w:t>
      </w:r>
      <w:r>
        <w:rPr>
          <w:rFonts w:ascii="Calibri" w:hAnsi="Calibri"/>
          <w:b/>
          <w:color w:val="1A1A1A"/>
          <w:sz w:val="19"/>
        </w:rPr>
        <w:t>22 October</w:t>
      </w:r>
      <w:r>
        <w:rPr>
          <w:rFonts w:ascii="Calibri" w:hAnsi="Calibri"/>
          <w:color w:val="1A1A1A"/>
          <w:sz w:val="19"/>
        </w:rPr>
        <w:t xml:space="preserve"> and names the constraint. The quote goes out with the date delivery can honour, not the date the client asked for.</w:t>
      </w:r>
    </w:p>
    <w:p>
      <w:pPr>
        <w:pStyle w:val="Heading3"/>
      </w:pPr>
      <w:r>
        <w:t>4.5 Price &amp; margin model</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064"/>
        <w:gridCol w:w="2064"/>
        <w:gridCol w:w="2064"/>
        <w:gridCol w:w="2064"/>
        <w:gridCol w:w="2064"/>
      </w:tblGrid>
      <w:tr>
        <w:trPr>
          <w:tblHeader w:val="true"/>
        </w:trPr>
        <w:tc>
          <w:tcPr>
            <w:tcW w:type="dxa" w:w="964"/>
            <w:shd w:val="clear" w:color="auto" w:fill="E8EDF2"/>
          </w:tcPr>
          <w:p>
            <w:pPr>
              <w:spacing w:after="0"/>
              <w:jc w:val="left"/>
            </w:pPr>
            <w:r>
              <w:rPr>
                <w:rFonts w:ascii="Calibri" w:hAnsi="Calibri"/>
                <w:b/>
                <w:color w:val="1A1A1A"/>
                <w:sz w:val="17"/>
              </w:rPr>
              <w:t>ID</w:t>
            </w:r>
          </w:p>
        </w:tc>
        <w:tc>
          <w:tcPr>
            <w:tcW w:type="dxa" w:w="3345"/>
            <w:shd w:val="clear" w:color="auto" w:fill="E8EDF2"/>
          </w:tcPr>
          <w:p>
            <w:pPr>
              <w:spacing w:after="0"/>
              <w:jc w:val="left"/>
            </w:pPr>
            <w:r>
              <w:rPr>
                <w:rFonts w:ascii="Calibri" w:hAnsi="Calibri"/>
                <w:b/>
                <w:color w:val="1A1A1A"/>
                <w:sz w:val="17"/>
              </w:rPr>
              <w:t>Requirement</w:t>
            </w:r>
          </w:p>
        </w:tc>
        <w:tc>
          <w:tcPr>
            <w:tcW w:type="dxa" w:w="3061"/>
            <w:shd w:val="clear" w:color="auto" w:fill="E8EDF2"/>
          </w:tcPr>
          <w:p>
            <w:pPr>
              <w:spacing w:after="0"/>
              <w:jc w:val="left"/>
            </w:pPr>
            <w:r>
              <w:rPr>
                <w:rFonts w:ascii="Calibri" w:hAnsi="Calibri"/>
                <w:b/>
                <w:color w:val="1A1A1A"/>
                <w:sz w:val="17"/>
              </w:rPr>
              <w:t>Acceptance</w:t>
            </w:r>
          </w:p>
        </w:tc>
        <w:tc>
          <w:tcPr>
            <w:tcW w:type="dxa" w:w="1020"/>
            <w:shd w:val="clear" w:color="auto" w:fill="E8EDF2"/>
          </w:tcPr>
          <w:p>
            <w:pPr>
              <w:spacing w:after="0"/>
              <w:jc w:val="left"/>
            </w:pPr>
            <w:r>
              <w:rPr>
                <w:rFonts w:ascii="Calibri" w:hAnsi="Calibri"/>
                <w:b/>
                <w:color w:val="1A1A1A"/>
                <w:sz w:val="17"/>
              </w:rPr>
              <w:t>Status</w:t>
            </w:r>
          </w:p>
        </w:tc>
        <w:tc>
          <w:tcPr>
            <w:tcW w:type="dxa" w:w="1928"/>
            <w:shd w:val="clear" w:color="auto" w:fill="E8EDF2"/>
          </w:tcPr>
          <w:p>
            <w:pPr>
              <w:spacing w:after="0"/>
              <w:jc w:val="left"/>
            </w:pPr>
            <w:r>
              <w:rPr>
                <w:rFonts w:ascii="Calibri" w:hAnsi="Calibri"/>
                <w:b/>
                <w:color w:val="1A1A1A"/>
                <w:sz w:val="17"/>
              </w:rPr>
              <w:t>Lands in</w:t>
            </w:r>
          </w:p>
        </w:tc>
      </w:tr>
      <w:tr>
        <w:tc>
          <w:tcPr>
            <w:tcW w:type="dxa" w:w="964"/>
          </w:tcPr>
          <w:p>
            <w:pPr>
              <w:spacing w:after="0" w:line="252" w:lineRule="auto"/>
              <w:jc w:val="left"/>
            </w:pPr>
            <w:r>
              <w:rPr>
                <w:rFonts w:ascii="Calibri" w:hAnsi="Calibri"/>
                <w:color w:val="1A1A1A"/>
                <w:sz w:val="17"/>
              </w:rPr>
              <w:t>FR-P4-28</w:t>
            </w:r>
          </w:p>
        </w:tc>
        <w:tc>
          <w:tcPr>
            <w:tcW w:type="dxa" w:w="3345"/>
          </w:tcPr>
          <w:p>
            <w:pPr>
              <w:spacing w:after="0" w:line="252" w:lineRule="auto"/>
              <w:jc w:val="left"/>
            </w:pPr>
            <w:r>
              <w:rPr>
                <w:rFonts w:ascii="Calibri" w:hAnsi="Calibri"/>
                <w:color w:val="1A1A1A"/>
                <w:sz w:val="17"/>
              </w:rPr>
              <w:t xml:space="preserve">Hold target margins by service line, client segment and commercial model, applied as </w:t>
            </w:r>
            <w:r>
              <w:rPr>
                <w:rFonts w:ascii="Calibri" w:hAnsi="Calibri"/>
                <w:b/>
                <w:color w:val="1A1A1A"/>
                <w:sz w:val="17"/>
              </w:rPr>
              <w:t>guidance rather than as the price</w:t>
            </w:r>
          </w:p>
        </w:tc>
        <w:tc>
          <w:tcPr>
            <w:tcW w:type="dxa" w:w="3061"/>
          </w:tcPr>
          <w:p>
            <w:pPr>
              <w:spacing w:after="0" w:line="252" w:lineRule="auto"/>
              <w:jc w:val="left"/>
            </w:pPr>
            <w:r>
              <w:rPr>
                <w:rFonts w:ascii="Calibri" w:hAnsi="Calibri"/>
                <w:color w:val="1A1A1A"/>
                <w:sz w:val="17"/>
              </w:rPr>
              <w:t>A target margin resolves for any combination and suggests a price, but the quoted figure is set by the estimator against the market. Live margin against cost is displayed as the number moves</w:t>
            </w:r>
          </w:p>
        </w:tc>
        <w:tc>
          <w:tcPr>
            <w:tcW w:type="dxa" w:w="1020"/>
          </w:tcPr>
          <w:p>
            <w:pPr>
              <w:spacing w:after="0" w:line="252" w:lineRule="auto"/>
              <w:jc w:val="left"/>
            </w:pPr>
            <w:r>
              <w:rPr>
                <w:rFonts w:ascii="Calibri" w:hAnsi="Calibri"/>
                <w:b/>
                <w:color w:val="1F4E79"/>
                <w:sz w:val="17"/>
              </w:rPr>
              <w:t>NEW</w:t>
            </w:r>
            <w:r>
              <w:rPr>
                <w:rFonts w:ascii="Calibri" w:hAnsi="Calibri"/>
                <w:color w:val="1F4E79"/>
                <w:sz w:val="17"/>
              </w:rPr>
              <w:t xml:space="preserve"> — reviewed 25 Aug: cost sets the floor, the market sets the number</w:t>
            </w:r>
          </w:p>
        </w:tc>
        <w:tc>
          <w:tcPr>
            <w:tcW w:type="dxa" w:w="1928"/>
          </w:tcPr>
          <w:p>
            <w:pPr>
              <w:spacing w:after="0" w:line="252" w:lineRule="auto"/>
              <w:jc w:val="left"/>
            </w:pPr>
            <w:r>
              <w:rPr>
                <w:rFonts w:ascii="Calibri" w:hAnsi="Calibri"/>
                <w:color w:val="1A1A1A"/>
                <w:sz w:val="17"/>
              </w:rPr>
              <w:t xml:space="preserve">New </w:t>
            </w:r>
            <w:r>
              <w:rPr>
                <w:rFonts w:ascii="Consolas" w:hAnsi="Consolas"/>
                <w:color w:val="8B2E2E"/>
                <w:sz w:val="17"/>
              </w:rPr>
              <w:t>margin_targets</w:t>
            </w:r>
          </w:p>
        </w:tc>
      </w:tr>
      <w:tr>
        <w:tc>
          <w:tcPr>
            <w:tcW w:type="dxa" w:w="964"/>
            <w:shd w:val="clear" w:color="auto" w:fill="FAFBFC"/>
          </w:tcPr>
          <w:p>
            <w:pPr>
              <w:spacing w:after="0" w:line="252" w:lineRule="auto"/>
              <w:jc w:val="left"/>
            </w:pPr>
            <w:r>
              <w:rPr>
                <w:rFonts w:ascii="Calibri" w:hAnsi="Calibri"/>
                <w:color w:val="1A1A1A"/>
                <w:sz w:val="17"/>
              </w:rPr>
              <w:t>FR-P4-29</w:t>
            </w:r>
          </w:p>
        </w:tc>
        <w:tc>
          <w:tcPr>
            <w:tcW w:type="dxa" w:w="3345"/>
            <w:shd w:val="clear" w:color="auto" w:fill="FAFBFC"/>
          </w:tcPr>
          <w:p>
            <w:pPr>
              <w:spacing w:after="0" w:line="252" w:lineRule="auto"/>
              <w:jc w:val="left"/>
            </w:pPr>
            <w:r>
              <w:rPr>
                <w:rFonts w:ascii="Calibri" w:hAnsi="Calibri"/>
                <w:color w:val="1A1A1A"/>
                <w:sz w:val="17"/>
              </w:rPr>
              <w:t>Support fixed-price, time-and-material, retainer and milestone commercial models</w:t>
            </w:r>
          </w:p>
        </w:tc>
        <w:tc>
          <w:tcPr>
            <w:tcW w:type="dxa" w:w="3061"/>
            <w:shd w:val="clear" w:color="auto" w:fill="FAFBFC"/>
          </w:tcPr>
          <w:p>
            <w:pPr>
              <w:spacing w:after="0" w:line="252" w:lineRule="auto"/>
              <w:jc w:val="left"/>
            </w:pPr>
            <w:r>
              <w:rPr>
                <w:rFonts w:ascii="Calibri" w:hAnsi="Calibri"/>
                <w:color w:val="1A1A1A"/>
                <w:sz w:val="17"/>
              </w:rPr>
              <w:t>Each model prices correctly from the same cost basis and produces its own payment structure</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Pricing service</w:t>
            </w:r>
          </w:p>
        </w:tc>
      </w:tr>
      <w:tr>
        <w:tc>
          <w:tcPr>
            <w:tcW w:type="dxa" w:w="964"/>
          </w:tcPr>
          <w:p>
            <w:pPr>
              <w:spacing w:after="0" w:line="252" w:lineRule="auto"/>
              <w:jc w:val="left"/>
            </w:pPr>
            <w:r>
              <w:rPr>
                <w:rFonts w:ascii="Calibri" w:hAnsi="Calibri"/>
                <w:color w:val="1A1A1A"/>
                <w:sz w:val="17"/>
              </w:rPr>
              <w:t>FR-P4-30</w:t>
            </w:r>
          </w:p>
        </w:tc>
        <w:tc>
          <w:tcPr>
            <w:tcW w:type="dxa" w:w="3345"/>
          </w:tcPr>
          <w:p>
            <w:pPr>
              <w:spacing w:after="0" w:line="252" w:lineRule="auto"/>
              <w:jc w:val="left"/>
            </w:pPr>
            <w:r>
              <w:rPr>
                <w:rFonts w:ascii="Calibri" w:hAnsi="Calibri"/>
                <w:color w:val="1A1A1A"/>
                <w:sz w:val="17"/>
              </w:rPr>
              <w:t>Apply contingency automatically from the estimate's confidence band</w:t>
            </w:r>
          </w:p>
        </w:tc>
        <w:tc>
          <w:tcPr>
            <w:tcW w:type="dxa" w:w="3061"/>
          </w:tcPr>
          <w:p>
            <w:pPr>
              <w:spacing w:after="0" w:line="252" w:lineRule="auto"/>
              <w:jc w:val="left"/>
            </w:pPr>
            <w:r>
              <w:rPr>
                <w:rFonts w:ascii="Calibri" w:hAnsi="Calibri"/>
                <w:color w:val="1A1A1A"/>
                <w:sz w:val="17"/>
              </w:rPr>
              <w:t>A Low-confidence estimate attracts contingency at the configured rate; Medium and High do not unless overridden with a reason</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Pricing service</w:t>
            </w:r>
          </w:p>
        </w:tc>
      </w:tr>
      <w:tr>
        <w:tc>
          <w:tcPr>
            <w:tcW w:type="dxa" w:w="964"/>
            <w:shd w:val="clear" w:color="auto" w:fill="FAFBFC"/>
          </w:tcPr>
          <w:p>
            <w:pPr>
              <w:spacing w:after="0" w:line="252" w:lineRule="auto"/>
              <w:jc w:val="left"/>
            </w:pPr>
            <w:r>
              <w:rPr>
                <w:rFonts w:ascii="Calibri" w:hAnsi="Calibri"/>
                <w:color w:val="1A1A1A"/>
                <w:sz w:val="17"/>
              </w:rPr>
              <w:t>FR-P4-31</w:t>
            </w:r>
          </w:p>
        </w:tc>
        <w:tc>
          <w:tcPr>
            <w:tcW w:type="dxa" w:w="3345"/>
            <w:shd w:val="clear" w:color="auto" w:fill="FAFBFC"/>
          </w:tcPr>
          <w:p>
            <w:pPr>
              <w:spacing w:after="0" w:line="252" w:lineRule="auto"/>
              <w:jc w:val="left"/>
            </w:pPr>
            <w:r>
              <w:rPr>
                <w:rFonts w:ascii="Calibri" w:hAnsi="Calibri"/>
                <w:color w:val="1A1A1A"/>
                <w:sz w:val="17"/>
              </w:rPr>
              <w:t>Hold rate cards and published price lists with effective dating and client-specific agreed rates</w:t>
            </w:r>
          </w:p>
        </w:tc>
        <w:tc>
          <w:tcPr>
            <w:tcW w:type="dxa" w:w="3061"/>
            <w:shd w:val="clear" w:color="auto" w:fill="FAFBFC"/>
          </w:tcPr>
          <w:p>
            <w:pPr>
              <w:spacing w:after="0" w:line="252" w:lineRule="auto"/>
              <w:jc w:val="left"/>
            </w:pPr>
            <w:r>
              <w:rPr>
                <w:rFonts w:ascii="Calibri" w:hAnsi="Calibri"/>
                <w:color w:val="1A1A1A"/>
                <w:sz w:val="17"/>
              </w:rPr>
              <w:t>A time-and-material quote resolves the correct rate for the client and the date</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 xml:space="preserve">New </w:t>
            </w:r>
            <w:r>
              <w:rPr>
                <w:rFonts w:ascii="Consolas" w:hAnsi="Consolas"/>
                <w:color w:val="8B2E2E"/>
                <w:sz w:val="17"/>
              </w:rPr>
              <w:t>rate_cards</w:t>
            </w:r>
          </w:p>
        </w:tc>
      </w:tr>
      <w:tr>
        <w:tc>
          <w:tcPr>
            <w:tcW w:type="dxa" w:w="964"/>
          </w:tcPr>
          <w:p>
            <w:pPr>
              <w:spacing w:after="0" w:line="252" w:lineRule="auto"/>
              <w:jc w:val="left"/>
            </w:pPr>
            <w:r>
              <w:rPr>
                <w:rFonts w:ascii="Calibri" w:hAnsi="Calibri"/>
                <w:color w:val="1A1A1A"/>
                <w:sz w:val="17"/>
              </w:rPr>
              <w:t>FR-P4-32</w:t>
            </w:r>
          </w:p>
        </w:tc>
        <w:tc>
          <w:tcPr>
            <w:tcW w:type="dxa" w:w="3345"/>
          </w:tcPr>
          <w:p>
            <w:pPr>
              <w:spacing w:after="0" w:line="252" w:lineRule="auto"/>
              <w:jc w:val="left"/>
            </w:pPr>
            <w:r>
              <w:rPr>
                <w:rFonts w:ascii="Calibri" w:hAnsi="Calibri"/>
                <w:color w:val="1A1A1A"/>
                <w:sz w:val="17"/>
              </w:rPr>
              <w:t>Enforce discount and margin floors with approval thresholds</w:t>
            </w:r>
          </w:p>
        </w:tc>
        <w:tc>
          <w:tcPr>
            <w:tcW w:type="dxa" w:w="3061"/>
          </w:tcPr>
          <w:p>
            <w:pPr>
              <w:spacing w:after="0" w:line="252" w:lineRule="auto"/>
              <w:jc w:val="left"/>
            </w:pPr>
            <w:r>
              <w:rPr>
                <w:rFonts w:ascii="Calibri" w:hAnsi="Calibri"/>
                <w:color w:val="1A1A1A"/>
                <w:sz w:val="17"/>
              </w:rPr>
              <w:t>A price below the floor cannot be approved without an entitled approver; the approval records who, when and why</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Pricing + approval workflow</w:t>
            </w:r>
          </w:p>
        </w:tc>
      </w:tr>
      <w:tr>
        <w:tc>
          <w:tcPr>
            <w:tcW w:type="dxa" w:w="964"/>
            <w:shd w:val="clear" w:color="auto" w:fill="FAFBFC"/>
          </w:tcPr>
          <w:p>
            <w:pPr>
              <w:spacing w:after="0" w:line="252" w:lineRule="auto"/>
              <w:jc w:val="left"/>
            </w:pPr>
            <w:r>
              <w:rPr>
                <w:rFonts w:ascii="Calibri" w:hAnsi="Calibri"/>
                <w:color w:val="1A1A1A"/>
                <w:sz w:val="17"/>
              </w:rPr>
              <w:t>FR-P4-33</w:t>
            </w:r>
          </w:p>
        </w:tc>
        <w:tc>
          <w:tcPr>
            <w:tcW w:type="dxa" w:w="3345"/>
            <w:shd w:val="clear" w:color="auto" w:fill="FAFBFC"/>
          </w:tcPr>
          <w:p>
            <w:pPr>
              <w:spacing w:after="0" w:line="252" w:lineRule="auto"/>
              <w:jc w:val="left"/>
            </w:pPr>
            <w:r>
              <w:rPr>
                <w:rFonts w:ascii="Calibri" w:hAnsi="Calibri"/>
                <w:color w:val="1A1A1A"/>
                <w:sz w:val="17"/>
              </w:rPr>
              <w:t>When a price is reduced, require an explicit choice between discounting and de-scoping</w:t>
            </w:r>
          </w:p>
        </w:tc>
        <w:tc>
          <w:tcPr>
            <w:tcW w:type="dxa" w:w="3061"/>
            <w:shd w:val="clear" w:color="auto" w:fill="FAFBFC"/>
          </w:tcPr>
          <w:p>
            <w:pPr>
              <w:spacing w:after="0" w:line="252" w:lineRule="auto"/>
              <w:jc w:val="left"/>
            </w:pPr>
            <w:r>
              <w:rPr>
                <w:rFonts w:ascii="Calibri" w:hAnsi="Calibri"/>
                <w:color w:val="1A1A1A"/>
                <w:sz w:val="17"/>
              </w:rPr>
              <w:t>The user must select one; a de-scope re-sizes the estimate, a discount does not</w:t>
            </w:r>
          </w:p>
        </w:tc>
        <w:tc>
          <w:tcPr>
            <w:tcW w:type="dxa" w:w="1020"/>
            <w:shd w:val="clear" w:color="auto" w:fill="FAFBFC"/>
          </w:tcPr>
          <w:p>
            <w:pPr>
              <w:spacing w:after="0" w:line="252" w:lineRule="auto"/>
              <w:jc w:val="left"/>
            </w:pPr>
            <w:r>
              <w:rPr>
                <w:rFonts w:ascii="Calibri" w:hAnsi="Calibri"/>
                <w:b/>
                <w:color w:val="1F4E79"/>
                <w:sz w:val="17"/>
              </w:rPr>
              <w:t>NEW</w:t>
            </w:r>
            <w:r>
              <w:rPr>
                <w:rFonts w:ascii="Calibri" w:hAnsi="Calibri"/>
                <w:color w:val="1F4E79"/>
                <w:sz w:val="17"/>
              </w:rPr>
              <w:t xml:space="preserve"> — this is the argument of the entire source document</w:t>
            </w:r>
          </w:p>
        </w:tc>
        <w:tc>
          <w:tcPr>
            <w:tcW w:type="dxa" w:w="1928"/>
            <w:shd w:val="clear" w:color="auto" w:fill="FAFBFC"/>
          </w:tcPr>
          <w:p>
            <w:pPr>
              <w:spacing w:after="0" w:line="252" w:lineRule="auto"/>
              <w:jc w:val="left"/>
            </w:pPr>
            <w:r>
              <w:rPr>
                <w:rFonts w:ascii="Calibri" w:hAnsi="Calibri"/>
                <w:color w:val="1A1A1A"/>
                <w:sz w:val="17"/>
              </w:rPr>
              <w:t>Pricing service</w:t>
            </w:r>
          </w:p>
        </w:tc>
      </w:tr>
      <w:tr>
        <w:tc>
          <w:tcPr>
            <w:tcW w:type="dxa" w:w="964"/>
          </w:tcPr>
          <w:p>
            <w:pPr>
              <w:spacing w:after="0" w:line="252" w:lineRule="auto"/>
              <w:jc w:val="left"/>
            </w:pPr>
            <w:r>
              <w:rPr>
                <w:rFonts w:ascii="Calibri" w:hAnsi="Calibri"/>
                <w:color w:val="1A1A1A"/>
                <w:sz w:val="17"/>
              </w:rPr>
              <w:t>FR-P4-34</w:t>
            </w:r>
          </w:p>
        </w:tc>
        <w:tc>
          <w:tcPr>
            <w:tcW w:type="dxa" w:w="3345"/>
          </w:tcPr>
          <w:p>
            <w:pPr>
              <w:spacing w:after="0" w:line="252" w:lineRule="auto"/>
              <w:jc w:val="left"/>
            </w:pPr>
            <w:r>
              <w:rPr>
                <w:rFonts w:ascii="Calibri" w:hAnsi="Calibri"/>
                <w:color w:val="1A1A1A"/>
                <w:sz w:val="17"/>
              </w:rPr>
              <w:t>Compare scenarios side by side — price, cost and margin under alternative scope, staffing and discount options</w:t>
            </w:r>
          </w:p>
        </w:tc>
        <w:tc>
          <w:tcPr>
            <w:tcW w:type="dxa" w:w="3061"/>
          </w:tcPr>
          <w:p>
            <w:pPr>
              <w:spacing w:after="0" w:line="252" w:lineRule="auto"/>
              <w:jc w:val="left"/>
            </w:pPr>
            <w:r>
              <w:rPr>
                <w:rFonts w:ascii="Calibri" w:hAnsi="Calibri"/>
                <w:color w:val="1A1A1A"/>
                <w:sz w:val="17"/>
              </w:rPr>
              <w:t>At least two scenarios are comparable in one view before one is approved</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Pricing UI</w:t>
            </w:r>
          </w:p>
        </w:tc>
      </w:tr>
      <w:tr>
        <w:tc>
          <w:tcPr>
            <w:tcW w:type="dxa" w:w="964"/>
            <w:shd w:val="clear" w:color="auto" w:fill="FAFBFC"/>
          </w:tcPr>
          <w:p>
            <w:pPr>
              <w:spacing w:after="0" w:line="252" w:lineRule="auto"/>
              <w:jc w:val="left"/>
            </w:pPr>
            <w:r>
              <w:rPr>
                <w:rFonts w:ascii="Calibri" w:hAnsi="Calibri"/>
                <w:color w:val="1A1A1A"/>
                <w:sz w:val="17"/>
              </w:rPr>
              <w:t>FR-P4-35</w:t>
            </w:r>
          </w:p>
        </w:tc>
        <w:tc>
          <w:tcPr>
            <w:tcW w:type="dxa" w:w="3345"/>
            <w:shd w:val="clear" w:color="auto" w:fill="FAFBFC"/>
          </w:tcPr>
          <w:p>
            <w:pPr>
              <w:spacing w:after="0" w:line="252" w:lineRule="auto"/>
              <w:jc w:val="left"/>
            </w:pPr>
            <w:r>
              <w:rPr>
                <w:rFonts w:ascii="Calibri" w:hAnsi="Calibri"/>
                <w:color w:val="1A1A1A"/>
                <w:sz w:val="17"/>
              </w:rPr>
              <w:t>Publish price and approval state to Pillar 2, and permission-gated cost and margin to Pillar 7</w:t>
            </w:r>
          </w:p>
        </w:tc>
        <w:tc>
          <w:tcPr>
            <w:tcW w:type="dxa" w:w="3061"/>
            <w:shd w:val="clear" w:color="auto" w:fill="FAFBFC"/>
          </w:tcPr>
          <w:p>
            <w:pPr>
              <w:spacing w:after="0" w:line="252" w:lineRule="auto"/>
              <w:jc w:val="left"/>
            </w:pPr>
            <w:r>
              <w:rPr>
                <w:rFonts w:ascii="Calibri" w:hAnsi="Calibri"/>
                <w:color w:val="1A1A1A"/>
                <w:sz w:val="17"/>
              </w:rPr>
              <w:t>The opportunity amount comes from the approved price; the revenue pillar can compute realized margin</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P4 to P2, P4 to P7</w:t>
            </w:r>
          </w:p>
        </w:tc>
      </w:tr>
    </w:tbl>
    <w:p>
      <w:pPr>
        <w:spacing w:after="80"/>
      </w:pPr>
    </w:p>
    <w:p>
      <w:pPr>
        <w:spacing w:before="120" w:after="160"/>
        <w:ind w:left="198"/>
        <w:pBdr>
          <w:left w:val="single" w:sz="18" w:space="8" w:color="B08D57"/>
        </w:pBdr>
        <w:shd w:val="clear" w:color="auto" w:fill="F4F1E8"/>
      </w:pPr>
      <w:r>
        <w:rPr>
          <w:rFonts w:ascii="Calibri" w:hAnsi="Calibri"/>
          <w:b/>
          <w:color w:val="1A1A1A"/>
          <w:sz w:val="19"/>
        </w:rPr>
        <w:t>CONCRETE EXAMPLE</w:t>
      </w:r>
      <w:r>
        <w:rPr>
          <w:rFonts w:ascii="Calibri" w:hAnsi="Calibri"/>
          <w:color w:val="1A1A1A"/>
          <w:sz w:val="19"/>
        </w:rPr>
        <w:t xml:space="preserve">  At a 35% target margin, Northwind's INR 11,54,330 cost prices at INR 17,75,892, rounded to a quoted </w:t>
      </w:r>
      <w:r>
        <w:rPr>
          <w:rFonts w:ascii="Calibri" w:hAnsi="Calibri"/>
          <w:b/>
          <w:color w:val="1A1A1A"/>
          <w:sz w:val="19"/>
        </w:rPr>
        <w:t>INR 18,00,000</w:t>
      </w:r>
      <w:r>
        <w:rPr>
          <w:rFonts w:ascii="Calibri" w:hAnsi="Calibri"/>
          <w:color w:val="1A1A1A"/>
          <w:sz w:val="19"/>
        </w:rPr>
        <w:t xml:space="preserve"> — an actual margin of 35.9%. Medium confidence adds no contingency. The price sits above the 28% floor, so no approval exception is required.</w:t>
      </w:r>
    </w:p>
    <w:p>
      <w:pPr>
        <w:pStyle w:val="Heading3"/>
      </w:pPr>
      <w:r>
        <w:t>4.6 Bid decision</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064"/>
        <w:gridCol w:w="2064"/>
        <w:gridCol w:w="2064"/>
        <w:gridCol w:w="2064"/>
        <w:gridCol w:w="2064"/>
      </w:tblGrid>
      <w:tr>
        <w:trPr>
          <w:tblHeader w:val="true"/>
        </w:trPr>
        <w:tc>
          <w:tcPr>
            <w:tcW w:type="dxa" w:w="964"/>
            <w:shd w:val="clear" w:color="auto" w:fill="E8EDF2"/>
          </w:tcPr>
          <w:p>
            <w:pPr>
              <w:spacing w:after="0"/>
              <w:jc w:val="left"/>
            </w:pPr>
            <w:r>
              <w:rPr>
                <w:rFonts w:ascii="Calibri" w:hAnsi="Calibri"/>
                <w:b/>
                <w:color w:val="1A1A1A"/>
                <w:sz w:val="17"/>
              </w:rPr>
              <w:t>ID</w:t>
            </w:r>
          </w:p>
        </w:tc>
        <w:tc>
          <w:tcPr>
            <w:tcW w:type="dxa" w:w="3345"/>
            <w:shd w:val="clear" w:color="auto" w:fill="E8EDF2"/>
          </w:tcPr>
          <w:p>
            <w:pPr>
              <w:spacing w:after="0"/>
              <w:jc w:val="left"/>
            </w:pPr>
            <w:r>
              <w:rPr>
                <w:rFonts w:ascii="Calibri" w:hAnsi="Calibri"/>
                <w:b/>
                <w:color w:val="1A1A1A"/>
                <w:sz w:val="17"/>
              </w:rPr>
              <w:t>Requirement</w:t>
            </w:r>
          </w:p>
        </w:tc>
        <w:tc>
          <w:tcPr>
            <w:tcW w:type="dxa" w:w="3061"/>
            <w:shd w:val="clear" w:color="auto" w:fill="E8EDF2"/>
          </w:tcPr>
          <w:p>
            <w:pPr>
              <w:spacing w:after="0"/>
              <w:jc w:val="left"/>
            </w:pPr>
            <w:r>
              <w:rPr>
                <w:rFonts w:ascii="Calibri" w:hAnsi="Calibri"/>
                <w:b/>
                <w:color w:val="1A1A1A"/>
                <w:sz w:val="17"/>
              </w:rPr>
              <w:t>Acceptance</w:t>
            </w:r>
          </w:p>
        </w:tc>
        <w:tc>
          <w:tcPr>
            <w:tcW w:type="dxa" w:w="1020"/>
            <w:shd w:val="clear" w:color="auto" w:fill="E8EDF2"/>
          </w:tcPr>
          <w:p>
            <w:pPr>
              <w:spacing w:after="0"/>
              <w:jc w:val="left"/>
            </w:pPr>
            <w:r>
              <w:rPr>
                <w:rFonts w:ascii="Calibri" w:hAnsi="Calibri"/>
                <w:b/>
                <w:color w:val="1A1A1A"/>
                <w:sz w:val="17"/>
              </w:rPr>
              <w:t>Status</w:t>
            </w:r>
          </w:p>
        </w:tc>
        <w:tc>
          <w:tcPr>
            <w:tcW w:type="dxa" w:w="1928"/>
            <w:shd w:val="clear" w:color="auto" w:fill="E8EDF2"/>
          </w:tcPr>
          <w:p>
            <w:pPr>
              <w:spacing w:after="0"/>
              <w:jc w:val="left"/>
            </w:pPr>
            <w:r>
              <w:rPr>
                <w:rFonts w:ascii="Calibri" w:hAnsi="Calibri"/>
                <w:b/>
                <w:color w:val="1A1A1A"/>
                <w:sz w:val="17"/>
              </w:rPr>
              <w:t>Lands in</w:t>
            </w:r>
          </w:p>
        </w:tc>
      </w:tr>
      <w:tr>
        <w:tc>
          <w:tcPr>
            <w:tcW w:type="dxa" w:w="964"/>
          </w:tcPr>
          <w:p>
            <w:pPr>
              <w:spacing w:after="0" w:line="252" w:lineRule="auto"/>
              <w:jc w:val="left"/>
            </w:pPr>
            <w:r>
              <w:rPr>
                <w:rFonts w:ascii="Calibri" w:hAnsi="Calibri"/>
                <w:color w:val="1A1A1A"/>
                <w:sz w:val="17"/>
              </w:rPr>
              <w:t>FR-P4-36</w:t>
            </w:r>
          </w:p>
        </w:tc>
        <w:tc>
          <w:tcPr>
            <w:tcW w:type="dxa" w:w="3345"/>
          </w:tcPr>
          <w:p>
            <w:pPr>
              <w:spacing w:after="0" w:line="252" w:lineRule="auto"/>
              <w:jc w:val="left"/>
            </w:pPr>
            <w:r>
              <w:rPr>
                <w:rFonts w:ascii="Calibri" w:hAnsi="Calibri"/>
                <w:color w:val="1A1A1A"/>
                <w:sz w:val="17"/>
              </w:rPr>
              <w:t xml:space="preserve">Run an </w:t>
            </w:r>
            <w:r>
              <w:rPr>
                <w:rFonts w:ascii="Calibri" w:hAnsi="Calibri"/>
                <w:b/>
                <w:color w:val="1A1A1A"/>
                <w:sz w:val="17"/>
              </w:rPr>
              <w:t>absolute</w:t>
            </w:r>
            <w:r>
              <w:rPr>
                <w:rFonts w:ascii="Calibri" w:hAnsi="Calibri"/>
                <w:color w:val="1A1A1A"/>
                <w:sz w:val="17"/>
              </w:rPr>
              <w:t xml:space="preserve"> test: margin against floor, cost confidence, payment terms and commercial risk</w:t>
            </w:r>
          </w:p>
        </w:tc>
        <w:tc>
          <w:tcPr>
            <w:tcW w:type="dxa" w:w="3061"/>
          </w:tcPr>
          <w:p>
            <w:pPr>
              <w:spacing w:after="0" w:line="252" w:lineRule="auto"/>
              <w:jc w:val="left"/>
            </w:pPr>
            <w:r>
              <w:rPr>
                <w:rFonts w:ascii="Calibri" w:hAnsi="Calibri"/>
                <w:color w:val="1A1A1A"/>
                <w:sz w:val="17"/>
              </w:rPr>
              <w:t>The absolute verdict is shown with each contributing factor</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Decision service</w:t>
            </w:r>
          </w:p>
        </w:tc>
      </w:tr>
      <w:tr>
        <w:tc>
          <w:tcPr>
            <w:tcW w:type="dxa" w:w="964"/>
            <w:shd w:val="clear" w:color="auto" w:fill="FAFBFC"/>
          </w:tcPr>
          <w:p>
            <w:pPr>
              <w:spacing w:after="0" w:line="252" w:lineRule="auto"/>
              <w:jc w:val="left"/>
            </w:pPr>
            <w:r>
              <w:rPr>
                <w:rFonts w:ascii="Calibri" w:hAnsi="Calibri"/>
                <w:color w:val="1A1A1A"/>
                <w:sz w:val="17"/>
              </w:rPr>
              <w:t>FR-P4-37</w:t>
            </w:r>
          </w:p>
        </w:tc>
        <w:tc>
          <w:tcPr>
            <w:tcW w:type="dxa" w:w="3345"/>
            <w:shd w:val="clear" w:color="auto" w:fill="FAFBFC"/>
          </w:tcPr>
          <w:p>
            <w:pPr>
              <w:spacing w:after="0" w:line="252" w:lineRule="auto"/>
              <w:jc w:val="left"/>
            </w:pPr>
            <w:r>
              <w:rPr>
                <w:rFonts w:ascii="Calibri" w:hAnsi="Calibri"/>
                <w:color w:val="1A1A1A"/>
                <w:sz w:val="17"/>
              </w:rPr>
              <w:t xml:space="preserve">Run a </w:t>
            </w:r>
            <w:r>
              <w:rPr>
                <w:rFonts w:ascii="Calibri" w:hAnsi="Calibri"/>
                <w:b/>
                <w:color w:val="1A1A1A"/>
                <w:sz w:val="17"/>
              </w:rPr>
              <w:t>relative</w:t>
            </w:r>
            <w:r>
              <w:rPr>
                <w:rFonts w:ascii="Calibri" w:hAnsi="Calibri"/>
                <w:color w:val="1A1A1A"/>
                <w:sz w:val="17"/>
              </w:rPr>
              <w:t xml:space="preserve"> test: opportunity cost of the constrained roles, scored against competing pipeline opportunities in the same window</w:t>
            </w:r>
          </w:p>
        </w:tc>
        <w:tc>
          <w:tcPr>
            <w:tcW w:type="dxa" w:w="3061"/>
            <w:shd w:val="clear" w:color="auto" w:fill="FAFBFC"/>
          </w:tcPr>
          <w:p>
            <w:pPr>
              <w:spacing w:after="0" w:line="252" w:lineRule="auto"/>
              <w:jc w:val="left"/>
            </w:pPr>
            <w:r>
              <w:rPr>
                <w:rFonts w:ascii="Calibri" w:hAnsi="Calibri"/>
                <w:color w:val="1A1A1A"/>
                <w:sz w:val="17"/>
              </w:rPr>
              <w:t xml:space="preserve">Competing demand is surfaced </w:t>
            </w:r>
            <w:r>
              <w:rPr>
                <w:rFonts w:ascii="Calibri" w:hAnsi="Calibri"/>
                <w:b/>
                <w:color w:val="1A1A1A"/>
                <w:sz w:val="17"/>
              </w:rPr>
              <w:t>before</w:t>
            </w:r>
            <w:r>
              <w:rPr>
                <w:rFonts w:ascii="Calibri" w:hAnsi="Calibri"/>
                <w:color w:val="1A1A1A"/>
                <w:sz w:val="17"/>
              </w:rPr>
              <w:t xml:space="preserve"> the quote is sent, with the displaced opportunity's value and probability</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Decision service</w:t>
            </w:r>
          </w:p>
        </w:tc>
      </w:tr>
      <w:tr>
        <w:tc>
          <w:tcPr>
            <w:tcW w:type="dxa" w:w="964"/>
          </w:tcPr>
          <w:p>
            <w:pPr>
              <w:spacing w:after="0" w:line="252" w:lineRule="auto"/>
              <w:jc w:val="left"/>
            </w:pPr>
            <w:r>
              <w:rPr>
                <w:rFonts w:ascii="Calibri" w:hAnsi="Calibri"/>
                <w:color w:val="1A1A1A"/>
                <w:sz w:val="17"/>
              </w:rPr>
              <w:t>FR-P4-38</w:t>
            </w:r>
          </w:p>
        </w:tc>
        <w:tc>
          <w:tcPr>
            <w:tcW w:type="dxa" w:w="3345"/>
          </w:tcPr>
          <w:p>
            <w:pPr>
              <w:spacing w:after="0" w:line="252" w:lineRule="auto"/>
              <w:jc w:val="left"/>
            </w:pPr>
            <w:r>
              <w:rPr>
                <w:rFonts w:ascii="Calibri" w:hAnsi="Calibri"/>
                <w:color w:val="1A1A1A"/>
                <w:sz w:val="17"/>
              </w:rPr>
              <w:t>Score delivery risk from estimate confidence, client-side dependency exposure, service novelty and external auditor availability</w:t>
            </w:r>
          </w:p>
        </w:tc>
        <w:tc>
          <w:tcPr>
            <w:tcW w:type="dxa" w:w="3061"/>
          </w:tcPr>
          <w:p>
            <w:pPr>
              <w:spacing w:after="0" w:line="252" w:lineRule="auto"/>
              <w:jc w:val="left"/>
            </w:pPr>
            <w:r>
              <w:rPr>
                <w:rFonts w:ascii="Calibri" w:hAnsi="Calibri"/>
                <w:color w:val="1A1A1A"/>
                <w:sz w:val="17"/>
              </w:rPr>
              <w:t>A delivery risk score with its four inputs is shown on the decision</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Decision service</w:t>
            </w:r>
          </w:p>
        </w:tc>
      </w:tr>
      <w:tr>
        <w:tc>
          <w:tcPr>
            <w:tcW w:type="dxa" w:w="964"/>
            <w:shd w:val="clear" w:color="auto" w:fill="FAFBFC"/>
          </w:tcPr>
          <w:p>
            <w:pPr>
              <w:spacing w:after="0" w:line="252" w:lineRule="auto"/>
              <w:jc w:val="left"/>
            </w:pPr>
            <w:r>
              <w:rPr>
                <w:rFonts w:ascii="Calibri" w:hAnsi="Calibri"/>
                <w:color w:val="1A1A1A"/>
                <w:sz w:val="17"/>
              </w:rPr>
              <w:t>FR-P4-39</w:t>
            </w:r>
          </w:p>
        </w:tc>
        <w:tc>
          <w:tcPr>
            <w:tcW w:type="dxa" w:w="3345"/>
            <w:shd w:val="clear" w:color="auto" w:fill="FAFBFC"/>
          </w:tcPr>
          <w:p>
            <w:pPr>
              <w:spacing w:after="0" w:line="252" w:lineRule="auto"/>
              <w:jc w:val="left"/>
            </w:pPr>
            <w:r>
              <w:rPr>
                <w:rFonts w:ascii="Calibri" w:hAnsi="Calibri"/>
                <w:color w:val="1A1A1A"/>
                <w:sz w:val="17"/>
              </w:rPr>
              <w:t>Apply strategic weighting for reference value, target-segment entry, partner relationship and follow-on potential</w:t>
            </w:r>
          </w:p>
        </w:tc>
        <w:tc>
          <w:tcPr>
            <w:tcW w:type="dxa" w:w="3061"/>
            <w:shd w:val="clear" w:color="auto" w:fill="FAFBFC"/>
          </w:tcPr>
          <w:p>
            <w:pPr>
              <w:spacing w:after="0" w:line="252" w:lineRule="auto"/>
              <w:jc w:val="left"/>
            </w:pPr>
            <w:r>
              <w:rPr>
                <w:rFonts w:ascii="Calibri" w:hAnsi="Calibri"/>
                <w:color w:val="1A1A1A"/>
                <w:sz w:val="17"/>
              </w:rPr>
              <w:t>Strategic factors are recorded and can override an unfavourable economic verdict, with the override reasoned</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Decision service</w:t>
            </w:r>
          </w:p>
        </w:tc>
      </w:tr>
      <w:tr>
        <w:tc>
          <w:tcPr>
            <w:tcW w:type="dxa" w:w="964"/>
          </w:tcPr>
          <w:p>
            <w:pPr>
              <w:spacing w:after="0" w:line="252" w:lineRule="auto"/>
              <w:jc w:val="left"/>
            </w:pPr>
            <w:r>
              <w:rPr>
                <w:rFonts w:ascii="Calibri" w:hAnsi="Calibri"/>
                <w:color w:val="1A1A1A"/>
                <w:sz w:val="17"/>
              </w:rPr>
              <w:t>FR-P4-40</w:t>
            </w:r>
          </w:p>
        </w:tc>
        <w:tc>
          <w:tcPr>
            <w:tcW w:type="dxa" w:w="3345"/>
          </w:tcPr>
          <w:p>
            <w:pPr>
              <w:spacing w:after="0" w:line="252" w:lineRule="auto"/>
              <w:jc w:val="left"/>
            </w:pPr>
            <w:r>
              <w:rPr>
                <w:rFonts w:ascii="Calibri" w:hAnsi="Calibri"/>
                <w:color w:val="1A1A1A"/>
                <w:sz w:val="17"/>
              </w:rPr>
              <w:t>Record a recommendation — bid, bid with conditions, re-scope, or decline — with reasoning retained and testable against the eventual outcome</w:t>
            </w:r>
          </w:p>
        </w:tc>
        <w:tc>
          <w:tcPr>
            <w:tcW w:type="dxa" w:w="3061"/>
          </w:tcPr>
          <w:p>
            <w:pPr>
              <w:spacing w:after="0" w:line="252" w:lineRule="auto"/>
              <w:jc w:val="left"/>
            </w:pPr>
            <w:r>
              <w:rPr>
                <w:rFonts w:ascii="Calibri" w:hAnsi="Calibri"/>
                <w:color w:val="1A1A1A"/>
                <w:sz w:val="17"/>
              </w:rPr>
              <w:t>The recommendation, its reasoning and the actual outcome are comparable after close</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 xml:space="preserve">New </w:t>
            </w:r>
            <w:r>
              <w:rPr>
                <w:rFonts w:ascii="Consolas" w:hAnsi="Consolas"/>
                <w:color w:val="8B2E2E"/>
                <w:sz w:val="17"/>
              </w:rPr>
              <w:t>bid_decisions</w:t>
            </w:r>
          </w:p>
        </w:tc>
      </w:tr>
    </w:tbl>
    <w:p>
      <w:pPr>
        <w:spacing w:after="80"/>
      </w:pPr>
    </w:p>
    <w:p>
      <w:pPr>
        <w:spacing w:before="120" w:after="160"/>
        <w:ind w:left="198"/>
        <w:pBdr>
          <w:left w:val="single" w:sz="18" w:space="8" w:color="B08D57"/>
        </w:pBdr>
        <w:shd w:val="clear" w:color="auto" w:fill="F4F1E8"/>
      </w:pPr>
      <w:r>
        <w:rPr>
          <w:rFonts w:ascii="Calibri" w:hAnsi="Calibri"/>
          <w:b/>
          <w:color w:val="1A1A1A"/>
          <w:sz w:val="19"/>
        </w:rPr>
        <w:t>CONCRETE EXAMPLE</w:t>
      </w:r>
      <w:r>
        <w:rPr>
          <w:rFonts w:ascii="Calibri" w:hAnsi="Calibri"/>
          <w:color w:val="1A1A1A"/>
          <w:sz w:val="19"/>
        </w:rPr>
        <w:t xml:space="preserve">  Northwind clears the floor at 35.9%. But the same lead constrains a pipeline ISO 27001 opportunity worth INR 24,00,000 at 42% margin in an overlapping window, and both cannot be staffed. The desk surfaces the contention before the quote goes out and recommends bidding with a 22 October start that sequences the two, rather than discovering the collision after both are won.</w:t>
      </w:r>
    </w:p>
    <w:p>
      <w:pPr>
        <w:pStyle w:val="Heading3"/>
      </w:pPr>
      <w:r>
        <w:t>4.7 Quotation</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064"/>
        <w:gridCol w:w="2064"/>
        <w:gridCol w:w="2064"/>
        <w:gridCol w:w="2064"/>
        <w:gridCol w:w="2064"/>
      </w:tblGrid>
      <w:tr>
        <w:trPr>
          <w:tblHeader w:val="true"/>
        </w:trPr>
        <w:tc>
          <w:tcPr>
            <w:tcW w:type="dxa" w:w="964"/>
            <w:shd w:val="clear" w:color="auto" w:fill="E8EDF2"/>
          </w:tcPr>
          <w:p>
            <w:pPr>
              <w:spacing w:after="0"/>
              <w:jc w:val="left"/>
            </w:pPr>
            <w:r>
              <w:rPr>
                <w:rFonts w:ascii="Calibri" w:hAnsi="Calibri"/>
                <w:b/>
                <w:color w:val="1A1A1A"/>
                <w:sz w:val="17"/>
              </w:rPr>
              <w:t>ID</w:t>
            </w:r>
          </w:p>
        </w:tc>
        <w:tc>
          <w:tcPr>
            <w:tcW w:type="dxa" w:w="3345"/>
            <w:shd w:val="clear" w:color="auto" w:fill="E8EDF2"/>
          </w:tcPr>
          <w:p>
            <w:pPr>
              <w:spacing w:after="0"/>
              <w:jc w:val="left"/>
            </w:pPr>
            <w:r>
              <w:rPr>
                <w:rFonts w:ascii="Calibri" w:hAnsi="Calibri"/>
                <w:b/>
                <w:color w:val="1A1A1A"/>
                <w:sz w:val="17"/>
              </w:rPr>
              <w:t>Requirement</w:t>
            </w:r>
          </w:p>
        </w:tc>
        <w:tc>
          <w:tcPr>
            <w:tcW w:type="dxa" w:w="3061"/>
            <w:shd w:val="clear" w:color="auto" w:fill="E8EDF2"/>
          </w:tcPr>
          <w:p>
            <w:pPr>
              <w:spacing w:after="0"/>
              <w:jc w:val="left"/>
            </w:pPr>
            <w:r>
              <w:rPr>
                <w:rFonts w:ascii="Calibri" w:hAnsi="Calibri"/>
                <w:b/>
                <w:color w:val="1A1A1A"/>
                <w:sz w:val="17"/>
              </w:rPr>
              <w:t>Acceptance</w:t>
            </w:r>
          </w:p>
        </w:tc>
        <w:tc>
          <w:tcPr>
            <w:tcW w:type="dxa" w:w="1020"/>
            <w:shd w:val="clear" w:color="auto" w:fill="E8EDF2"/>
          </w:tcPr>
          <w:p>
            <w:pPr>
              <w:spacing w:after="0"/>
              <w:jc w:val="left"/>
            </w:pPr>
            <w:r>
              <w:rPr>
                <w:rFonts w:ascii="Calibri" w:hAnsi="Calibri"/>
                <w:b/>
                <w:color w:val="1A1A1A"/>
                <w:sz w:val="17"/>
              </w:rPr>
              <w:t>Status</w:t>
            </w:r>
          </w:p>
        </w:tc>
        <w:tc>
          <w:tcPr>
            <w:tcW w:type="dxa" w:w="1928"/>
            <w:shd w:val="clear" w:color="auto" w:fill="E8EDF2"/>
          </w:tcPr>
          <w:p>
            <w:pPr>
              <w:spacing w:after="0"/>
              <w:jc w:val="left"/>
            </w:pPr>
            <w:r>
              <w:rPr>
                <w:rFonts w:ascii="Calibri" w:hAnsi="Calibri"/>
                <w:b/>
                <w:color w:val="1A1A1A"/>
                <w:sz w:val="17"/>
              </w:rPr>
              <w:t>Lands in</w:t>
            </w:r>
          </w:p>
        </w:tc>
      </w:tr>
      <w:tr>
        <w:tc>
          <w:tcPr>
            <w:tcW w:type="dxa" w:w="964"/>
          </w:tcPr>
          <w:p>
            <w:pPr>
              <w:spacing w:after="0" w:line="252" w:lineRule="auto"/>
              <w:jc w:val="left"/>
            </w:pPr>
            <w:r>
              <w:rPr>
                <w:rFonts w:ascii="Calibri" w:hAnsi="Calibri"/>
                <w:color w:val="1A1A1A"/>
                <w:sz w:val="17"/>
              </w:rPr>
              <w:t>FR-P4-41</w:t>
            </w:r>
          </w:p>
        </w:tc>
        <w:tc>
          <w:tcPr>
            <w:tcW w:type="dxa" w:w="3345"/>
          </w:tcPr>
          <w:p>
            <w:pPr>
              <w:spacing w:after="0" w:line="252" w:lineRule="auto"/>
              <w:jc w:val="left"/>
            </w:pPr>
            <w:r>
              <w:rPr>
                <w:rFonts w:ascii="Calibri" w:hAnsi="Calibri"/>
                <w:color w:val="1A1A1A"/>
                <w:sz w:val="17"/>
              </w:rPr>
              <w:t>Generate the quotation document from the approved basis — price, commercial model, delivery window, milestones and payment schedule</w:t>
            </w:r>
          </w:p>
        </w:tc>
        <w:tc>
          <w:tcPr>
            <w:tcW w:type="dxa" w:w="3061"/>
          </w:tcPr>
          <w:p>
            <w:pPr>
              <w:spacing w:after="0" w:line="252" w:lineRule="auto"/>
              <w:jc w:val="left"/>
            </w:pPr>
            <w:r>
              <w:rPr>
                <w:rFonts w:ascii="Calibri" w:hAnsi="Calibri"/>
                <w:color w:val="1A1A1A"/>
                <w:sz w:val="17"/>
              </w:rPr>
              <w:t>No figure on the quotation is typed by hand; every one traces to the approved estimate</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Quotation service + PDF renderer</w:t>
            </w:r>
          </w:p>
        </w:tc>
      </w:tr>
      <w:tr>
        <w:tc>
          <w:tcPr>
            <w:tcW w:type="dxa" w:w="964"/>
            <w:shd w:val="clear" w:color="auto" w:fill="FAFBFC"/>
          </w:tcPr>
          <w:p>
            <w:pPr>
              <w:spacing w:after="0" w:line="252" w:lineRule="auto"/>
              <w:jc w:val="left"/>
            </w:pPr>
            <w:r>
              <w:rPr>
                <w:rFonts w:ascii="Calibri" w:hAnsi="Calibri"/>
                <w:color w:val="1A1A1A"/>
                <w:sz w:val="17"/>
              </w:rPr>
              <w:t>FR-P4-42</w:t>
            </w:r>
          </w:p>
        </w:tc>
        <w:tc>
          <w:tcPr>
            <w:tcW w:type="dxa" w:w="3345"/>
            <w:shd w:val="clear" w:color="auto" w:fill="FAFBFC"/>
          </w:tcPr>
          <w:p>
            <w:pPr>
              <w:spacing w:after="0" w:line="252" w:lineRule="auto"/>
              <w:jc w:val="left"/>
            </w:pPr>
            <w:r>
              <w:rPr>
                <w:rFonts w:ascii="Calibri" w:hAnsi="Calibri"/>
                <w:color w:val="1A1A1A"/>
                <w:sz w:val="17"/>
              </w:rPr>
              <w:t>Carry scope, exclusions, assumptions and client obligations onto the quotation verbatim from the sizing model</w:t>
            </w:r>
          </w:p>
        </w:tc>
        <w:tc>
          <w:tcPr>
            <w:tcW w:type="dxa" w:w="3061"/>
            <w:shd w:val="clear" w:color="auto" w:fill="FAFBFC"/>
          </w:tcPr>
          <w:p>
            <w:pPr>
              <w:spacing w:after="0" w:line="252" w:lineRule="auto"/>
              <w:jc w:val="left"/>
            </w:pPr>
            <w:r>
              <w:rPr>
                <w:rFonts w:ascii="Calibri" w:hAnsi="Calibri"/>
                <w:color w:val="1A1A1A"/>
                <w:sz w:val="17"/>
              </w:rPr>
              <w:t>Each structured scope item appears on the document unchanged</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Quotation service</w:t>
            </w:r>
          </w:p>
        </w:tc>
      </w:tr>
      <w:tr>
        <w:tc>
          <w:tcPr>
            <w:tcW w:type="dxa" w:w="964"/>
          </w:tcPr>
          <w:p>
            <w:pPr>
              <w:spacing w:after="0" w:line="252" w:lineRule="auto"/>
              <w:jc w:val="left"/>
            </w:pPr>
            <w:r>
              <w:rPr>
                <w:rFonts w:ascii="Calibri" w:hAnsi="Calibri"/>
                <w:color w:val="1A1A1A"/>
                <w:sz w:val="17"/>
              </w:rPr>
              <w:t>FR-P4-43</w:t>
            </w:r>
          </w:p>
        </w:tc>
        <w:tc>
          <w:tcPr>
            <w:tcW w:type="dxa" w:w="3345"/>
          </w:tcPr>
          <w:p>
            <w:pPr>
              <w:spacing w:after="0" w:line="252" w:lineRule="auto"/>
              <w:jc w:val="left"/>
            </w:pPr>
            <w:r>
              <w:rPr>
                <w:rFonts w:ascii="Calibri" w:hAnsi="Calibri"/>
                <w:color w:val="1A1A1A"/>
                <w:sz w:val="17"/>
              </w:rPr>
              <w:t>Set a validity period and price expiry, and require re-approval when a lapsed quotation is revived</w:t>
            </w:r>
          </w:p>
        </w:tc>
        <w:tc>
          <w:tcPr>
            <w:tcW w:type="dxa" w:w="3061"/>
          </w:tcPr>
          <w:p>
            <w:pPr>
              <w:spacing w:after="0" w:line="252" w:lineRule="auto"/>
              <w:jc w:val="left"/>
            </w:pPr>
            <w:r>
              <w:rPr>
                <w:rFonts w:ascii="Calibri" w:hAnsi="Calibri"/>
                <w:color w:val="1A1A1A"/>
                <w:sz w:val="17"/>
              </w:rPr>
              <w:t>A quotation past its validity date cannot be accepted without re-approval</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Quotation service</w:t>
            </w:r>
          </w:p>
        </w:tc>
      </w:tr>
      <w:tr>
        <w:tc>
          <w:tcPr>
            <w:tcW w:type="dxa" w:w="964"/>
            <w:shd w:val="clear" w:color="auto" w:fill="FAFBFC"/>
          </w:tcPr>
          <w:p>
            <w:pPr>
              <w:spacing w:after="0" w:line="252" w:lineRule="auto"/>
              <w:jc w:val="left"/>
            </w:pPr>
            <w:r>
              <w:rPr>
                <w:rFonts w:ascii="Calibri" w:hAnsi="Calibri"/>
                <w:color w:val="1A1A1A"/>
                <w:sz w:val="17"/>
              </w:rPr>
              <w:t>FR-P4-44</w:t>
            </w:r>
          </w:p>
        </w:tc>
        <w:tc>
          <w:tcPr>
            <w:tcW w:type="dxa" w:w="3345"/>
            <w:shd w:val="clear" w:color="auto" w:fill="FAFBFC"/>
          </w:tcPr>
          <w:p>
            <w:pPr>
              <w:spacing w:after="0" w:line="252" w:lineRule="auto"/>
              <w:jc w:val="left"/>
            </w:pPr>
            <w:r>
              <w:rPr>
                <w:rFonts w:ascii="Calibri" w:hAnsi="Calibri"/>
                <w:color w:val="1A1A1A"/>
                <w:sz w:val="17"/>
              </w:rPr>
              <w:t>Maintain quotation version history recording what changed between revisions and who approved each</w:t>
            </w:r>
          </w:p>
        </w:tc>
        <w:tc>
          <w:tcPr>
            <w:tcW w:type="dxa" w:w="3061"/>
            <w:shd w:val="clear" w:color="auto" w:fill="FAFBFC"/>
          </w:tcPr>
          <w:p>
            <w:pPr>
              <w:spacing w:after="0" w:line="252" w:lineRule="auto"/>
              <w:jc w:val="left"/>
            </w:pPr>
            <w:r>
              <w:rPr>
                <w:rFonts w:ascii="Calibri" w:hAnsi="Calibri"/>
                <w:color w:val="1A1A1A"/>
                <w:sz w:val="17"/>
              </w:rPr>
              <w:t>Any two revisions are diffable, and each carries its approver</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 xml:space="preserve">New </w:t>
            </w:r>
            <w:r>
              <w:rPr>
                <w:rFonts w:ascii="Consolas" w:hAnsi="Consolas"/>
                <w:color w:val="8B2E2E"/>
                <w:sz w:val="17"/>
              </w:rPr>
              <w:t>quotation_versions</w:t>
            </w:r>
          </w:p>
        </w:tc>
      </w:tr>
      <w:tr>
        <w:tc>
          <w:tcPr>
            <w:tcW w:type="dxa" w:w="964"/>
          </w:tcPr>
          <w:p>
            <w:pPr>
              <w:spacing w:after="0" w:line="252" w:lineRule="auto"/>
              <w:jc w:val="left"/>
            </w:pPr>
            <w:r>
              <w:rPr>
                <w:rFonts w:ascii="Calibri" w:hAnsi="Calibri"/>
                <w:color w:val="1A1A1A"/>
                <w:sz w:val="17"/>
              </w:rPr>
              <w:t>FR-P4-45</w:t>
            </w:r>
          </w:p>
        </w:tc>
        <w:tc>
          <w:tcPr>
            <w:tcW w:type="dxa" w:w="3345"/>
          </w:tcPr>
          <w:p>
            <w:pPr>
              <w:spacing w:after="0" w:line="252" w:lineRule="auto"/>
              <w:jc w:val="left"/>
            </w:pPr>
            <w:r>
              <w:rPr>
                <w:rFonts w:ascii="Calibri" w:hAnsi="Calibri"/>
                <w:color w:val="1A1A1A"/>
                <w:sz w:val="17"/>
              </w:rPr>
              <w:t>Track quotation state: draft, pending approval, approved, sent, revised, expired, accepted, rejected</w:t>
            </w:r>
          </w:p>
        </w:tc>
        <w:tc>
          <w:tcPr>
            <w:tcW w:type="dxa" w:w="3061"/>
          </w:tcPr>
          <w:p>
            <w:pPr>
              <w:spacing w:after="0" w:line="252" w:lineRule="auto"/>
              <w:jc w:val="left"/>
            </w:pPr>
            <w:r>
              <w:rPr>
                <w:rFonts w:ascii="Calibri" w:hAnsi="Calibri"/>
                <w:color w:val="1A1A1A"/>
                <w:sz w:val="17"/>
              </w:rPr>
              <w:t>State transitions are recorded with timestamps and are visible on the opportunity</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 xml:space="preserve">New </w:t>
            </w:r>
            <w:r>
              <w:rPr>
                <w:rFonts w:ascii="Consolas" w:hAnsi="Consolas"/>
                <w:color w:val="8B2E2E"/>
                <w:sz w:val="17"/>
              </w:rPr>
              <w:t>quotations</w:t>
            </w:r>
            <w:r>
              <w:rPr>
                <w:rFonts w:ascii="Calibri" w:hAnsi="Calibri"/>
                <w:color w:val="1A1A1A"/>
                <w:sz w:val="17"/>
              </w:rPr>
              <w:t xml:space="preserve"> table</w:t>
            </w:r>
          </w:p>
        </w:tc>
      </w:tr>
      <w:tr>
        <w:tc>
          <w:tcPr>
            <w:tcW w:type="dxa" w:w="964"/>
            <w:shd w:val="clear" w:color="auto" w:fill="FAFBFC"/>
          </w:tcPr>
          <w:p>
            <w:pPr>
              <w:spacing w:after="0" w:line="252" w:lineRule="auto"/>
              <w:jc w:val="left"/>
            </w:pPr>
            <w:r>
              <w:rPr>
                <w:rFonts w:ascii="Calibri" w:hAnsi="Calibri"/>
                <w:color w:val="1A1A1A"/>
                <w:sz w:val="17"/>
              </w:rPr>
              <w:t>FR-P4-46</w:t>
            </w:r>
          </w:p>
        </w:tc>
        <w:tc>
          <w:tcPr>
            <w:tcW w:type="dxa" w:w="3345"/>
            <w:shd w:val="clear" w:color="auto" w:fill="FAFBFC"/>
          </w:tcPr>
          <w:p>
            <w:pPr>
              <w:spacing w:after="0" w:line="252" w:lineRule="auto"/>
              <w:jc w:val="left"/>
            </w:pPr>
            <w:r>
              <w:rPr>
                <w:rFonts w:ascii="Calibri" w:hAnsi="Calibri"/>
                <w:color w:val="1A1A1A"/>
                <w:sz w:val="17"/>
              </w:rPr>
              <w:t>Assemble commercial terms and hand them to Pillar 5 for negotiation and signature</w:t>
            </w:r>
          </w:p>
        </w:tc>
        <w:tc>
          <w:tcPr>
            <w:tcW w:type="dxa" w:w="3061"/>
            <w:shd w:val="clear" w:color="auto" w:fill="FAFBFC"/>
          </w:tcPr>
          <w:p>
            <w:pPr>
              <w:spacing w:after="0" w:line="252" w:lineRule="auto"/>
              <w:jc w:val="left"/>
            </w:pPr>
            <w:r>
              <w:rPr>
                <w:rFonts w:ascii="Calibri" w:hAnsi="Calibri"/>
                <w:color w:val="1A1A1A"/>
                <w:sz w:val="17"/>
              </w:rPr>
              <w:t>Accepting a quotation creates or populates the contract record without re-keying</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P4 to P5</w:t>
            </w:r>
          </w:p>
        </w:tc>
      </w:tr>
    </w:tbl>
    <w:p>
      <w:pPr>
        <w:spacing w:after="80"/>
      </w:pPr>
    </w:p>
    <w:p>
      <w:pPr>
        <w:pStyle w:val="Heading3"/>
      </w:pPr>
      <w:r>
        <w:t>4.8 Estimate freezing and calibration</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064"/>
        <w:gridCol w:w="2064"/>
        <w:gridCol w:w="2064"/>
        <w:gridCol w:w="2064"/>
        <w:gridCol w:w="2064"/>
      </w:tblGrid>
      <w:tr>
        <w:trPr>
          <w:tblHeader w:val="true"/>
        </w:trPr>
        <w:tc>
          <w:tcPr>
            <w:tcW w:type="dxa" w:w="964"/>
            <w:shd w:val="clear" w:color="auto" w:fill="E8EDF2"/>
          </w:tcPr>
          <w:p>
            <w:pPr>
              <w:spacing w:after="0"/>
              <w:jc w:val="left"/>
            </w:pPr>
            <w:r>
              <w:rPr>
                <w:rFonts w:ascii="Calibri" w:hAnsi="Calibri"/>
                <w:b/>
                <w:color w:val="1A1A1A"/>
                <w:sz w:val="17"/>
              </w:rPr>
              <w:t>ID</w:t>
            </w:r>
          </w:p>
        </w:tc>
        <w:tc>
          <w:tcPr>
            <w:tcW w:type="dxa" w:w="3345"/>
            <w:shd w:val="clear" w:color="auto" w:fill="E8EDF2"/>
          </w:tcPr>
          <w:p>
            <w:pPr>
              <w:spacing w:after="0"/>
              <w:jc w:val="left"/>
            </w:pPr>
            <w:r>
              <w:rPr>
                <w:rFonts w:ascii="Calibri" w:hAnsi="Calibri"/>
                <w:b/>
                <w:color w:val="1A1A1A"/>
                <w:sz w:val="17"/>
              </w:rPr>
              <w:t>Requirement</w:t>
            </w:r>
          </w:p>
        </w:tc>
        <w:tc>
          <w:tcPr>
            <w:tcW w:type="dxa" w:w="3061"/>
            <w:shd w:val="clear" w:color="auto" w:fill="E8EDF2"/>
          </w:tcPr>
          <w:p>
            <w:pPr>
              <w:spacing w:after="0"/>
              <w:jc w:val="left"/>
            </w:pPr>
            <w:r>
              <w:rPr>
                <w:rFonts w:ascii="Calibri" w:hAnsi="Calibri"/>
                <w:b/>
                <w:color w:val="1A1A1A"/>
                <w:sz w:val="17"/>
              </w:rPr>
              <w:t>Acceptance</w:t>
            </w:r>
          </w:p>
        </w:tc>
        <w:tc>
          <w:tcPr>
            <w:tcW w:type="dxa" w:w="1020"/>
            <w:shd w:val="clear" w:color="auto" w:fill="E8EDF2"/>
          </w:tcPr>
          <w:p>
            <w:pPr>
              <w:spacing w:after="0"/>
              <w:jc w:val="left"/>
            </w:pPr>
            <w:r>
              <w:rPr>
                <w:rFonts w:ascii="Calibri" w:hAnsi="Calibri"/>
                <w:b/>
                <w:color w:val="1A1A1A"/>
                <w:sz w:val="17"/>
              </w:rPr>
              <w:t>Status</w:t>
            </w:r>
          </w:p>
        </w:tc>
        <w:tc>
          <w:tcPr>
            <w:tcW w:type="dxa" w:w="1928"/>
            <w:shd w:val="clear" w:color="auto" w:fill="E8EDF2"/>
          </w:tcPr>
          <w:p>
            <w:pPr>
              <w:spacing w:after="0"/>
              <w:jc w:val="left"/>
            </w:pPr>
            <w:r>
              <w:rPr>
                <w:rFonts w:ascii="Calibri" w:hAnsi="Calibri"/>
                <w:b/>
                <w:color w:val="1A1A1A"/>
                <w:sz w:val="17"/>
              </w:rPr>
              <w:t>Lands in</w:t>
            </w:r>
          </w:p>
        </w:tc>
      </w:tr>
      <w:tr>
        <w:tc>
          <w:tcPr>
            <w:tcW w:type="dxa" w:w="964"/>
          </w:tcPr>
          <w:p>
            <w:pPr>
              <w:spacing w:after="0" w:line="252" w:lineRule="auto"/>
              <w:jc w:val="left"/>
            </w:pPr>
            <w:r>
              <w:rPr>
                <w:rFonts w:ascii="Calibri" w:hAnsi="Calibri"/>
                <w:color w:val="1A1A1A"/>
                <w:sz w:val="17"/>
              </w:rPr>
              <w:t>FR-P4-47</w:t>
            </w:r>
          </w:p>
        </w:tc>
        <w:tc>
          <w:tcPr>
            <w:tcW w:type="dxa" w:w="3345"/>
          </w:tcPr>
          <w:p>
            <w:pPr>
              <w:spacing w:after="0" w:line="252" w:lineRule="auto"/>
              <w:jc w:val="left"/>
            </w:pPr>
            <w:r>
              <w:rPr>
                <w:rFonts w:ascii="Calibri" w:hAnsi="Calibri"/>
                <w:color w:val="1A1A1A"/>
                <w:sz w:val="17"/>
              </w:rPr>
              <w:t>Freeze the estimate on quotation approval — sized effort, catalog version, sizing drivers, cost rates, overhead policy and approver</w:t>
            </w:r>
          </w:p>
        </w:tc>
        <w:tc>
          <w:tcPr>
            <w:tcW w:type="dxa" w:w="3061"/>
          </w:tcPr>
          <w:p>
            <w:pPr>
              <w:spacing w:after="0" w:line="252" w:lineRule="auto"/>
              <w:jc w:val="left"/>
            </w:pPr>
            <w:r>
              <w:rPr>
                <w:rFonts w:ascii="Calibri" w:hAnsi="Calibri"/>
                <w:color w:val="1A1A1A"/>
                <w:sz w:val="17"/>
              </w:rPr>
              <w:t>After approval the estimate record is immutable; a change produces a new revision instead</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onsolas" w:hAnsi="Consolas"/>
                <w:color w:val="8B2E2E"/>
                <w:sz w:val="17"/>
              </w:rPr>
              <w:t>estimates</w:t>
            </w:r>
            <w:r>
              <w:rPr>
                <w:rFonts w:ascii="Calibri" w:hAnsi="Calibri"/>
                <w:color w:val="1A1A1A"/>
                <w:sz w:val="17"/>
              </w:rPr>
              <w:t xml:space="preserve"> + DB constraint</w:t>
            </w:r>
          </w:p>
        </w:tc>
      </w:tr>
      <w:tr>
        <w:tc>
          <w:tcPr>
            <w:tcW w:type="dxa" w:w="964"/>
            <w:shd w:val="clear" w:color="auto" w:fill="FAFBFC"/>
          </w:tcPr>
          <w:p>
            <w:pPr>
              <w:spacing w:after="0" w:line="252" w:lineRule="auto"/>
              <w:jc w:val="left"/>
            </w:pPr>
            <w:r>
              <w:rPr>
                <w:rFonts w:ascii="Calibri" w:hAnsi="Calibri"/>
                <w:color w:val="1A1A1A"/>
                <w:sz w:val="17"/>
              </w:rPr>
              <w:t>FR-P4-48</w:t>
            </w:r>
          </w:p>
        </w:tc>
        <w:tc>
          <w:tcPr>
            <w:tcW w:type="dxa" w:w="3345"/>
            <w:shd w:val="clear" w:color="auto" w:fill="FAFBFC"/>
          </w:tcPr>
          <w:p>
            <w:pPr>
              <w:spacing w:after="0" w:line="252" w:lineRule="auto"/>
              <w:jc w:val="left"/>
            </w:pPr>
            <w:r>
              <w:rPr>
                <w:rFonts w:ascii="Calibri" w:hAnsi="Calibri"/>
                <w:color w:val="1A1A1A"/>
                <w:sz w:val="17"/>
              </w:rPr>
              <w:t>Retain lost bids with price, competitor and stated reason</w:t>
            </w:r>
          </w:p>
        </w:tc>
        <w:tc>
          <w:tcPr>
            <w:tcW w:type="dxa" w:w="3061"/>
            <w:shd w:val="clear" w:color="auto" w:fill="FAFBFC"/>
          </w:tcPr>
          <w:p>
            <w:pPr>
              <w:spacing w:after="0" w:line="252" w:lineRule="auto"/>
              <w:jc w:val="left"/>
            </w:pPr>
            <w:r>
              <w:rPr>
                <w:rFonts w:ascii="Calibri" w:hAnsi="Calibri"/>
                <w:color w:val="1A1A1A"/>
                <w:sz w:val="17"/>
              </w:rPr>
              <w:t>A lost quotation remains queryable with its full basis</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onsolas" w:hAnsi="Consolas"/>
                <w:color w:val="8B2E2E"/>
                <w:sz w:val="17"/>
              </w:rPr>
              <w:t>quotations</w:t>
            </w:r>
          </w:p>
        </w:tc>
      </w:tr>
      <w:tr>
        <w:tc>
          <w:tcPr>
            <w:tcW w:type="dxa" w:w="964"/>
          </w:tcPr>
          <w:p>
            <w:pPr>
              <w:spacing w:after="0" w:line="252" w:lineRule="auto"/>
              <w:jc w:val="left"/>
            </w:pPr>
            <w:r>
              <w:rPr>
                <w:rFonts w:ascii="Calibri" w:hAnsi="Calibri"/>
                <w:color w:val="1A1A1A"/>
                <w:sz w:val="17"/>
              </w:rPr>
              <w:t>FR-P4-49</w:t>
            </w:r>
          </w:p>
        </w:tc>
        <w:tc>
          <w:tcPr>
            <w:tcW w:type="dxa" w:w="3345"/>
          </w:tcPr>
          <w:p>
            <w:pPr>
              <w:spacing w:after="0" w:line="252" w:lineRule="auto"/>
              <w:jc w:val="left"/>
            </w:pPr>
            <w:r>
              <w:rPr>
                <w:rFonts w:ascii="Calibri" w:hAnsi="Calibri"/>
                <w:color w:val="1A1A1A"/>
                <w:sz w:val="17"/>
              </w:rPr>
              <w:t xml:space="preserve">Capture delivered effort as </w:t>
            </w:r>
            <w:r>
              <w:rPr>
                <w:rFonts w:ascii="Calibri" w:hAnsi="Calibri"/>
                <w:b/>
                <w:color w:val="1A1A1A"/>
                <w:sz w:val="17"/>
              </w:rPr>
              <w:t>resource-weeks by delivery role and delivery stage</w:t>
            </w:r>
            <w:r>
              <w:rPr>
                <w:rFonts w:ascii="Calibri" w:hAnsi="Calibri"/>
                <w:color w:val="1A1A1A"/>
                <w:sz w:val="17"/>
              </w:rPr>
              <w:t>, against the same structure the estimate used</w:t>
            </w:r>
          </w:p>
        </w:tc>
        <w:tc>
          <w:tcPr>
            <w:tcW w:type="dxa" w:w="3061"/>
          </w:tcPr>
          <w:p>
            <w:pPr>
              <w:spacing w:after="0" w:line="252" w:lineRule="auto"/>
              <w:jc w:val="left"/>
            </w:pPr>
            <w:r>
              <w:rPr>
                <w:rFonts w:ascii="Calibri" w:hAnsi="Calibri"/>
                <w:color w:val="1A1A1A"/>
                <w:sz w:val="17"/>
              </w:rPr>
              <w:t>Each engagement accumulates who worked on it, in which delivery role, during which stage, for how many weeks. Comparable to the estimate without translation</w:t>
            </w:r>
          </w:p>
        </w:tc>
        <w:tc>
          <w:tcPr>
            <w:tcW w:type="dxa" w:w="1020"/>
          </w:tcPr>
          <w:p>
            <w:pPr>
              <w:spacing w:after="0" w:line="252" w:lineRule="auto"/>
              <w:jc w:val="left"/>
            </w:pPr>
            <w:r>
              <w:rPr>
                <w:rFonts w:ascii="Calibri" w:hAnsi="Calibri"/>
                <w:b/>
                <w:color w:val="1F4E79"/>
                <w:sz w:val="17"/>
              </w:rPr>
              <w:t>NEW</w:t>
            </w:r>
            <w:r>
              <w:rPr>
                <w:rFonts w:ascii="Calibri" w:hAnsi="Calibri"/>
                <w:color w:val="1F4E79"/>
                <w:sz w:val="17"/>
              </w:rPr>
              <w:t xml:space="preserve"> — reviewed 25 Aug: </w:t>
            </w:r>
            <w:r>
              <w:rPr>
                <w:rFonts w:ascii="Calibri" w:hAnsi="Calibri"/>
                <w:b/>
                <w:color w:val="1F4E79"/>
                <w:sz w:val="17"/>
              </w:rPr>
              <w:t>confirmed in scope</w:t>
            </w:r>
            <w:r>
              <w:rPr>
                <w:rFonts w:ascii="Calibri" w:hAnsi="Calibri"/>
                <w:color w:val="1F4E79"/>
                <w:sz w:val="17"/>
              </w:rPr>
              <w:t xml:space="preserve">. Nothing today can produce this. </w:t>
            </w:r>
            <w:r>
              <w:rPr>
                <w:rFonts w:ascii="Consolas" w:hAnsi="Consolas"/>
                <w:color w:val="8B2E2E"/>
                <w:sz w:val="17"/>
              </w:rPr>
              <w:t>personal_tasks.hoursSpent</w:t>
            </w:r>
            <w:r>
              <w:rPr>
                <w:rFonts w:ascii="Calibri" w:hAnsi="Calibri"/>
                <w:color w:val="1F4E79"/>
                <w:sz w:val="17"/>
              </w:rPr>
              <w:t xml:space="preserve"> is self-reported, optional, carries no role and no stage, and links to a project only sometimes</w:t>
            </w:r>
          </w:p>
        </w:tc>
        <w:tc>
          <w:tcPr>
            <w:tcW w:type="dxa" w:w="1928"/>
          </w:tcPr>
          <w:p>
            <w:pPr>
              <w:spacing w:after="0" w:line="252" w:lineRule="auto"/>
              <w:jc w:val="left"/>
            </w:pPr>
            <w:r>
              <w:rPr>
                <w:rFonts w:ascii="Calibri" w:hAnsi="Calibri"/>
                <w:color w:val="1A1A1A"/>
                <w:sz w:val="17"/>
              </w:rPr>
              <w:t>New engagement effort capture, P6 + FR-P4-54</w:t>
            </w:r>
          </w:p>
        </w:tc>
      </w:tr>
      <w:tr>
        <w:tc>
          <w:tcPr>
            <w:tcW w:type="dxa" w:w="964"/>
            <w:shd w:val="clear" w:color="auto" w:fill="FAFBFC"/>
          </w:tcPr>
          <w:p>
            <w:pPr>
              <w:spacing w:after="0" w:line="252" w:lineRule="auto"/>
              <w:jc w:val="left"/>
            </w:pPr>
            <w:r>
              <w:rPr>
                <w:rFonts w:ascii="Calibri" w:hAnsi="Calibri"/>
                <w:color w:val="1A1A1A"/>
                <w:sz w:val="17"/>
              </w:rPr>
              <w:t>FR-P4-50</w:t>
            </w:r>
          </w:p>
        </w:tc>
        <w:tc>
          <w:tcPr>
            <w:tcW w:type="dxa" w:w="3345"/>
            <w:shd w:val="clear" w:color="auto" w:fill="FAFBFC"/>
          </w:tcPr>
          <w:p>
            <w:pPr>
              <w:spacing w:after="0" w:line="252" w:lineRule="auto"/>
              <w:jc w:val="left"/>
            </w:pPr>
            <w:r>
              <w:rPr>
                <w:rFonts w:ascii="Calibri" w:hAnsi="Calibri"/>
                <w:color w:val="1A1A1A"/>
                <w:sz w:val="17"/>
              </w:rPr>
              <w:t xml:space="preserve">Compare delivered against estimated </w:t>
            </w:r>
            <w:r>
              <w:rPr>
                <w:rFonts w:ascii="Calibri" w:hAnsi="Calibri"/>
                <w:b/>
                <w:color w:val="1A1A1A"/>
                <w:sz w:val="17"/>
              </w:rPr>
              <w:t>per role and per stage</w:t>
            </w:r>
            <w:r>
              <w:rPr>
                <w:rFonts w:ascii="Calibri" w:hAnsi="Calibri"/>
                <w:color w:val="1A1A1A"/>
                <w:sz w:val="17"/>
              </w:rPr>
              <w:t>, not only in total</w:t>
            </w:r>
          </w:p>
        </w:tc>
        <w:tc>
          <w:tcPr>
            <w:tcW w:type="dxa" w:w="3061"/>
            <w:shd w:val="clear" w:color="auto" w:fill="FAFBFC"/>
          </w:tcPr>
          <w:p>
            <w:pPr>
              <w:spacing w:after="0" w:line="252" w:lineRule="auto"/>
              <w:jc w:val="left"/>
            </w:pPr>
            <w:r>
              <w:rPr>
                <w:rFonts w:ascii="Calibri" w:hAnsi="Calibri"/>
                <w:color w:val="1A1A1A"/>
                <w:sz w:val="17"/>
              </w:rPr>
              <w:t>The comparison view breaks down by both dimensions so offsetting errors do not cancel</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Calibration service</w:t>
            </w:r>
          </w:p>
        </w:tc>
      </w:tr>
      <w:tr>
        <w:tc>
          <w:tcPr>
            <w:tcW w:type="dxa" w:w="964"/>
          </w:tcPr>
          <w:p>
            <w:pPr>
              <w:spacing w:after="0" w:line="252" w:lineRule="auto"/>
              <w:jc w:val="left"/>
            </w:pPr>
            <w:r>
              <w:rPr>
                <w:rFonts w:ascii="Calibri" w:hAnsi="Calibri"/>
                <w:color w:val="1A1A1A"/>
                <w:sz w:val="17"/>
              </w:rPr>
              <w:t>FR-P4-51</w:t>
            </w:r>
          </w:p>
        </w:tc>
        <w:tc>
          <w:tcPr>
            <w:tcW w:type="dxa" w:w="3345"/>
          </w:tcPr>
          <w:p>
            <w:pPr>
              <w:spacing w:after="0" w:line="252" w:lineRule="auto"/>
              <w:jc w:val="left"/>
            </w:pPr>
            <w:r>
              <w:rPr>
                <w:rFonts w:ascii="Calibri" w:hAnsi="Calibri"/>
                <w:color w:val="1A1A1A"/>
                <w:sz w:val="17"/>
              </w:rPr>
              <w:t>Attribute each variance to a cause: inaccurate baseline, mis-read sizing driver, unpriced scope change, client-side dependency, or delivery problem</w:t>
            </w:r>
          </w:p>
        </w:tc>
        <w:tc>
          <w:tcPr>
            <w:tcW w:type="dxa" w:w="3061"/>
          </w:tcPr>
          <w:p>
            <w:pPr>
              <w:spacing w:after="0" w:line="252" w:lineRule="auto"/>
              <w:jc w:val="left"/>
            </w:pPr>
            <w:r>
              <w:rPr>
                <w:rFonts w:ascii="Calibri" w:hAnsi="Calibri"/>
                <w:color w:val="1A1A1A"/>
                <w:sz w:val="17"/>
              </w:rPr>
              <w:t>Every variance carries an attribution; only the first two revise the catalog</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Calibration service</w:t>
            </w:r>
          </w:p>
        </w:tc>
      </w:tr>
      <w:tr>
        <w:tc>
          <w:tcPr>
            <w:tcW w:type="dxa" w:w="964"/>
            <w:shd w:val="clear" w:color="auto" w:fill="FAFBFC"/>
          </w:tcPr>
          <w:p>
            <w:pPr>
              <w:spacing w:after="0" w:line="252" w:lineRule="auto"/>
              <w:jc w:val="left"/>
            </w:pPr>
            <w:r>
              <w:rPr>
                <w:rFonts w:ascii="Calibri" w:hAnsi="Calibri"/>
                <w:color w:val="1A1A1A"/>
                <w:sz w:val="17"/>
              </w:rPr>
              <w:t>FR-P4-52</w:t>
            </w:r>
          </w:p>
        </w:tc>
        <w:tc>
          <w:tcPr>
            <w:tcW w:type="dxa" w:w="3345"/>
            <w:shd w:val="clear" w:color="auto" w:fill="FAFBFC"/>
          </w:tcPr>
          <w:p>
            <w:pPr>
              <w:spacing w:after="0" w:line="252" w:lineRule="auto"/>
              <w:jc w:val="left"/>
            </w:pPr>
            <w:r>
              <w:rPr>
                <w:rFonts w:ascii="Calibri" w:hAnsi="Calibri"/>
                <w:color w:val="1A1A1A"/>
                <w:sz w:val="17"/>
              </w:rPr>
              <w:t>Revise baseline team shape, week counts and confidence bands as a new dated version where evidence supports it</w:t>
            </w:r>
          </w:p>
        </w:tc>
        <w:tc>
          <w:tcPr>
            <w:tcW w:type="dxa" w:w="3061"/>
            <w:shd w:val="clear" w:color="auto" w:fill="FAFBFC"/>
          </w:tcPr>
          <w:p>
            <w:pPr>
              <w:spacing w:after="0" w:line="252" w:lineRule="auto"/>
              <w:jc w:val="left"/>
            </w:pPr>
            <w:r>
              <w:rPr>
                <w:rFonts w:ascii="Calibri" w:hAnsi="Calibri"/>
                <w:color w:val="1A1A1A"/>
                <w:sz w:val="17"/>
              </w:rPr>
              <w:t>Prior estimates continue to point at the version they were built from</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Calibration service</w:t>
            </w:r>
          </w:p>
        </w:tc>
      </w:tr>
      <w:tr>
        <w:tc>
          <w:tcPr>
            <w:tcW w:type="dxa" w:w="964"/>
          </w:tcPr>
          <w:p>
            <w:pPr>
              <w:spacing w:after="0" w:line="252" w:lineRule="auto"/>
              <w:jc w:val="left"/>
            </w:pPr>
            <w:r>
              <w:rPr>
                <w:rFonts w:ascii="Calibri" w:hAnsi="Calibri"/>
                <w:color w:val="1A1A1A"/>
                <w:sz w:val="17"/>
              </w:rPr>
              <w:t>FR-P4-53</w:t>
            </w:r>
          </w:p>
        </w:tc>
        <w:tc>
          <w:tcPr>
            <w:tcW w:type="dxa" w:w="3345"/>
          </w:tcPr>
          <w:p>
            <w:pPr>
              <w:spacing w:after="0" w:line="252" w:lineRule="auto"/>
              <w:jc w:val="left"/>
            </w:pPr>
            <w:r>
              <w:rPr>
                <w:rFonts w:ascii="Calibri" w:hAnsi="Calibri"/>
                <w:color w:val="1A1A1A"/>
                <w:sz w:val="17"/>
              </w:rPr>
              <w:t>Feed realized margin against quoted margin back into target margins, contingency rules and discount floors</w:t>
            </w:r>
          </w:p>
        </w:tc>
        <w:tc>
          <w:tcPr>
            <w:tcW w:type="dxa" w:w="3061"/>
          </w:tcPr>
          <w:p>
            <w:pPr>
              <w:spacing w:after="0" w:line="252" w:lineRule="auto"/>
              <w:jc w:val="left"/>
            </w:pPr>
            <w:r>
              <w:rPr>
                <w:rFonts w:ascii="Calibri" w:hAnsi="Calibri"/>
                <w:color w:val="1A1A1A"/>
                <w:sz w:val="17"/>
              </w:rPr>
              <w:t>The pricing loop is closed and its inputs are inspectable</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Calibration service</w:t>
            </w:r>
          </w:p>
        </w:tc>
      </w:tr>
    </w:tbl>
    <w:p>
      <w:pPr>
        <w:spacing w:after="80"/>
      </w:pPr>
    </w:p>
    <w:p>
      <w:pPr>
        <w:spacing w:before="120" w:after="160"/>
        <w:ind w:left="198"/>
        <w:pBdr>
          <w:left w:val="single" w:sz="18" w:space="8" w:color="B08D57"/>
        </w:pBdr>
        <w:shd w:val="clear" w:color="auto" w:fill="F4F1E8"/>
      </w:pPr>
      <w:r>
        <w:rPr>
          <w:rFonts w:ascii="Calibri" w:hAnsi="Calibri"/>
          <w:b/>
          <w:color w:val="1A1A1A"/>
          <w:sz w:val="19"/>
        </w:rPr>
        <w:t>IMPORTANT CONTROL</w:t>
      </w:r>
      <w:r>
        <w:rPr>
          <w:rFonts w:ascii="Calibri" w:hAnsi="Calibri"/>
          <w:color w:val="1A1A1A"/>
          <w:sz w:val="19"/>
        </w:rPr>
        <w:t xml:space="preserve">  An estimate must never be overwritten by actuals. Retain the original estimate, the catalog version and sizing drivers it was built from, the approver and the date, then compare against delivered effort. Overwriting the estimate destroys the only signal that tells you the estimates are wrong.</w:t>
      </w:r>
    </w:p>
    <w:p>
      <w:pPr>
        <w:pStyle w:val="Heading3"/>
      </w:pPr>
      <w:r>
        <w:t>Features — Pillar 4</w:t>
      </w:r>
    </w:p>
    <w:p>
      <w:r>
        <w:rPr>
          <w:rFonts w:ascii="Calibri" w:hAnsi="Calibri"/>
          <w:b/>
          <w:color w:val="1A1A1A"/>
        </w:rPr>
        <w:t>Delivery-role setup</w:t>
      </w:r>
      <w:r>
        <w:rPr>
          <w:rFonts w:ascii="Calibri" w:hAnsi="Calibri"/>
          <w:color w:val="1A1A1A"/>
        </w:rPr>
        <w:t xml:space="preserve"> — the role taxonomy the whole pillar rests on · </w:t>
      </w:r>
      <w:r>
        <w:rPr>
          <w:rFonts w:ascii="Calibri" w:hAnsi="Calibri"/>
          <w:b/>
          <w:color w:val="1A1A1A"/>
        </w:rPr>
        <w:t>catalog manager</w:t>
      </w:r>
      <w:r>
        <w:rPr>
          <w:rFonts w:ascii="Calibri" w:hAnsi="Calibri"/>
          <w:color w:val="1A1A1A"/>
        </w:rPr>
        <w:t xml:space="preserve"> with team-shape-over-weeks baselines by service and stage, confidence bands and version history · </w:t>
      </w:r>
      <w:r>
        <w:rPr>
          <w:rFonts w:ascii="Calibri" w:hAnsi="Calibri"/>
          <w:b/>
          <w:color w:val="1A1A1A"/>
        </w:rPr>
        <w:t>scoping questionnaire</w:t>
      </w:r>
      <w:r>
        <w:rPr>
          <w:rFonts w:ascii="Calibri" w:hAnsi="Calibri"/>
          <w:color w:val="1A1A1A"/>
        </w:rPr>
        <w:t xml:space="preserve"> capturing drivers with source and confidence · </w:t>
      </w:r>
      <w:r>
        <w:rPr>
          <w:rFonts w:ascii="Calibri" w:hAnsi="Calibri"/>
          <w:b/>
          <w:color w:val="1A1A1A"/>
        </w:rPr>
        <w:t>estimate builder</w:t>
      </w:r>
      <w:r>
        <w:rPr>
          <w:rFonts w:ascii="Calibri" w:hAnsi="Calibri"/>
          <w:color w:val="1A1A1A"/>
        </w:rPr>
        <w:t xml:space="preserve"> showing baseline → drivers → team and weeks → cost → price as one traceable chain, every field pre-filled and editable · </w:t>
      </w:r>
      <w:r>
        <w:rPr>
          <w:rFonts w:ascii="Calibri" w:hAnsi="Calibri"/>
          <w:b/>
          <w:color w:val="1A1A1A"/>
        </w:rPr>
        <w:t>custom cost variables</w:t>
      </w:r>
      <w:r>
        <w:rPr>
          <w:rFonts w:ascii="Calibri" w:hAnsi="Calibri"/>
          <w:color w:val="1A1A1A"/>
        </w:rPr>
        <w:t xml:space="preserve"> added per estimate · </w:t>
      </w:r>
      <w:r>
        <w:rPr>
          <w:rFonts w:ascii="Calibri" w:hAnsi="Calibri"/>
          <w:b/>
          <w:color w:val="1A1A1A"/>
        </w:rPr>
        <w:t>cost breakdown panel</w:t>
      </w:r>
      <w:r>
        <w:rPr>
          <w:rFonts w:ascii="Calibri" w:hAnsi="Calibri"/>
          <w:color w:val="1A1A1A"/>
        </w:rPr>
        <w:t xml:space="preserve"> by resource, week and layer, visible only to users holding the financial permission · </w:t>
      </w:r>
      <w:r>
        <w:rPr>
          <w:rFonts w:ascii="Calibri" w:hAnsi="Calibri"/>
          <w:b/>
          <w:color w:val="1A1A1A"/>
        </w:rPr>
        <w:t>blended-versus-named team costing toggle</w:t>
      </w:r>
      <w:r>
        <w:rPr>
          <w:rFonts w:ascii="Calibri" w:hAnsi="Calibri"/>
          <w:color w:val="1A1A1A"/>
        </w:rPr>
        <w:t xml:space="preserve"> · </w:t>
      </w:r>
      <w:r>
        <w:rPr>
          <w:rFonts w:ascii="Calibri" w:hAnsi="Calibri"/>
          <w:b/>
          <w:color w:val="1A1A1A"/>
        </w:rPr>
        <w:t>feasibility check</w:t>
      </w:r>
      <w:r>
        <w:rPr>
          <w:rFonts w:ascii="Calibri" w:hAnsi="Calibri"/>
          <w:color w:val="1A1A1A"/>
        </w:rPr>
        <w:t xml:space="preserve"> returning earliest start with the named constraint and a contention list · </w:t>
      </w:r>
      <w:r>
        <w:rPr>
          <w:rFonts w:ascii="Calibri" w:hAnsi="Calibri"/>
          <w:b/>
          <w:color w:val="1A1A1A"/>
        </w:rPr>
        <w:t>scenario comparison</w:t>
      </w:r>
      <w:r>
        <w:rPr>
          <w:rFonts w:ascii="Calibri" w:hAnsi="Calibri"/>
          <w:color w:val="1A1A1A"/>
        </w:rPr>
        <w:t xml:space="preserve"> across scope, staffing and discount options · </w:t>
      </w:r>
      <w:r>
        <w:rPr>
          <w:rFonts w:ascii="Calibri" w:hAnsi="Calibri"/>
          <w:b/>
          <w:color w:val="1A1A1A"/>
        </w:rPr>
        <w:t>discount-or-descope decision prompt</w:t>
      </w:r>
      <w:r>
        <w:rPr>
          <w:rFonts w:ascii="Calibri" w:hAnsi="Calibri"/>
          <w:color w:val="1A1A1A"/>
        </w:rPr>
        <w:t xml:space="preserve"> · </w:t>
      </w:r>
      <w:r>
        <w:rPr>
          <w:rFonts w:ascii="Calibri" w:hAnsi="Calibri"/>
          <w:b/>
          <w:color w:val="1A1A1A"/>
        </w:rPr>
        <w:t>bid decision card</w:t>
      </w:r>
      <w:r>
        <w:rPr>
          <w:rFonts w:ascii="Calibri" w:hAnsi="Calibri"/>
          <w:color w:val="1A1A1A"/>
        </w:rPr>
        <w:t xml:space="preserve"> with absolute, relative, risk and strategic verdicts · </w:t>
      </w:r>
      <w:r>
        <w:rPr>
          <w:rFonts w:ascii="Calibri" w:hAnsi="Calibri"/>
          <w:b/>
          <w:color w:val="1A1A1A"/>
        </w:rPr>
        <w:t>quotation generator</w:t>
      </w:r>
      <w:r>
        <w:rPr>
          <w:rFonts w:ascii="Calibri" w:hAnsi="Calibri"/>
          <w:color w:val="1A1A1A"/>
        </w:rPr>
        <w:t xml:space="preserve"> with versioned templates, validity period and approval trail · </w:t>
      </w:r>
      <w:r>
        <w:rPr>
          <w:rFonts w:ascii="Calibri" w:hAnsi="Calibri"/>
          <w:b/>
          <w:color w:val="1A1A1A"/>
        </w:rPr>
        <w:t>engagement effort capture</w:t>
      </w:r>
      <w:r>
        <w:rPr>
          <w:rFonts w:ascii="Calibri" w:hAnsi="Calibri"/>
          <w:color w:val="1A1A1A"/>
        </w:rPr>
        <w:t xml:space="preserve"> by role, stage and week · </w:t>
      </w:r>
      <w:r>
        <w:rPr>
          <w:rFonts w:ascii="Calibri" w:hAnsi="Calibri"/>
          <w:b/>
          <w:color w:val="1A1A1A"/>
        </w:rPr>
        <w:t>estimate vs actual calibration report</w:t>
      </w:r>
      <w:r>
        <w:rPr>
          <w:rFonts w:ascii="Calibri" w:hAnsi="Calibri"/>
          <w:color w:val="1A1A1A"/>
        </w:rPr>
        <w:t xml:space="preserve"> with variance attribution.</w:t>
      </w:r>
    </w:p>
    <w:p>
      <w:pPr>
        <w:pStyle w:val="Heading2"/>
      </w:pPr>
      <w:r>
        <w:t>Pillar 5 — Contract &amp; Commercial Agreement</w:t>
      </w:r>
    </w:p>
    <w:p>
      <w:r>
        <w:rPr>
          <w:rFonts w:ascii="Calibri" w:hAnsi="Calibri"/>
          <w:i/>
          <w:color w:val="1A1A1A"/>
        </w:rPr>
        <w:t>What have we committed to, on what terms, and is it signed and funded?</w:t>
      </w:r>
    </w:p>
    <w:p>
      <w:r>
        <w:rPr>
          <w:rFonts w:ascii="Calibri" w:hAnsi="Calibri"/>
          <w:color w:val="1A1A1A"/>
        </w:rPr>
        <w:t xml:space="preserve">The existing </w:t>
      </w:r>
      <w:r>
        <w:rPr>
          <w:rFonts w:ascii="Consolas" w:hAnsi="Consolas"/>
          <w:color w:val="8B2E2E"/>
        </w:rPr>
        <w:t>onboardings</w:t>
      </w:r>
      <w:r>
        <w:rPr>
          <w:rFonts w:ascii="Calibri" w:hAnsi="Calibri"/>
          <w:color w:val="1A1A1A"/>
        </w:rPr>
        <w:t xml:space="preserve"> table is a good seed — it already tracks MSA, NDA and SOW status with dates, the negotiated engagement amount with a variance reason, payment terms, the PO, first payment and kickoff. Three structural facts stop it being a contract module:</w:t>
      </w:r>
    </w:p>
    <w:p>
      <w:pPr>
        <w:spacing w:after="60"/>
        <w:ind w:left="510" w:hanging="510"/>
      </w:pPr>
      <w:r>
        <w:rPr>
          <w:b/>
        </w:rPr>
        <w:t xml:space="preserve">1.  </w:t>
      </w:r>
      <w:r>
        <w:rPr>
          <w:rFonts w:ascii="Calibri" w:hAnsi="Calibri"/>
          <w:b/>
          <w:color w:val="1A1A1A"/>
        </w:rPr>
        <w:t>It is strictly one-to-one with a deal</w:t>
      </w:r>
      <w:r>
        <w:rPr>
          <w:rFonts w:ascii="Calibri" w:hAnsi="Calibri"/>
          <w:color w:val="1A1A1A"/>
        </w:rPr>
        <w:t xml:space="preserve">, </w:t>
      </w:r>
      <w:r>
        <w:rPr>
          <w:rFonts w:ascii="Consolas" w:hAnsi="Consolas"/>
          <w:color w:val="8B2E2E"/>
        </w:rPr>
        <w:t>UNIQUE NOT NULL</w:t>
      </w:r>
      <w:r>
        <w:rPr>
          <w:rFonts w:ascii="Calibri" w:hAnsi="Calibri"/>
          <w:color w:val="1A1A1A"/>
        </w:rPr>
        <w:t xml:space="preserve"> with cascade delete. A client cannot have two contracts, a renewal, or an amendment.</w:t>
      </w:r>
    </w:p>
    <w:p>
      <w:pPr>
        <w:spacing w:after="60"/>
        <w:ind w:left="510" w:hanging="510"/>
      </w:pPr>
      <w:r>
        <w:rPr>
          <w:b/>
        </w:rPr>
        <w:t xml:space="preserve">2.  </w:t>
      </w:r>
      <w:r>
        <w:rPr>
          <w:rFonts w:ascii="Calibri" w:hAnsi="Calibri"/>
          <w:b/>
          <w:color w:val="1A1A1A"/>
        </w:rPr>
        <w:t>Documents are status triplets, not documents.</w:t>
      </w:r>
      <w:r>
        <w:rPr>
          <w:rFonts w:ascii="Calibri" w:hAnsi="Calibri"/>
          <w:color w:val="1A1A1A"/>
        </w:rPr>
        <w:t xml:space="preserve"> There is no file anywhere in the system — file storage is configured in </w:t>
      </w:r>
      <w:r>
        <w:rPr>
          <w:rFonts w:ascii="Consolas" w:hAnsi="Consolas"/>
          <w:color w:val="8B2E2E"/>
        </w:rPr>
        <w:t>.env.example</w:t>
      </w:r>
      <w:r>
        <w:rPr>
          <w:rFonts w:ascii="Calibri" w:hAnsi="Calibri"/>
          <w:color w:val="1A1A1A"/>
        </w:rPr>
        <w:t xml:space="preserve"> and read by no code.</w:t>
      </w:r>
    </w:p>
    <w:p>
      <w:pPr>
        <w:spacing w:after="60"/>
        <w:ind w:left="510" w:hanging="510"/>
      </w:pPr>
      <w:r>
        <w:rPr>
          <w:b/>
        </w:rPr>
        <w:t xml:space="preserve">3.  </w:t>
      </w:r>
      <w:r>
        <w:rPr>
          <w:rFonts w:ascii="Calibri" w:hAnsi="Calibri"/>
          <w:b/>
          <w:color w:val="1A1A1A"/>
        </w:rPr>
        <w:t>It is super-admin only</w:t>
      </w:r>
      <w:r>
        <w:rPr>
          <w:rFonts w:ascii="Calibri" w:hAnsi="Calibri"/>
          <w:color w:val="1A1A1A"/>
        </w:rPr>
        <w:t>, which is right for a small module and wrong for the pillar that gates delivery and billing.</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064"/>
        <w:gridCol w:w="2064"/>
        <w:gridCol w:w="2064"/>
        <w:gridCol w:w="2064"/>
        <w:gridCol w:w="2064"/>
      </w:tblGrid>
      <w:tr>
        <w:trPr>
          <w:tblHeader w:val="true"/>
        </w:trPr>
        <w:tc>
          <w:tcPr>
            <w:tcW w:type="dxa" w:w="964"/>
            <w:shd w:val="clear" w:color="auto" w:fill="E8EDF2"/>
          </w:tcPr>
          <w:p>
            <w:pPr>
              <w:spacing w:after="0"/>
              <w:jc w:val="left"/>
            </w:pPr>
            <w:r>
              <w:rPr>
                <w:rFonts w:ascii="Calibri" w:hAnsi="Calibri"/>
                <w:b/>
                <w:color w:val="1A1A1A"/>
                <w:sz w:val="17"/>
              </w:rPr>
              <w:t>ID</w:t>
            </w:r>
          </w:p>
        </w:tc>
        <w:tc>
          <w:tcPr>
            <w:tcW w:type="dxa" w:w="3345"/>
            <w:shd w:val="clear" w:color="auto" w:fill="E8EDF2"/>
          </w:tcPr>
          <w:p>
            <w:pPr>
              <w:spacing w:after="0"/>
              <w:jc w:val="left"/>
            </w:pPr>
            <w:r>
              <w:rPr>
                <w:rFonts w:ascii="Calibri" w:hAnsi="Calibri"/>
                <w:b/>
                <w:color w:val="1A1A1A"/>
                <w:sz w:val="17"/>
              </w:rPr>
              <w:t>Requirement</w:t>
            </w:r>
          </w:p>
        </w:tc>
        <w:tc>
          <w:tcPr>
            <w:tcW w:type="dxa" w:w="3061"/>
            <w:shd w:val="clear" w:color="auto" w:fill="E8EDF2"/>
          </w:tcPr>
          <w:p>
            <w:pPr>
              <w:spacing w:after="0"/>
              <w:jc w:val="left"/>
            </w:pPr>
            <w:r>
              <w:rPr>
                <w:rFonts w:ascii="Calibri" w:hAnsi="Calibri"/>
                <w:b/>
                <w:color w:val="1A1A1A"/>
                <w:sz w:val="17"/>
              </w:rPr>
              <w:t>Acceptance</w:t>
            </w:r>
          </w:p>
        </w:tc>
        <w:tc>
          <w:tcPr>
            <w:tcW w:type="dxa" w:w="1020"/>
            <w:shd w:val="clear" w:color="auto" w:fill="E8EDF2"/>
          </w:tcPr>
          <w:p>
            <w:pPr>
              <w:spacing w:after="0"/>
              <w:jc w:val="left"/>
            </w:pPr>
            <w:r>
              <w:rPr>
                <w:rFonts w:ascii="Calibri" w:hAnsi="Calibri"/>
                <w:b/>
                <w:color w:val="1A1A1A"/>
                <w:sz w:val="17"/>
              </w:rPr>
              <w:t>Status</w:t>
            </w:r>
          </w:p>
        </w:tc>
        <w:tc>
          <w:tcPr>
            <w:tcW w:type="dxa" w:w="1928"/>
            <w:shd w:val="clear" w:color="auto" w:fill="E8EDF2"/>
          </w:tcPr>
          <w:p>
            <w:pPr>
              <w:spacing w:after="0"/>
              <w:jc w:val="left"/>
            </w:pPr>
            <w:r>
              <w:rPr>
                <w:rFonts w:ascii="Calibri" w:hAnsi="Calibri"/>
                <w:b/>
                <w:color w:val="1A1A1A"/>
                <w:sz w:val="17"/>
              </w:rPr>
              <w:t>Lands in</w:t>
            </w:r>
          </w:p>
        </w:tc>
      </w:tr>
      <w:tr>
        <w:tc>
          <w:tcPr>
            <w:tcW w:type="dxa" w:w="964"/>
          </w:tcPr>
          <w:p>
            <w:pPr>
              <w:spacing w:after="0" w:line="252" w:lineRule="auto"/>
              <w:jc w:val="left"/>
            </w:pPr>
            <w:r>
              <w:rPr>
                <w:rFonts w:ascii="Calibri" w:hAnsi="Calibri"/>
                <w:color w:val="1A1A1A"/>
                <w:sz w:val="17"/>
              </w:rPr>
              <w:t>~~FR-P5-01~~</w:t>
            </w:r>
          </w:p>
        </w:tc>
        <w:tc>
          <w:tcPr>
            <w:tcW w:type="dxa" w:w="3345"/>
          </w:tcPr>
          <w:p>
            <w:pPr>
              <w:spacing w:after="0" w:line="252" w:lineRule="auto"/>
              <w:jc w:val="left"/>
            </w:pPr>
            <w:r>
              <w:rPr>
                <w:rFonts w:ascii="Calibri" w:hAnsi="Calibri"/>
                <w:color w:val="1A1A1A"/>
                <w:sz w:val="17"/>
              </w:rPr>
              <w:t>~~Model a contract as a first-class entity relating to zero, one or many opportunities~~</w:t>
            </w:r>
          </w:p>
        </w:tc>
        <w:tc>
          <w:tcPr>
            <w:tcW w:type="dxa" w:w="3061"/>
          </w:tcPr>
          <w:p>
            <w:pPr>
              <w:spacing w:after="0" w:line="252" w:lineRule="auto"/>
              <w:jc w:val="left"/>
            </w:pPr>
            <w:r>
              <w:rPr>
                <w:rFonts w:ascii="Calibri" w:hAnsi="Calibri"/>
                <w:color w:val="1A1A1A"/>
                <w:sz w:val="17"/>
              </w:rPr>
              <w:t>—</w:t>
            </w:r>
          </w:p>
        </w:tc>
        <w:tc>
          <w:tcPr>
            <w:tcW w:type="dxa" w:w="1020"/>
          </w:tcPr>
          <w:p>
            <w:pPr>
              <w:spacing w:after="0" w:line="252" w:lineRule="auto"/>
              <w:jc w:val="left"/>
            </w:pPr>
            <w:r>
              <w:rPr>
                <w:rFonts w:ascii="Calibri" w:hAnsi="Calibri"/>
                <w:b/>
                <w:color w:val="1A1A1A"/>
                <w:sz w:val="17"/>
              </w:rPr>
              <w:t>WITHDRAWN</w:t>
            </w:r>
            <w:r>
              <w:rPr>
                <w:rFonts w:ascii="Calibri" w:hAnsi="Calibri"/>
                <w:color w:val="1A1A1A"/>
                <w:sz w:val="17"/>
              </w:rPr>
              <w:t xml:space="preserve"> 25 Aug — one contract per opportunity is genuinely how the business works. </w:t>
            </w:r>
            <w:r>
              <w:rPr>
                <w:rFonts w:ascii="Consolas" w:hAnsi="Consolas"/>
                <w:color w:val="8B2E2E"/>
                <w:sz w:val="17"/>
              </w:rPr>
              <w:t>onboardings.deal_id</w:t>
            </w:r>
            <w:r>
              <w:rPr>
                <w:rFonts w:ascii="Calibri" w:hAnsi="Calibri"/>
                <w:color w:val="1A1A1A"/>
                <w:sz w:val="17"/>
              </w:rPr>
              <w:t xml:space="preserve"> stays </w:t>
            </w:r>
            <w:r>
              <w:rPr>
                <w:rFonts w:ascii="Consolas" w:hAnsi="Consolas"/>
                <w:color w:val="8B2E2E"/>
                <w:sz w:val="17"/>
              </w:rPr>
              <w:t>UNIQUE NOT NULL</w:t>
            </w:r>
            <w:r>
              <w:rPr>
                <w:rFonts w:ascii="Calibri" w:hAnsi="Calibri"/>
                <w:color w:val="1A1A1A"/>
                <w:sz w:val="17"/>
              </w:rPr>
              <w:t xml:space="preserve">. A </w:t>
            </w:r>
            <w:r>
              <w:rPr>
                <w:rFonts w:ascii="Calibri" w:hAnsi="Calibri"/>
                <w:b/>
                <w:color w:val="1A1A1A"/>
                <w:sz w:val="17"/>
              </w:rPr>
              <w:t>renewal is a new opportunity with its own contract</w:t>
            </w:r>
            <w:r>
              <w:rPr>
                <w:rFonts w:ascii="Calibri" w:hAnsi="Calibri"/>
                <w:color w:val="1A1A1A"/>
                <w:sz w:val="17"/>
              </w:rPr>
              <w:t>, not a child of the old one. Amendments and change orders attach to the existing contract as child records (FR-P5-09, FR-P5-10)</w:t>
            </w:r>
          </w:p>
        </w:tc>
        <w:tc>
          <w:tcPr>
            <w:tcW w:type="dxa" w:w="1928"/>
          </w:tcPr>
          <w:p>
            <w:pPr>
              <w:spacing w:after="0" w:line="252" w:lineRule="auto"/>
              <w:jc w:val="left"/>
            </w:pPr>
            <w:r>
              <w:rPr>
                <w:rFonts w:ascii="Calibri" w:hAnsi="Calibri"/>
                <w:color w:val="1A1A1A"/>
                <w:sz w:val="17"/>
              </w:rPr>
              <w:t>—</w:t>
            </w:r>
          </w:p>
        </w:tc>
      </w:tr>
      <w:tr>
        <w:tc>
          <w:tcPr>
            <w:tcW w:type="dxa" w:w="964"/>
            <w:shd w:val="clear" w:color="auto" w:fill="FAFBFC"/>
          </w:tcPr>
          <w:p>
            <w:pPr>
              <w:spacing w:after="0" w:line="252" w:lineRule="auto"/>
              <w:jc w:val="left"/>
            </w:pPr>
            <w:r>
              <w:rPr>
                <w:rFonts w:ascii="Calibri" w:hAnsi="Calibri"/>
                <w:color w:val="1A1A1A"/>
                <w:sz w:val="17"/>
              </w:rPr>
              <w:t>FR-P5-02</w:t>
            </w:r>
          </w:p>
        </w:tc>
        <w:tc>
          <w:tcPr>
            <w:tcW w:type="dxa" w:w="3345"/>
            <w:shd w:val="clear" w:color="auto" w:fill="FAFBFC"/>
          </w:tcPr>
          <w:p>
            <w:pPr>
              <w:spacing w:after="0" w:line="252" w:lineRule="auto"/>
              <w:jc w:val="left"/>
            </w:pPr>
            <w:r>
              <w:rPr>
                <w:rFonts w:ascii="Calibri" w:hAnsi="Calibri"/>
                <w:color w:val="1A1A1A"/>
                <w:sz w:val="17"/>
              </w:rPr>
              <w:t>Track document lifecycle for MSA, NDA, SOW and amendments through required, drafted, sent, under negotiation, signed</w:t>
            </w:r>
          </w:p>
        </w:tc>
        <w:tc>
          <w:tcPr>
            <w:tcW w:type="dxa" w:w="3061"/>
            <w:shd w:val="clear" w:color="auto" w:fill="FAFBFC"/>
          </w:tcPr>
          <w:p>
            <w:pPr>
              <w:spacing w:after="0" w:line="252" w:lineRule="auto"/>
              <w:jc w:val="left"/>
            </w:pPr>
            <w:r>
              <w:rPr>
                <w:rFonts w:ascii="Calibri" w:hAnsi="Calibri"/>
                <w:color w:val="1A1A1A"/>
                <w:sz w:val="17"/>
              </w:rPr>
              <w:t>All five states are representable per document, with dates and counterparty</w:t>
            </w:r>
          </w:p>
        </w:tc>
        <w:tc>
          <w:tcPr>
            <w:tcW w:type="dxa" w:w="1020"/>
            <w:shd w:val="clear" w:color="auto" w:fill="FAFBFC"/>
          </w:tcPr>
          <w:p>
            <w:pPr>
              <w:spacing w:after="0" w:line="252" w:lineRule="auto"/>
              <w:jc w:val="left"/>
            </w:pPr>
            <w:r>
              <w:rPr>
                <w:rFonts w:ascii="Calibri" w:hAnsi="Calibri"/>
                <w:b/>
                <w:color w:val="9A5B00"/>
                <w:sz w:val="17"/>
              </w:rPr>
              <w:t>PARTIAL</w:t>
            </w:r>
            <w:r>
              <w:rPr>
                <w:rFonts w:ascii="Calibri" w:hAnsi="Calibri"/>
                <w:color w:val="9A5B00"/>
                <w:sz w:val="17"/>
              </w:rPr>
              <w:t xml:space="preserve"> — only </w:t>
            </w:r>
            <w:r>
              <w:rPr>
                <w:rFonts w:ascii="Consolas" w:hAnsi="Consolas"/>
                <w:color w:val="8B2E2E"/>
                <w:sz w:val="17"/>
              </w:rPr>
              <w:t>not_required / pending / sent / signed</w:t>
            </w:r>
            <w:r>
              <w:rPr>
                <w:rFonts w:ascii="Calibri" w:hAnsi="Calibri"/>
                <w:color w:val="9A5B00"/>
                <w:sz w:val="17"/>
              </w:rPr>
              <w:t>; drafted and under-negotiation are missing</w:t>
            </w:r>
          </w:p>
        </w:tc>
        <w:tc>
          <w:tcPr>
            <w:tcW w:type="dxa" w:w="1928"/>
            <w:shd w:val="clear" w:color="auto" w:fill="FAFBFC"/>
          </w:tcPr>
          <w:p>
            <w:pPr>
              <w:spacing w:after="0" w:line="252" w:lineRule="auto"/>
              <w:jc w:val="left"/>
            </w:pPr>
            <w:r>
              <w:rPr>
                <w:rFonts w:ascii="Consolas" w:hAnsi="Consolas"/>
                <w:color w:val="8B2E2E"/>
                <w:sz w:val="17"/>
              </w:rPr>
              <w:t>OnboardingDocumentStatus</w:t>
            </w:r>
          </w:p>
        </w:tc>
      </w:tr>
      <w:tr>
        <w:tc>
          <w:tcPr>
            <w:tcW w:type="dxa" w:w="964"/>
          </w:tcPr>
          <w:p>
            <w:pPr>
              <w:spacing w:after="0" w:line="252" w:lineRule="auto"/>
              <w:jc w:val="left"/>
            </w:pPr>
            <w:r>
              <w:rPr>
                <w:rFonts w:ascii="Calibri" w:hAnsi="Calibri"/>
                <w:color w:val="1A1A1A"/>
                <w:sz w:val="17"/>
              </w:rPr>
              <w:t>FR-P5-03</w:t>
            </w:r>
          </w:p>
        </w:tc>
        <w:tc>
          <w:tcPr>
            <w:tcW w:type="dxa" w:w="3345"/>
          </w:tcPr>
          <w:p>
            <w:pPr>
              <w:spacing w:after="0" w:line="252" w:lineRule="auto"/>
              <w:jc w:val="left"/>
            </w:pPr>
            <w:r>
              <w:rPr>
                <w:rFonts w:ascii="Calibri" w:hAnsi="Calibri"/>
                <w:color w:val="1A1A1A"/>
                <w:sz w:val="17"/>
              </w:rPr>
              <w:t>Store the actual document file against the contract, versioned</w:t>
            </w:r>
          </w:p>
        </w:tc>
        <w:tc>
          <w:tcPr>
            <w:tcW w:type="dxa" w:w="3061"/>
          </w:tcPr>
          <w:p>
            <w:pPr>
              <w:spacing w:after="0" w:line="252" w:lineRule="auto"/>
              <w:jc w:val="left"/>
            </w:pPr>
            <w:r>
              <w:rPr>
                <w:rFonts w:ascii="Calibri" w:hAnsi="Calibri"/>
                <w:color w:val="1A1A1A"/>
                <w:sz w:val="17"/>
              </w:rPr>
              <w:t xml:space="preserve">A signed MSA, NDA, SOW or amendment is uploaded, retrieved, superseded by a new version with the prior kept, access-controlled and downloadable. </w:t>
            </w:r>
            <w:r>
              <w:rPr>
                <w:rFonts w:ascii="Calibri" w:hAnsi="Calibri"/>
                <w:b/>
                <w:color w:val="1A1A1A"/>
                <w:sz w:val="17"/>
              </w:rPr>
              <w:t>No e-signature integration</w:t>
            </w:r>
            <w:r>
              <w:rPr>
                <w:rFonts w:ascii="Calibri" w:hAnsi="Calibri"/>
                <w:color w:val="1A1A1A"/>
                <w:sz w:val="17"/>
              </w:rPr>
              <w:t xml:space="preserve"> — documents are signed outside and the signed copy uploaded</w:t>
            </w:r>
          </w:p>
        </w:tc>
        <w:tc>
          <w:tcPr>
            <w:tcW w:type="dxa" w:w="1020"/>
          </w:tcPr>
          <w:p>
            <w:pPr>
              <w:spacing w:after="0" w:line="252" w:lineRule="auto"/>
              <w:jc w:val="left"/>
            </w:pPr>
            <w:r>
              <w:rPr>
                <w:rFonts w:ascii="Calibri" w:hAnsi="Calibri"/>
                <w:b/>
                <w:color w:val="1F4E79"/>
                <w:sz w:val="17"/>
              </w:rPr>
              <w:t>NEW</w:t>
            </w:r>
            <w:r>
              <w:rPr>
                <w:rFonts w:ascii="Calibri" w:hAnsi="Calibri"/>
                <w:color w:val="1F4E79"/>
                <w:sz w:val="17"/>
              </w:rPr>
              <w:t xml:space="preserve"> — reviewed 25 Aug. No upload path exists anywhere in the application; </w:t>
            </w:r>
            <w:r>
              <w:rPr>
                <w:rFonts w:ascii="Consolas" w:hAnsi="Consolas"/>
                <w:color w:val="8B2E2E"/>
                <w:sz w:val="17"/>
              </w:rPr>
              <w:t>STORAGE_TYPE</w:t>
            </w:r>
            <w:r>
              <w:rPr>
                <w:rFonts w:ascii="Calibri" w:hAnsi="Calibri"/>
                <w:color w:val="1F4E79"/>
                <w:sz w:val="17"/>
              </w:rPr>
              <w:t xml:space="preserve">, </w:t>
            </w:r>
            <w:r>
              <w:rPr>
                <w:rFonts w:ascii="Consolas" w:hAnsi="Consolas"/>
                <w:color w:val="8B2E2E"/>
                <w:sz w:val="17"/>
              </w:rPr>
              <w:t>STORAGE_LOCAL_PATH</w:t>
            </w:r>
            <w:r>
              <w:rPr>
                <w:rFonts w:ascii="Calibri" w:hAnsi="Calibri"/>
                <w:color w:val="1F4E79"/>
                <w:sz w:val="17"/>
              </w:rPr>
              <w:t xml:space="preserve"> and </w:t>
            </w:r>
            <w:r>
              <w:rPr>
                <w:rFonts w:ascii="Consolas" w:hAnsi="Consolas"/>
                <w:color w:val="8B2E2E"/>
                <w:sz w:val="17"/>
              </w:rPr>
              <w:t>S3_*</w:t>
            </w:r>
            <w:r>
              <w:rPr>
                <w:rFonts w:ascii="Calibri" w:hAnsi="Calibri"/>
                <w:color w:val="1F4E79"/>
                <w:sz w:val="17"/>
              </w:rPr>
              <w:t xml:space="preserve"> are declared in </w:t>
            </w:r>
            <w:r>
              <w:rPr>
                <w:rFonts w:ascii="Consolas" w:hAnsi="Consolas"/>
                <w:color w:val="8B2E2E"/>
                <w:sz w:val="17"/>
              </w:rPr>
              <w:t>.env.example</w:t>
            </w:r>
            <w:r>
              <w:rPr>
                <w:rFonts w:ascii="Calibri" w:hAnsi="Calibri"/>
                <w:color w:val="1F4E79"/>
                <w:sz w:val="17"/>
              </w:rPr>
              <w:t xml:space="preserve"> and read by no code</w:t>
            </w:r>
          </w:p>
        </w:tc>
        <w:tc>
          <w:tcPr>
            <w:tcW w:type="dxa" w:w="1928"/>
          </w:tcPr>
          <w:p>
            <w:pPr>
              <w:spacing w:after="0" w:line="252" w:lineRule="auto"/>
              <w:jc w:val="left"/>
            </w:pPr>
            <w:r>
              <w:rPr>
                <w:rFonts w:ascii="Calibri" w:hAnsi="Calibri"/>
                <w:color w:val="1A1A1A"/>
                <w:sz w:val="17"/>
              </w:rPr>
              <w:t>New storage service, FR-X-14</w:t>
            </w:r>
          </w:p>
        </w:tc>
      </w:tr>
      <w:tr>
        <w:tc>
          <w:tcPr>
            <w:tcW w:type="dxa" w:w="964"/>
            <w:shd w:val="clear" w:color="auto" w:fill="FAFBFC"/>
          </w:tcPr>
          <w:p>
            <w:pPr>
              <w:spacing w:after="0" w:line="252" w:lineRule="auto"/>
              <w:jc w:val="left"/>
            </w:pPr>
            <w:r>
              <w:rPr>
                <w:rFonts w:ascii="Calibri" w:hAnsi="Calibri"/>
                <w:color w:val="1A1A1A"/>
                <w:sz w:val="17"/>
              </w:rPr>
              <w:t>FR-P5-04</w:t>
            </w:r>
          </w:p>
        </w:tc>
        <w:tc>
          <w:tcPr>
            <w:tcW w:type="dxa" w:w="3345"/>
            <w:shd w:val="clear" w:color="auto" w:fill="FAFBFC"/>
          </w:tcPr>
          <w:p>
            <w:pPr>
              <w:spacing w:after="0" w:line="252" w:lineRule="auto"/>
              <w:jc w:val="left"/>
            </w:pPr>
            <w:r>
              <w:rPr>
                <w:rFonts w:ascii="Calibri" w:hAnsi="Calibri"/>
                <w:color w:val="1A1A1A"/>
                <w:sz w:val="17"/>
              </w:rPr>
              <w:t>Hold the negotiated engagement value alongside the quoted value with an explicit variance reason</w:t>
            </w:r>
          </w:p>
        </w:tc>
        <w:tc>
          <w:tcPr>
            <w:tcW w:type="dxa" w:w="3061"/>
            <w:shd w:val="clear" w:color="auto" w:fill="FAFBFC"/>
          </w:tcPr>
          <w:p>
            <w:pPr>
              <w:spacing w:after="0" w:line="252" w:lineRule="auto"/>
              <w:jc w:val="left"/>
            </w:pPr>
            <w:r>
              <w:rPr>
                <w:rFonts w:ascii="Calibri" w:hAnsi="Calibri"/>
                <w:color w:val="1A1A1A"/>
                <w:sz w:val="17"/>
              </w:rPr>
              <w:t>Both figures and the reason are retained; neither overwrites the other</w:t>
            </w:r>
          </w:p>
        </w:tc>
        <w:tc>
          <w:tcPr>
            <w:tcW w:type="dxa" w:w="1020"/>
            <w:shd w:val="clear" w:color="auto" w:fill="FAFBFC"/>
          </w:tcPr>
          <w:p>
            <w:pPr>
              <w:spacing w:after="0" w:line="252" w:lineRule="auto"/>
              <w:jc w:val="left"/>
            </w:pPr>
            <w:r>
              <w:rPr>
                <w:rFonts w:ascii="Calibri" w:hAnsi="Calibri"/>
                <w:b/>
                <w:color w:val="1E6B33"/>
                <w:sz w:val="17"/>
              </w:rPr>
              <w:t>EXISTS</w:t>
            </w:r>
          </w:p>
        </w:tc>
        <w:tc>
          <w:tcPr>
            <w:tcW w:type="dxa" w:w="1928"/>
            <w:shd w:val="clear" w:color="auto" w:fill="FAFBFC"/>
          </w:tcPr>
          <w:p>
            <w:pPr>
              <w:spacing w:after="0" w:line="252" w:lineRule="auto"/>
              <w:jc w:val="left"/>
            </w:pPr>
            <w:r>
              <w:rPr>
                <w:rFonts w:ascii="Consolas" w:hAnsi="Consolas"/>
                <w:color w:val="8B2E2E"/>
                <w:sz w:val="17"/>
              </w:rPr>
              <w:t>engagementAmount</w:t>
            </w:r>
            <w:r>
              <w:rPr>
                <w:rFonts w:ascii="Calibri" w:hAnsi="Calibri"/>
                <w:color w:val="1A1A1A"/>
                <w:sz w:val="17"/>
              </w:rPr>
              <w:t xml:space="preserve">, </w:t>
            </w:r>
            <w:r>
              <w:rPr>
                <w:rFonts w:ascii="Consolas" w:hAnsi="Consolas"/>
                <w:color w:val="8B2E2E"/>
                <w:sz w:val="17"/>
              </w:rPr>
              <w:t>amountVarianceReason</w:t>
            </w:r>
            <w:r>
              <w:rPr>
                <w:rFonts w:ascii="Calibri" w:hAnsi="Calibri"/>
                <w:color w:val="1A1A1A"/>
                <w:sz w:val="17"/>
              </w:rPr>
              <w:t xml:space="preserve">, </w:t>
            </w:r>
            <w:r>
              <w:rPr>
                <w:rFonts w:ascii="Consolas" w:hAnsi="Consolas"/>
                <w:color w:val="8B2E2E"/>
                <w:sz w:val="17"/>
              </w:rPr>
              <w:t>deals_with_value</w:t>
            </w:r>
          </w:p>
        </w:tc>
      </w:tr>
      <w:tr>
        <w:tc>
          <w:tcPr>
            <w:tcW w:type="dxa" w:w="964"/>
          </w:tcPr>
          <w:p>
            <w:pPr>
              <w:spacing w:after="0" w:line="252" w:lineRule="auto"/>
              <w:jc w:val="left"/>
            </w:pPr>
            <w:r>
              <w:rPr>
                <w:rFonts w:ascii="Calibri" w:hAnsi="Calibri"/>
                <w:color w:val="1A1A1A"/>
                <w:sz w:val="17"/>
              </w:rPr>
              <w:t>FR-P5-05</w:t>
            </w:r>
          </w:p>
        </w:tc>
        <w:tc>
          <w:tcPr>
            <w:tcW w:type="dxa" w:w="3345"/>
          </w:tcPr>
          <w:p>
            <w:pPr>
              <w:spacing w:after="0" w:line="252" w:lineRule="auto"/>
              <w:jc w:val="left"/>
            </w:pPr>
            <w:r>
              <w:rPr>
                <w:rFonts w:ascii="Calibri" w:hAnsi="Calibri"/>
                <w:color w:val="1A1A1A"/>
                <w:sz w:val="17"/>
              </w:rPr>
              <w:t>Record contracted scope as structured deliverables, exclusions, service levels, dependencies and client obligations</w:t>
            </w:r>
          </w:p>
        </w:tc>
        <w:tc>
          <w:tcPr>
            <w:tcW w:type="dxa" w:w="3061"/>
          </w:tcPr>
          <w:p>
            <w:pPr>
              <w:spacing w:after="0" w:line="252" w:lineRule="auto"/>
              <w:jc w:val="left"/>
            </w:pPr>
            <w:r>
              <w:rPr>
                <w:rFonts w:ascii="Calibri" w:hAnsi="Calibri"/>
                <w:color w:val="1A1A1A"/>
                <w:sz w:val="17"/>
              </w:rPr>
              <w:t>Each is a discrete item carried from the quotation and referenceable by Pillar 6</w:t>
            </w:r>
          </w:p>
        </w:tc>
        <w:tc>
          <w:tcPr>
            <w:tcW w:type="dxa" w:w="1020"/>
          </w:tcPr>
          <w:p>
            <w:pPr>
              <w:spacing w:after="0" w:line="252" w:lineRule="auto"/>
              <w:jc w:val="left"/>
            </w:pPr>
            <w:r>
              <w:rPr>
                <w:rFonts w:ascii="Calibri" w:hAnsi="Calibri"/>
                <w:b/>
                <w:color w:val="1F4E79"/>
                <w:sz w:val="17"/>
              </w:rPr>
              <w:t>NEW</w:t>
            </w:r>
            <w:r>
              <w:rPr>
                <w:rFonts w:ascii="Calibri" w:hAnsi="Calibri"/>
                <w:color w:val="1F4E79"/>
                <w:sz w:val="17"/>
              </w:rPr>
              <w:t xml:space="preserve"> — scope exists only as free-text notes</w:t>
            </w:r>
          </w:p>
        </w:tc>
        <w:tc>
          <w:tcPr>
            <w:tcW w:type="dxa" w:w="1928"/>
          </w:tcPr>
          <w:p>
            <w:pPr>
              <w:spacing w:after="0" w:line="252" w:lineRule="auto"/>
              <w:jc w:val="left"/>
            </w:pPr>
            <w:r>
              <w:rPr>
                <w:rFonts w:ascii="Calibri" w:hAnsi="Calibri"/>
                <w:color w:val="1A1A1A"/>
                <w:sz w:val="17"/>
              </w:rPr>
              <w:t xml:space="preserve">New </w:t>
            </w:r>
            <w:r>
              <w:rPr>
                <w:rFonts w:ascii="Consolas" w:hAnsi="Consolas"/>
                <w:color w:val="8B2E2E"/>
                <w:sz w:val="17"/>
              </w:rPr>
              <w:t>contract_scope_items</w:t>
            </w:r>
          </w:p>
        </w:tc>
      </w:tr>
      <w:tr>
        <w:tc>
          <w:tcPr>
            <w:tcW w:type="dxa" w:w="964"/>
            <w:shd w:val="clear" w:color="auto" w:fill="FAFBFC"/>
          </w:tcPr>
          <w:p>
            <w:pPr>
              <w:spacing w:after="0" w:line="252" w:lineRule="auto"/>
              <w:jc w:val="left"/>
            </w:pPr>
            <w:r>
              <w:rPr>
                <w:rFonts w:ascii="Calibri" w:hAnsi="Calibri"/>
                <w:color w:val="1A1A1A"/>
                <w:sz w:val="17"/>
              </w:rPr>
              <w:t>FR-P5-06</w:t>
            </w:r>
          </w:p>
        </w:tc>
        <w:tc>
          <w:tcPr>
            <w:tcW w:type="dxa" w:w="3345"/>
            <w:shd w:val="clear" w:color="auto" w:fill="FAFBFC"/>
          </w:tcPr>
          <w:p>
            <w:pPr>
              <w:spacing w:after="0" w:line="252" w:lineRule="auto"/>
              <w:jc w:val="left"/>
            </w:pPr>
            <w:r>
              <w:rPr>
                <w:rFonts w:ascii="Calibri" w:hAnsi="Calibri"/>
                <w:color w:val="1A1A1A"/>
                <w:sz w:val="17"/>
              </w:rPr>
              <w:t>Hold commercial terms: payment terms, purchase order, taxes and commercial model</w:t>
            </w:r>
          </w:p>
        </w:tc>
        <w:tc>
          <w:tcPr>
            <w:tcW w:type="dxa" w:w="3061"/>
            <w:shd w:val="clear" w:color="auto" w:fill="FAFBFC"/>
          </w:tcPr>
          <w:p>
            <w:pPr>
              <w:spacing w:after="0" w:line="252" w:lineRule="auto"/>
              <w:jc w:val="left"/>
            </w:pPr>
            <w:r>
              <w:rPr>
                <w:rFonts w:ascii="Calibri" w:hAnsi="Calibri"/>
                <w:color w:val="1A1A1A"/>
                <w:sz w:val="17"/>
              </w:rPr>
              <w:t>All four are stored and reportable</w:t>
            </w:r>
          </w:p>
        </w:tc>
        <w:tc>
          <w:tcPr>
            <w:tcW w:type="dxa" w:w="1020"/>
            <w:shd w:val="clear" w:color="auto" w:fill="FAFBFC"/>
          </w:tcPr>
          <w:p>
            <w:pPr>
              <w:spacing w:after="0" w:line="252" w:lineRule="auto"/>
              <w:jc w:val="left"/>
            </w:pPr>
            <w:r>
              <w:rPr>
                <w:rFonts w:ascii="Calibri" w:hAnsi="Calibri"/>
                <w:b/>
                <w:color w:val="9A5B00"/>
                <w:sz w:val="17"/>
              </w:rPr>
              <w:t>PARTIAL</w:t>
            </w:r>
            <w:r>
              <w:rPr>
                <w:rFonts w:ascii="Calibri" w:hAnsi="Calibri"/>
                <w:color w:val="9A5B00"/>
                <w:sz w:val="17"/>
              </w:rPr>
              <w:t xml:space="preserve"> — payment terms and PO exist; taxes and commercial model do not</w:t>
            </w:r>
          </w:p>
        </w:tc>
        <w:tc>
          <w:tcPr>
            <w:tcW w:type="dxa" w:w="1928"/>
            <w:shd w:val="clear" w:color="auto" w:fill="FAFBFC"/>
          </w:tcPr>
          <w:p>
            <w:pPr>
              <w:spacing w:after="0" w:line="252" w:lineRule="auto"/>
              <w:jc w:val="left"/>
            </w:pPr>
            <w:r>
              <w:rPr>
                <w:rFonts w:ascii="Consolas" w:hAnsi="Consolas"/>
                <w:color w:val="8B2E2E"/>
                <w:sz w:val="17"/>
              </w:rPr>
              <w:t>onboardings</w:t>
            </w:r>
          </w:p>
        </w:tc>
      </w:tr>
      <w:tr>
        <w:tc>
          <w:tcPr>
            <w:tcW w:type="dxa" w:w="964"/>
          </w:tcPr>
          <w:p>
            <w:pPr>
              <w:spacing w:after="0" w:line="252" w:lineRule="auto"/>
              <w:jc w:val="left"/>
            </w:pPr>
            <w:r>
              <w:rPr>
                <w:rFonts w:ascii="Calibri" w:hAnsi="Calibri"/>
                <w:color w:val="1A1A1A"/>
                <w:sz w:val="17"/>
              </w:rPr>
              <w:t>FR-P5-07</w:t>
            </w:r>
          </w:p>
        </w:tc>
        <w:tc>
          <w:tcPr>
            <w:tcW w:type="dxa" w:w="3345"/>
          </w:tcPr>
          <w:p>
            <w:pPr>
              <w:spacing w:after="0" w:line="252" w:lineRule="auto"/>
              <w:jc w:val="left"/>
            </w:pPr>
            <w:r>
              <w:rPr>
                <w:rFonts w:ascii="Calibri" w:hAnsi="Calibri"/>
                <w:color w:val="1A1A1A"/>
                <w:sz w:val="17"/>
              </w:rPr>
              <w:t xml:space="preserve">Hold a billing schedule whose instalments are triggered </w:t>
            </w:r>
            <w:r>
              <w:rPr>
                <w:rFonts w:ascii="Calibri" w:hAnsi="Calibri"/>
                <w:b/>
                <w:color w:val="1A1A1A"/>
                <w:sz w:val="17"/>
              </w:rPr>
              <w:t>by a date or by a delivery milestone</w:t>
            </w:r>
          </w:p>
        </w:tc>
        <w:tc>
          <w:tcPr>
            <w:tcW w:type="dxa" w:w="3061"/>
          </w:tcPr>
          <w:p>
            <w:pPr>
              <w:spacing w:after="0" w:line="252" w:lineRule="auto"/>
              <w:jc w:val="left"/>
            </w:pPr>
            <w:r>
              <w:rPr>
                <w:rFonts w:ascii="Calibri" w:hAnsi="Calibri"/>
                <w:color w:val="1A1A1A"/>
                <w:sz w:val="17"/>
              </w:rPr>
              <w:t>A contract carries any number of instalments, each with an amount or percentage and either a due date or a named milestone from Pillar 6. A 40% on signature / 60% on certification split and a monthly retainer are both representable. When a milestone-triggered instalment's milestone slips, the expected billing date moves with it</w:t>
            </w:r>
          </w:p>
        </w:tc>
        <w:tc>
          <w:tcPr>
            <w:tcW w:type="dxa" w:w="1020"/>
          </w:tcPr>
          <w:p>
            <w:pPr>
              <w:spacing w:after="0" w:line="252" w:lineRule="auto"/>
              <w:jc w:val="left"/>
            </w:pPr>
            <w:r>
              <w:rPr>
                <w:rFonts w:ascii="Calibri" w:hAnsi="Calibri"/>
                <w:b/>
                <w:color w:val="1F4E79"/>
                <w:sz w:val="17"/>
              </w:rPr>
              <w:t>NEW</w:t>
            </w:r>
            <w:r>
              <w:rPr>
                <w:rFonts w:ascii="Calibri" w:hAnsi="Calibri"/>
                <w:color w:val="1F4E79"/>
                <w:sz w:val="17"/>
              </w:rPr>
              <w:t xml:space="preserve"> — reviewed 25 Aug: both trigger types. Only a single </w:t>
            </w:r>
            <w:r>
              <w:rPr>
                <w:rFonts w:ascii="Consolas" w:hAnsi="Consolas"/>
                <w:color w:val="8B2E2E"/>
                <w:sz w:val="17"/>
              </w:rPr>
              <w:t>firstPaymentAmount</w:t>
            </w:r>
            <w:r>
              <w:rPr>
                <w:rFonts w:ascii="Calibri" w:hAnsi="Calibri"/>
                <w:color w:val="1F4E79"/>
                <w:sz w:val="17"/>
              </w:rPr>
              <w:t xml:space="preserve"> exists today</w:t>
            </w:r>
          </w:p>
        </w:tc>
        <w:tc>
          <w:tcPr>
            <w:tcW w:type="dxa" w:w="1928"/>
          </w:tcPr>
          <w:p>
            <w:pPr>
              <w:spacing w:after="0" w:line="252" w:lineRule="auto"/>
              <w:jc w:val="left"/>
            </w:pPr>
            <w:r>
              <w:rPr>
                <w:rFonts w:ascii="Calibri" w:hAnsi="Calibri"/>
                <w:color w:val="1A1A1A"/>
                <w:sz w:val="17"/>
              </w:rPr>
              <w:t xml:space="preserve">New </w:t>
            </w:r>
            <w:r>
              <w:rPr>
                <w:rFonts w:ascii="Consolas" w:hAnsi="Consolas"/>
                <w:color w:val="8B2E2E"/>
                <w:sz w:val="17"/>
              </w:rPr>
              <w:t>billing_schedules</w:t>
            </w:r>
          </w:p>
        </w:tc>
      </w:tr>
      <w:tr>
        <w:tc>
          <w:tcPr>
            <w:tcW w:type="dxa" w:w="964"/>
            <w:shd w:val="clear" w:color="auto" w:fill="FAFBFC"/>
          </w:tcPr>
          <w:p>
            <w:pPr>
              <w:spacing w:after="0" w:line="252" w:lineRule="auto"/>
              <w:jc w:val="left"/>
            </w:pPr>
            <w:r>
              <w:rPr>
                <w:rFonts w:ascii="Calibri" w:hAnsi="Calibri"/>
                <w:color w:val="1A1A1A"/>
                <w:sz w:val="17"/>
              </w:rPr>
              <w:t>FR-P5-17</w:t>
            </w:r>
          </w:p>
        </w:tc>
        <w:tc>
          <w:tcPr>
            <w:tcW w:type="dxa" w:w="3345"/>
            <w:shd w:val="clear" w:color="auto" w:fill="FAFBFC"/>
          </w:tcPr>
          <w:p>
            <w:pPr>
              <w:spacing w:after="0" w:line="252" w:lineRule="auto"/>
              <w:jc w:val="left"/>
            </w:pPr>
            <w:r>
              <w:rPr>
                <w:rFonts w:ascii="Calibri" w:hAnsi="Calibri"/>
                <w:color w:val="1A1A1A"/>
                <w:sz w:val="17"/>
              </w:rPr>
              <w:t xml:space="preserve">Record each </w:t>
            </w:r>
            <w:r>
              <w:rPr>
                <w:rFonts w:ascii="Calibri" w:hAnsi="Calibri"/>
                <w:b/>
                <w:color w:val="1A1A1A"/>
                <w:sz w:val="17"/>
              </w:rPr>
              <w:t>payment received against its instalment</w:t>
            </w:r>
            <w:r>
              <w:rPr>
                <w:rFonts w:ascii="Calibri" w:hAnsi="Calibri"/>
                <w:color w:val="1A1A1A"/>
                <w:sz w:val="17"/>
              </w:rPr>
              <w:t xml:space="preserve"> on the contract</w:t>
            </w:r>
          </w:p>
        </w:tc>
        <w:tc>
          <w:tcPr>
            <w:tcW w:type="dxa" w:w="3061"/>
            <w:shd w:val="clear" w:color="auto" w:fill="FAFBFC"/>
          </w:tcPr>
          <w:p>
            <w:pPr>
              <w:spacing w:after="0" w:line="252" w:lineRule="auto"/>
              <w:jc w:val="left"/>
            </w:pPr>
            <w:r>
              <w:rPr>
                <w:rFonts w:ascii="Calibri" w:hAnsi="Calibri"/>
                <w:color w:val="1A1A1A"/>
                <w:sz w:val="17"/>
              </w:rPr>
              <w:t>A receipt carries date, amount and reference, and attaches to the instalment it settles. The contract shows what has been paid and what is outstanding without leaving the record</w:t>
            </w:r>
          </w:p>
        </w:tc>
        <w:tc>
          <w:tcPr>
            <w:tcW w:type="dxa" w:w="1020"/>
            <w:shd w:val="clear" w:color="auto" w:fill="FAFBFC"/>
          </w:tcPr>
          <w:p>
            <w:pPr>
              <w:spacing w:after="0" w:line="252" w:lineRule="auto"/>
              <w:jc w:val="left"/>
            </w:pPr>
            <w:r>
              <w:rPr>
                <w:rFonts w:ascii="Calibri" w:hAnsi="Calibri"/>
                <w:b/>
                <w:color w:val="1F4E79"/>
                <w:sz w:val="17"/>
              </w:rPr>
              <w:t>NEW</w:t>
            </w:r>
            <w:r>
              <w:rPr>
                <w:rFonts w:ascii="Calibri" w:hAnsi="Calibri"/>
                <w:color w:val="1F4E79"/>
                <w:sz w:val="17"/>
              </w:rPr>
              <w:t xml:space="preserve"> — reviewed 25 Aug. Today only </w:t>
            </w:r>
            <w:r>
              <w:rPr>
                <w:rFonts w:ascii="Consolas" w:hAnsi="Consolas"/>
                <w:color w:val="8B2E2E"/>
                <w:sz w:val="17"/>
              </w:rPr>
              <w:t>firstPaymentAmount</w:t>
            </w:r>
            <w:r>
              <w:rPr>
                <w:rFonts w:ascii="Calibri" w:hAnsi="Calibri"/>
                <w:color w:val="1F4E79"/>
                <w:sz w:val="17"/>
              </w:rPr>
              <w:t xml:space="preserve"> and </w:t>
            </w:r>
            <w:r>
              <w:rPr>
                <w:rFonts w:ascii="Consolas" w:hAnsi="Consolas"/>
                <w:color w:val="8B2E2E"/>
                <w:sz w:val="17"/>
              </w:rPr>
              <w:t>firstPaymentReceivedAt</w:t>
            </w:r>
            <w:r>
              <w:rPr>
                <w:rFonts w:ascii="Calibri" w:hAnsi="Calibri"/>
                <w:color w:val="1F4E79"/>
                <w:sz w:val="17"/>
              </w:rPr>
              <w:t xml:space="preserve"> exist, so a second payment has nowhere to go</w:t>
            </w:r>
          </w:p>
        </w:tc>
        <w:tc>
          <w:tcPr>
            <w:tcW w:type="dxa" w:w="1928"/>
            <w:shd w:val="clear" w:color="auto" w:fill="FAFBFC"/>
          </w:tcPr>
          <w:p>
            <w:pPr>
              <w:spacing w:after="0" w:line="252" w:lineRule="auto"/>
              <w:jc w:val="left"/>
            </w:pPr>
            <w:r>
              <w:rPr>
                <w:rFonts w:ascii="Calibri" w:hAnsi="Calibri"/>
                <w:color w:val="1A1A1A"/>
                <w:sz w:val="17"/>
              </w:rPr>
              <w:t xml:space="preserve">New </w:t>
            </w:r>
            <w:r>
              <w:rPr>
                <w:rFonts w:ascii="Consolas" w:hAnsi="Consolas"/>
                <w:color w:val="8B2E2E"/>
                <w:sz w:val="17"/>
              </w:rPr>
              <w:t>receipts</w:t>
            </w:r>
            <w:r>
              <w:rPr>
                <w:rFonts w:ascii="Calibri" w:hAnsi="Calibri"/>
                <w:color w:val="1A1A1A"/>
                <w:sz w:val="17"/>
              </w:rPr>
              <w:t>, shared with P7</w:t>
            </w:r>
          </w:p>
        </w:tc>
      </w:tr>
      <w:tr>
        <w:tc>
          <w:tcPr>
            <w:tcW w:type="dxa" w:w="964"/>
          </w:tcPr>
          <w:p>
            <w:pPr>
              <w:spacing w:after="0" w:line="252" w:lineRule="auto"/>
              <w:jc w:val="left"/>
            </w:pPr>
            <w:r>
              <w:rPr>
                <w:rFonts w:ascii="Calibri" w:hAnsi="Calibri"/>
                <w:color w:val="1A1A1A"/>
                <w:sz w:val="17"/>
              </w:rPr>
              <w:t>FR-P5-16</w:t>
            </w:r>
          </w:p>
        </w:tc>
        <w:tc>
          <w:tcPr>
            <w:tcW w:type="dxa" w:w="3345"/>
          </w:tcPr>
          <w:p>
            <w:pPr>
              <w:spacing w:after="0" w:line="252" w:lineRule="auto"/>
              <w:jc w:val="left"/>
            </w:pPr>
            <w:r>
              <w:rPr>
                <w:rFonts w:ascii="Calibri" w:hAnsi="Calibri"/>
                <w:color w:val="1A1A1A"/>
                <w:sz w:val="17"/>
              </w:rPr>
              <w:t xml:space="preserve">Hold the statutory and practical </w:t>
            </w:r>
            <w:r>
              <w:rPr>
                <w:rFonts w:ascii="Calibri" w:hAnsi="Calibri"/>
                <w:b/>
                <w:color w:val="1A1A1A"/>
                <w:sz w:val="17"/>
              </w:rPr>
              <w:t>invoicing details</w:t>
            </w:r>
            <w:r>
              <w:rPr>
                <w:rFonts w:ascii="Calibri" w:hAnsi="Calibri"/>
                <w:color w:val="1A1A1A"/>
                <w:sz w:val="17"/>
              </w:rPr>
              <w:t xml:space="preserve"> on the client: GSTIN, place of supply, SAC code, billing address and invoicing contact</w:t>
            </w:r>
          </w:p>
        </w:tc>
        <w:tc>
          <w:tcPr>
            <w:tcW w:type="dxa" w:w="3061"/>
          </w:tcPr>
          <w:p>
            <w:pPr>
              <w:spacing w:after="0" w:line="252" w:lineRule="auto"/>
              <w:jc w:val="left"/>
            </w:pPr>
            <w:r>
              <w:rPr>
                <w:rFonts w:ascii="Calibri" w:hAnsi="Calibri"/>
                <w:color w:val="1A1A1A"/>
                <w:sz w:val="17"/>
              </w:rPr>
              <w:t>An invoice raised in Pillar 7 carries everything an Indian tax invoice legally requires, without anyone re-typing it</w:t>
            </w:r>
          </w:p>
        </w:tc>
        <w:tc>
          <w:tcPr>
            <w:tcW w:type="dxa" w:w="1020"/>
          </w:tcPr>
          <w:p>
            <w:pPr>
              <w:spacing w:after="0" w:line="252" w:lineRule="auto"/>
              <w:jc w:val="left"/>
            </w:pPr>
            <w:r>
              <w:rPr>
                <w:rFonts w:ascii="Calibri" w:hAnsi="Calibri"/>
                <w:b/>
                <w:color w:val="1F4E79"/>
                <w:sz w:val="17"/>
              </w:rPr>
              <w:t>NEW</w:t>
            </w:r>
            <w:r>
              <w:rPr>
                <w:rFonts w:ascii="Calibri" w:hAnsi="Calibri"/>
                <w:color w:val="1F4E79"/>
                <w:sz w:val="17"/>
              </w:rPr>
              <w:t xml:space="preserve"> — reviewed 25 Aug. A grep of the entire schema for GSTIN, tax or billing address returns nothing; </w:t>
            </w:r>
            <w:r>
              <w:rPr>
                <w:rFonts w:ascii="Consolas" w:hAnsi="Consolas"/>
                <w:color w:val="8B2E2E"/>
                <w:sz w:val="17"/>
              </w:rPr>
              <w:t>companies</w:t>
            </w:r>
            <w:r>
              <w:rPr>
                <w:rFonts w:ascii="Calibri" w:hAnsi="Calibri"/>
                <w:color w:val="1F4E79"/>
                <w:sz w:val="17"/>
              </w:rPr>
              <w:t xml:space="preserve"> has a postal address with no billing designation</w:t>
            </w:r>
          </w:p>
        </w:tc>
        <w:tc>
          <w:tcPr>
            <w:tcW w:type="dxa" w:w="1928"/>
          </w:tcPr>
          <w:p>
            <w:pPr>
              <w:spacing w:after="0" w:line="252" w:lineRule="auto"/>
              <w:jc w:val="left"/>
            </w:pPr>
            <w:r>
              <w:rPr>
                <w:rFonts w:ascii="Consolas" w:hAnsi="Consolas"/>
                <w:color w:val="8B2E2E"/>
                <w:sz w:val="17"/>
              </w:rPr>
              <w:t>companies</w:t>
            </w:r>
            <w:r>
              <w:rPr>
                <w:rFonts w:ascii="Calibri" w:hAnsi="Calibri"/>
                <w:color w:val="1A1A1A"/>
                <w:sz w:val="17"/>
              </w:rPr>
              <w:t xml:space="preserve"> + contract</w:t>
            </w:r>
          </w:p>
        </w:tc>
      </w:tr>
      <w:tr>
        <w:tc>
          <w:tcPr>
            <w:tcW w:type="dxa" w:w="964"/>
            <w:shd w:val="clear" w:color="auto" w:fill="FAFBFC"/>
          </w:tcPr>
          <w:p>
            <w:pPr>
              <w:spacing w:after="0" w:line="252" w:lineRule="auto"/>
              <w:jc w:val="left"/>
            </w:pPr>
            <w:r>
              <w:rPr>
                <w:rFonts w:ascii="Calibri" w:hAnsi="Calibri"/>
                <w:color w:val="1A1A1A"/>
                <w:sz w:val="17"/>
              </w:rPr>
              <w:t>FR-P5-08</w:t>
            </w:r>
          </w:p>
        </w:tc>
        <w:tc>
          <w:tcPr>
            <w:tcW w:type="dxa" w:w="3345"/>
            <w:shd w:val="clear" w:color="auto" w:fill="FAFBFC"/>
          </w:tcPr>
          <w:p>
            <w:pPr>
              <w:spacing w:after="0" w:line="252" w:lineRule="auto"/>
              <w:jc w:val="left"/>
            </w:pPr>
            <w:r>
              <w:rPr>
                <w:rFonts w:ascii="Calibri" w:hAnsi="Calibri"/>
                <w:color w:val="1A1A1A"/>
                <w:sz w:val="17"/>
              </w:rPr>
              <w:t>Enforce a kickoff readiness gate: delivery cannot start until stated preconditions are met</w:t>
            </w:r>
          </w:p>
        </w:tc>
        <w:tc>
          <w:tcPr>
            <w:tcW w:type="dxa" w:w="3061"/>
            <w:shd w:val="clear" w:color="auto" w:fill="FAFBFC"/>
          </w:tcPr>
          <w:p>
            <w:pPr>
              <w:spacing w:after="0" w:line="252" w:lineRule="auto"/>
              <w:jc w:val="left"/>
            </w:pPr>
            <w:r>
              <w:rPr>
                <w:rFonts w:ascii="Calibri" w:hAnsi="Calibri"/>
                <w:color w:val="1A1A1A"/>
                <w:sz w:val="17"/>
              </w:rPr>
              <w:t>Attempting to start delivery against an unsigned or unfunded contract is blocked or requires a recorded override</w:t>
            </w:r>
          </w:p>
        </w:tc>
        <w:tc>
          <w:tcPr>
            <w:tcW w:type="dxa" w:w="1020"/>
            <w:shd w:val="clear" w:color="auto" w:fill="FAFBFC"/>
          </w:tcPr>
          <w:p>
            <w:pPr>
              <w:spacing w:after="0" w:line="252" w:lineRule="auto"/>
              <w:jc w:val="left"/>
            </w:pPr>
            <w:r>
              <w:rPr>
                <w:rFonts w:ascii="Calibri" w:hAnsi="Calibri"/>
                <w:b/>
                <w:color w:val="9A5B00"/>
                <w:sz w:val="17"/>
              </w:rPr>
              <w:t>PARTIAL</w:t>
            </w:r>
            <w:r>
              <w:rPr>
                <w:rFonts w:ascii="Calibri" w:hAnsi="Calibri"/>
                <w:color w:val="9A5B00"/>
                <w:sz w:val="17"/>
              </w:rPr>
              <w:t xml:space="preserve"> — the stage sequence implies the gate but nothing enforces it</w:t>
            </w:r>
          </w:p>
        </w:tc>
        <w:tc>
          <w:tcPr>
            <w:tcW w:type="dxa" w:w="1928"/>
            <w:shd w:val="clear" w:color="auto" w:fill="FAFBFC"/>
          </w:tcPr>
          <w:p>
            <w:pPr>
              <w:spacing w:after="0" w:line="252" w:lineRule="auto"/>
              <w:jc w:val="left"/>
            </w:pPr>
            <w:r>
              <w:rPr>
                <w:rFonts w:ascii="Calibri" w:hAnsi="Calibri"/>
                <w:color w:val="1A1A1A"/>
                <w:sz w:val="17"/>
              </w:rPr>
              <w:t>Contract service</w:t>
            </w:r>
          </w:p>
        </w:tc>
      </w:tr>
      <w:tr>
        <w:tc>
          <w:tcPr>
            <w:tcW w:type="dxa" w:w="964"/>
          </w:tcPr>
          <w:p>
            <w:pPr>
              <w:spacing w:after="0" w:line="252" w:lineRule="auto"/>
              <w:jc w:val="left"/>
            </w:pPr>
            <w:r>
              <w:rPr>
                <w:rFonts w:ascii="Calibri" w:hAnsi="Calibri"/>
                <w:color w:val="1A1A1A"/>
                <w:sz w:val="17"/>
              </w:rPr>
              <w:t>FR-P5-09</w:t>
            </w:r>
          </w:p>
        </w:tc>
        <w:tc>
          <w:tcPr>
            <w:tcW w:type="dxa" w:w="3345"/>
          </w:tcPr>
          <w:p>
            <w:pPr>
              <w:spacing w:after="0" w:line="252" w:lineRule="auto"/>
              <w:jc w:val="left"/>
            </w:pPr>
            <w:r>
              <w:rPr>
                <w:rFonts w:ascii="Calibri" w:hAnsi="Calibri"/>
                <w:color w:val="1A1A1A"/>
                <w:sz w:val="17"/>
              </w:rPr>
              <w:t xml:space="preserve">Support change orders that revise scope and value, as </w:t>
            </w:r>
            <w:r>
              <w:rPr>
                <w:rFonts w:ascii="Calibri" w:hAnsi="Calibri"/>
                <w:b/>
                <w:color w:val="1A1A1A"/>
                <w:sz w:val="17"/>
              </w:rPr>
              <w:t>child records of the existing contract</w:t>
            </w:r>
          </w:p>
        </w:tc>
        <w:tc>
          <w:tcPr>
            <w:tcW w:type="dxa" w:w="3061"/>
          </w:tcPr>
          <w:p>
            <w:pPr>
              <w:spacing w:after="0" w:line="252" w:lineRule="auto"/>
              <w:jc w:val="left"/>
            </w:pPr>
            <w:r>
              <w:rPr>
                <w:rFonts w:ascii="Calibri" w:hAnsi="Calibri"/>
                <w:color w:val="1A1A1A"/>
                <w:sz w:val="17"/>
              </w:rPr>
              <w:t>A change order carries its own value delta, approver and effective date, and updates the contract total without erasing the original figure</w:t>
            </w:r>
          </w:p>
        </w:tc>
        <w:tc>
          <w:tcPr>
            <w:tcW w:type="dxa" w:w="1020"/>
          </w:tcPr>
          <w:p>
            <w:pPr>
              <w:spacing w:after="0" w:line="252" w:lineRule="auto"/>
              <w:jc w:val="left"/>
            </w:pPr>
            <w:r>
              <w:rPr>
                <w:rFonts w:ascii="Calibri" w:hAnsi="Calibri"/>
                <w:b/>
                <w:color w:val="1F4E79"/>
                <w:sz w:val="17"/>
              </w:rPr>
              <w:t>NEW</w:t>
            </w:r>
            <w:r>
              <w:rPr>
                <w:rFonts w:ascii="Calibri" w:hAnsi="Calibri"/>
                <w:color w:val="1F4E79"/>
                <w:sz w:val="17"/>
              </w:rPr>
              <w:t xml:space="preserve"> — reviewed 25 Aug: attaches to the contract rather than creating one, since the contract stays 1:1 with its opportunity</w:t>
            </w:r>
          </w:p>
        </w:tc>
        <w:tc>
          <w:tcPr>
            <w:tcW w:type="dxa" w:w="1928"/>
          </w:tcPr>
          <w:p>
            <w:pPr>
              <w:spacing w:after="0" w:line="252" w:lineRule="auto"/>
              <w:jc w:val="left"/>
            </w:pPr>
            <w:r>
              <w:rPr>
                <w:rFonts w:ascii="Calibri" w:hAnsi="Calibri"/>
                <w:color w:val="1A1A1A"/>
                <w:sz w:val="17"/>
              </w:rPr>
              <w:t xml:space="preserve">New </w:t>
            </w:r>
            <w:r>
              <w:rPr>
                <w:rFonts w:ascii="Consolas" w:hAnsi="Consolas"/>
                <w:color w:val="8B2E2E"/>
                <w:sz w:val="17"/>
              </w:rPr>
              <w:t>change_orders</w:t>
            </w:r>
          </w:p>
        </w:tc>
      </w:tr>
      <w:tr>
        <w:tc>
          <w:tcPr>
            <w:tcW w:type="dxa" w:w="964"/>
            <w:shd w:val="clear" w:color="auto" w:fill="FAFBFC"/>
          </w:tcPr>
          <w:p>
            <w:pPr>
              <w:spacing w:after="0" w:line="252" w:lineRule="auto"/>
              <w:jc w:val="left"/>
            </w:pPr>
            <w:r>
              <w:rPr>
                <w:rFonts w:ascii="Calibri" w:hAnsi="Calibri"/>
                <w:color w:val="1A1A1A"/>
                <w:sz w:val="17"/>
              </w:rPr>
              <w:t>FR-P5-10</w:t>
            </w:r>
          </w:p>
        </w:tc>
        <w:tc>
          <w:tcPr>
            <w:tcW w:type="dxa" w:w="3345"/>
            <w:shd w:val="clear" w:color="auto" w:fill="FAFBFC"/>
          </w:tcPr>
          <w:p>
            <w:pPr>
              <w:spacing w:after="0" w:line="252" w:lineRule="auto"/>
              <w:jc w:val="left"/>
            </w:pPr>
            <w:r>
              <w:rPr>
                <w:rFonts w:ascii="Calibri" w:hAnsi="Calibri"/>
                <w:color w:val="1A1A1A"/>
                <w:sz w:val="17"/>
              </w:rPr>
              <w:t>Support amendments to an existing contract, retaining what was amended</w:t>
            </w:r>
          </w:p>
        </w:tc>
        <w:tc>
          <w:tcPr>
            <w:tcW w:type="dxa" w:w="3061"/>
            <w:shd w:val="clear" w:color="auto" w:fill="FAFBFC"/>
          </w:tcPr>
          <w:p>
            <w:pPr>
              <w:spacing w:after="0" w:line="252" w:lineRule="auto"/>
              <w:jc w:val="left"/>
            </w:pPr>
            <w:r>
              <w:rPr>
                <w:rFonts w:ascii="Calibri" w:hAnsi="Calibri"/>
                <w:color w:val="1A1A1A"/>
                <w:sz w:val="17"/>
              </w:rPr>
              <w:t>The contract shows its amendment chain, each with its document, effective date and approver</w:t>
            </w:r>
          </w:p>
        </w:tc>
        <w:tc>
          <w:tcPr>
            <w:tcW w:type="dxa" w:w="1020"/>
            <w:shd w:val="clear" w:color="auto" w:fill="FAFBFC"/>
          </w:tcPr>
          <w:p>
            <w:pPr>
              <w:spacing w:after="0" w:line="252" w:lineRule="auto"/>
              <w:jc w:val="left"/>
            </w:pPr>
            <w:r>
              <w:rPr>
                <w:rFonts w:ascii="Calibri" w:hAnsi="Calibri"/>
                <w:b/>
                <w:color w:val="1F4E79"/>
                <w:sz w:val="17"/>
              </w:rPr>
              <w:t>NEW</w:t>
            </w:r>
            <w:r>
              <w:rPr>
                <w:rFonts w:ascii="Calibri" w:hAnsi="Calibri"/>
                <w:color w:val="1F4E79"/>
                <w:sz w:val="17"/>
              </w:rPr>
              <w:t xml:space="preserve"> — reviewed 25 Aug: child records of the same contract</w:t>
            </w:r>
          </w:p>
        </w:tc>
        <w:tc>
          <w:tcPr>
            <w:tcW w:type="dxa" w:w="1928"/>
            <w:shd w:val="clear" w:color="auto" w:fill="FAFBFC"/>
          </w:tcPr>
          <w:p>
            <w:pPr>
              <w:spacing w:after="0" w:line="252" w:lineRule="auto"/>
              <w:jc w:val="left"/>
            </w:pPr>
            <w:r>
              <w:rPr>
                <w:rFonts w:ascii="Calibri" w:hAnsi="Calibri"/>
                <w:color w:val="1A1A1A"/>
                <w:sz w:val="17"/>
              </w:rPr>
              <w:t xml:space="preserve">New </w:t>
            </w:r>
            <w:r>
              <w:rPr>
                <w:rFonts w:ascii="Consolas" w:hAnsi="Consolas"/>
                <w:color w:val="8B2E2E"/>
                <w:sz w:val="17"/>
              </w:rPr>
              <w:t>contract_amendments</w:t>
            </w:r>
          </w:p>
        </w:tc>
      </w:tr>
      <w:tr>
        <w:tc>
          <w:tcPr>
            <w:tcW w:type="dxa" w:w="964"/>
          </w:tcPr>
          <w:p>
            <w:pPr>
              <w:spacing w:after="0" w:line="252" w:lineRule="auto"/>
              <w:jc w:val="left"/>
            </w:pPr>
            <w:r>
              <w:rPr>
                <w:rFonts w:ascii="Calibri" w:hAnsi="Calibri"/>
                <w:color w:val="1A1A1A"/>
                <w:sz w:val="17"/>
              </w:rPr>
              <w:t>FR-P5-11</w:t>
            </w:r>
          </w:p>
        </w:tc>
        <w:tc>
          <w:tcPr>
            <w:tcW w:type="dxa" w:w="3345"/>
          </w:tcPr>
          <w:p>
            <w:pPr>
              <w:spacing w:after="0" w:line="252" w:lineRule="auto"/>
              <w:jc w:val="left"/>
            </w:pPr>
            <w:r>
              <w:rPr>
                <w:rFonts w:ascii="Calibri" w:hAnsi="Calibri"/>
                <w:color w:val="1A1A1A"/>
                <w:sz w:val="17"/>
              </w:rPr>
              <w:t>Hold end date, notice period and termination provisions, and surface expiring contracts in advance</w:t>
            </w:r>
          </w:p>
        </w:tc>
        <w:tc>
          <w:tcPr>
            <w:tcW w:type="dxa" w:w="3061"/>
          </w:tcPr>
          <w:p>
            <w:pPr>
              <w:spacing w:after="0" w:line="252" w:lineRule="auto"/>
              <w:jc w:val="left"/>
            </w:pPr>
            <w:r>
              <w:rPr>
                <w:rFonts w:ascii="Calibri" w:hAnsi="Calibri"/>
                <w:color w:val="1A1A1A"/>
                <w:sz w:val="17"/>
              </w:rPr>
              <w:t xml:space="preserve">Contracts within N days of their end date appear as an exception in Pillar 8. </w:t>
            </w:r>
            <w:r>
              <w:rPr>
                <w:rFonts w:ascii="Calibri" w:hAnsi="Calibri"/>
                <w:b/>
                <w:color w:val="1A1A1A"/>
                <w:sz w:val="17"/>
              </w:rPr>
              <w:t>A renewal is raised as a new opportunity</w:t>
            </w:r>
            <w:r>
              <w:rPr>
                <w:rFonts w:ascii="Calibri" w:hAnsi="Calibri"/>
                <w:color w:val="1A1A1A"/>
                <w:sz w:val="17"/>
              </w:rPr>
              <w:t>, which then creates its own contract in the normal way</w:t>
            </w:r>
          </w:p>
        </w:tc>
        <w:tc>
          <w:tcPr>
            <w:tcW w:type="dxa" w:w="1020"/>
          </w:tcPr>
          <w:p>
            <w:pPr>
              <w:spacing w:after="0" w:line="252" w:lineRule="auto"/>
              <w:jc w:val="left"/>
            </w:pPr>
            <w:r>
              <w:rPr>
                <w:rFonts w:ascii="Calibri" w:hAnsi="Calibri"/>
                <w:b/>
                <w:color w:val="1F4E79"/>
                <w:sz w:val="17"/>
              </w:rPr>
              <w:t>NEW</w:t>
            </w:r>
            <w:r>
              <w:rPr>
                <w:rFonts w:ascii="Calibri" w:hAnsi="Calibri"/>
                <w:color w:val="1F4E79"/>
                <w:sz w:val="17"/>
              </w:rPr>
              <w:t xml:space="preserve"> — reviewed 25 Aug</w:t>
            </w:r>
          </w:p>
        </w:tc>
        <w:tc>
          <w:tcPr>
            <w:tcW w:type="dxa" w:w="1928"/>
          </w:tcPr>
          <w:p>
            <w:pPr>
              <w:spacing w:after="0" w:line="252" w:lineRule="auto"/>
              <w:jc w:val="left"/>
            </w:pPr>
            <w:r>
              <w:rPr>
                <w:rFonts w:ascii="Consolas" w:hAnsi="Consolas"/>
                <w:color w:val="8B2E2E"/>
                <w:sz w:val="17"/>
              </w:rPr>
              <w:t>onboardings</w:t>
            </w:r>
            <w:r>
              <w:rPr>
                <w:rFonts w:ascii="Calibri" w:hAnsi="Calibri"/>
                <w:color w:val="1A1A1A"/>
                <w:sz w:val="17"/>
              </w:rPr>
              <w:t xml:space="preserve"> + P8</w:t>
            </w:r>
          </w:p>
        </w:tc>
      </w:tr>
      <w:tr>
        <w:tc>
          <w:tcPr>
            <w:tcW w:type="dxa" w:w="964"/>
            <w:shd w:val="clear" w:color="auto" w:fill="FAFBFC"/>
          </w:tcPr>
          <w:p>
            <w:pPr>
              <w:spacing w:after="0" w:line="252" w:lineRule="auto"/>
              <w:jc w:val="left"/>
            </w:pPr>
            <w:r>
              <w:rPr>
                <w:rFonts w:ascii="Calibri" w:hAnsi="Calibri"/>
                <w:color w:val="1A1A1A"/>
                <w:sz w:val="17"/>
              </w:rPr>
              <w:t>FR-P5-12</w:t>
            </w:r>
          </w:p>
        </w:tc>
        <w:tc>
          <w:tcPr>
            <w:tcW w:type="dxa" w:w="3345"/>
            <w:shd w:val="clear" w:color="auto" w:fill="FAFBFC"/>
          </w:tcPr>
          <w:p>
            <w:pPr>
              <w:spacing w:after="0" w:line="252" w:lineRule="auto"/>
              <w:jc w:val="left"/>
            </w:pPr>
            <w:r>
              <w:rPr>
                <w:rFonts w:ascii="Calibri" w:hAnsi="Calibri"/>
                <w:color w:val="1A1A1A"/>
                <w:sz w:val="17"/>
              </w:rPr>
              <w:t>Record stage moves on a contract as append-only history</w:t>
            </w:r>
          </w:p>
        </w:tc>
        <w:tc>
          <w:tcPr>
            <w:tcW w:type="dxa" w:w="3061"/>
            <w:shd w:val="clear" w:color="auto" w:fill="FAFBFC"/>
          </w:tcPr>
          <w:p>
            <w:pPr>
              <w:spacing w:after="0" w:line="252" w:lineRule="auto"/>
              <w:jc w:val="left"/>
            </w:pPr>
            <w:r>
              <w:rPr>
                <w:rFonts w:ascii="Calibri" w:hAnsi="Calibri"/>
                <w:color w:val="1A1A1A"/>
                <w:sz w:val="17"/>
              </w:rPr>
              <w:t>Every stage transition carries who moved it, when, and any note</w:t>
            </w:r>
          </w:p>
        </w:tc>
        <w:tc>
          <w:tcPr>
            <w:tcW w:type="dxa" w:w="1020"/>
            <w:shd w:val="clear" w:color="auto" w:fill="FAFBFC"/>
          </w:tcPr>
          <w:p>
            <w:pPr>
              <w:spacing w:after="0" w:line="252" w:lineRule="auto"/>
              <w:jc w:val="left"/>
            </w:pPr>
            <w:r>
              <w:rPr>
                <w:rFonts w:ascii="Calibri" w:hAnsi="Calibri"/>
                <w:b/>
                <w:color w:val="1E6B33"/>
                <w:sz w:val="17"/>
              </w:rPr>
              <w:t>EXISTS</w:t>
            </w:r>
          </w:p>
        </w:tc>
        <w:tc>
          <w:tcPr>
            <w:tcW w:type="dxa" w:w="1928"/>
            <w:shd w:val="clear" w:color="auto" w:fill="FAFBFC"/>
          </w:tcPr>
          <w:p>
            <w:pPr>
              <w:spacing w:after="0" w:line="252" w:lineRule="auto"/>
              <w:jc w:val="left"/>
            </w:pPr>
            <w:r>
              <w:rPr>
                <w:rFonts w:ascii="Consolas" w:hAnsi="Consolas"/>
                <w:color w:val="8B2E2E"/>
                <w:sz w:val="17"/>
              </w:rPr>
              <w:t>onboarding_stage_history</w:t>
            </w:r>
          </w:p>
        </w:tc>
      </w:tr>
      <w:tr>
        <w:tc>
          <w:tcPr>
            <w:tcW w:type="dxa" w:w="964"/>
          </w:tcPr>
          <w:p>
            <w:pPr>
              <w:spacing w:after="0" w:line="252" w:lineRule="auto"/>
              <w:jc w:val="left"/>
            </w:pPr>
            <w:r>
              <w:rPr>
                <w:rFonts w:ascii="Calibri" w:hAnsi="Calibri"/>
                <w:color w:val="1A1A1A"/>
                <w:sz w:val="17"/>
              </w:rPr>
              <w:t>FR-P5-13</w:t>
            </w:r>
          </w:p>
        </w:tc>
        <w:tc>
          <w:tcPr>
            <w:tcW w:type="dxa" w:w="3345"/>
          </w:tcPr>
          <w:p>
            <w:pPr>
              <w:spacing w:after="0" w:line="252" w:lineRule="auto"/>
              <w:jc w:val="left"/>
            </w:pPr>
            <w:r>
              <w:rPr>
                <w:rFonts w:ascii="Calibri" w:hAnsi="Calibri"/>
                <w:color w:val="1A1A1A"/>
                <w:sz w:val="17"/>
              </w:rPr>
              <w:t>Publish contracted scope, deliverables, dates and obligations to Pillar 6, and the billing schedule and recognizable value to Pillar 7</w:t>
            </w:r>
          </w:p>
        </w:tc>
        <w:tc>
          <w:tcPr>
            <w:tcW w:type="dxa" w:w="3061"/>
          </w:tcPr>
          <w:p>
            <w:pPr>
              <w:spacing w:after="0" w:line="252" w:lineRule="auto"/>
              <w:jc w:val="left"/>
            </w:pPr>
            <w:r>
              <w:rPr>
                <w:rFonts w:ascii="Calibri" w:hAnsi="Calibri"/>
                <w:color w:val="1A1A1A"/>
                <w:sz w:val="17"/>
              </w:rPr>
              <w:t>Delivery and revenue consume the contract rather than re-keying it</w:t>
            </w:r>
          </w:p>
        </w:tc>
        <w:tc>
          <w:tcPr>
            <w:tcW w:type="dxa" w:w="1020"/>
          </w:tcPr>
          <w:p>
            <w:pPr>
              <w:spacing w:after="0" w:line="252" w:lineRule="auto"/>
              <w:jc w:val="left"/>
            </w:pPr>
            <w:r>
              <w:rPr>
                <w:rFonts w:ascii="Calibri" w:hAnsi="Calibri"/>
                <w:b/>
                <w:color w:val="9A5B00"/>
                <w:sz w:val="17"/>
              </w:rPr>
              <w:t>PARTIAL</w:t>
            </w:r>
            <w:r>
              <w:rPr>
                <w:rFonts w:ascii="Calibri" w:hAnsi="Calibri"/>
                <w:color w:val="9A5B00"/>
                <w:sz w:val="17"/>
              </w:rPr>
              <w:t xml:space="preserve"> — the delivery link exists via </w:t>
            </w:r>
            <w:r>
              <w:rPr>
                <w:rFonts w:ascii="Consolas" w:hAnsi="Consolas"/>
                <w:color w:val="8B2E2E"/>
                <w:sz w:val="17"/>
              </w:rPr>
              <w:t>convertedToProjectId</w:t>
            </w:r>
            <w:r>
              <w:rPr>
                <w:rFonts w:ascii="Calibri" w:hAnsi="Calibri"/>
                <w:color w:val="9A5B00"/>
                <w:sz w:val="17"/>
              </w:rPr>
              <w:t>; the revenue link has nothing to consume it</w:t>
            </w:r>
          </w:p>
        </w:tc>
        <w:tc>
          <w:tcPr>
            <w:tcW w:type="dxa" w:w="1928"/>
          </w:tcPr>
          <w:p>
            <w:pPr>
              <w:spacing w:after="0" w:line="252" w:lineRule="auto"/>
              <w:jc w:val="left"/>
            </w:pPr>
            <w:r>
              <w:rPr>
                <w:rFonts w:ascii="Calibri" w:hAnsi="Calibri"/>
                <w:color w:val="1A1A1A"/>
                <w:sz w:val="17"/>
              </w:rPr>
              <w:t>P5 to P6, P5 to P7</w:t>
            </w:r>
          </w:p>
        </w:tc>
      </w:tr>
      <w:tr>
        <w:tc>
          <w:tcPr>
            <w:tcW w:type="dxa" w:w="964"/>
            <w:shd w:val="clear" w:color="auto" w:fill="FAFBFC"/>
          </w:tcPr>
          <w:p>
            <w:pPr>
              <w:spacing w:after="0" w:line="252" w:lineRule="auto"/>
              <w:jc w:val="left"/>
            </w:pPr>
            <w:r>
              <w:rPr>
                <w:rFonts w:ascii="Calibri" w:hAnsi="Calibri"/>
                <w:color w:val="1A1A1A"/>
                <w:sz w:val="17"/>
              </w:rPr>
              <w:t>FR-P5-14</w:t>
            </w:r>
          </w:p>
        </w:tc>
        <w:tc>
          <w:tcPr>
            <w:tcW w:type="dxa" w:w="3345"/>
            <w:shd w:val="clear" w:color="auto" w:fill="FAFBFC"/>
          </w:tcPr>
          <w:p>
            <w:pPr>
              <w:spacing w:after="0" w:line="252" w:lineRule="auto"/>
              <w:jc w:val="left"/>
            </w:pPr>
            <w:r>
              <w:rPr>
                <w:rFonts w:ascii="Calibri" w:hAnsi="Calibri"/>
                <w:color w:val="1A1A1A"/>
                <w:sz w:val="17"/>
              </w:rPr>
              <w:t>Auto-create a contract record when an opportunity is won on a sales pipeline</w:t>
            </w:r>
          </w:p>
        </w:tc>
        <w:tc>
          <w:tcPr>
            <w:tcW w:type="dxa" w:w="3061"/>
            <w:shd w:val="clear" w:color="auto" w:fill="FAFBFC"/>
          </w:tcPr>
          <w:p>
            <w:pPr>
              <w:spacing w:after="0" w:line="252" w:lineRule="auto"/>
              <w:jc w:val="left"/>
            </w:pPr>
            <w:r>
              <w:rPr>
                <w:rFonts w:ascii="Calibri" w:hAnsi="Calibri"/>
                <w:color w:val="1A1A1A"/>
                <w:sz w:val="17"/>
              </w:rPr>
              <w:t xml:space="preserve">Winning a deal on a pipeline flagged </w:t>
            </w:r>
            <w:r>
              <w:rPr>
                <w:rFonts w:ascii="Consolas" w:hAnsi="Consolas"/>
                <w:color w:val="8B2E2E"/>
                <w:sz w:val="17"/>
              </w:rPr>
              <w:t>isSalesPipeline</w:t>
            </w:r>
            <w:r>
              <w:rPr>
                <w:rFonts w:ascii="Calibri" w:hAnsi="Calibri"/>
                <w:color w:val="1A1A1A"/>
                <w:sz w:val="17"/>
              </w:rPr>
              <w:t xml:space="preserve"> creates the contract</w:t>
            </w:r>
          </w:p>
        </w:tc>
        <w:tc>
          <w:tcPr>
            <w:tcW w:type="dxa" w:w="1020"/>
            <w:shd w:val="clear" w:color="auto" w:fill="FAFBFC"/>
          </w:tcPr>
          <w:p>
            <w:pPr>
              <w:spacing w:after="0" w:line="252" w:lineRule="auto"/>
              <w:jc w:val="left"/>
            </w:pPr>
            <w:r>
              <w:rPr>
                <w:rFonts w:ascii="Calibri" w:hAnsi="Calibri"/>
                <w:b/>
                <w:color w:val="1E6B33"/>
                <w:sz w:val="17"/>
              </w:rPr>
              <w:t>EXISTS</w:t>
            </w:r>
          </w:p>
        </w:tc>
        <w:tc>
          <w:tcPr>
            <w:tcW w:type="dxa" w:w="1928"/>
            <w:shd w:val="clear" w:color="auto" w:fill="FAFBFC"/>
          </w:tcPr>
          <w:p>
            <w:pPr>
              <w:spacing w:after="0" w:line="252" w:lineRule="auto"/>
              <w:jc w:val="left"/>
            </w:pPr>
            <w:r>
              <w:rPr>
                <w:rFonts w:ascii="Calibri" w:hAnsi="Calibri"/>
                <w:color w:val="1F4E79"/>
                <w:sz w:val="17"/>
                <w:u w:val="single"/>
              </w:rPr>
              <w:t>onboarding.service.ts</w:t>
            </w:r>
          </w:p>
        </w:tc>
      </w:tr>
      <w:tr>
        <w:tc>
          <w:tcPr>
            <w:tcW w:type="dxa" w:w="964"/>
          </w:tcPr>
          <w:p>
            <w:pPr>
              <w:spacing w:after="0" w:line="252" w:lineRule="auto"/>
              <w:jc w:val="left"/>
            </w:pPr>
            <w:r>
              <w:rPr>
                <w:rFonts w:ascii="Calibri" w:hAnsi="Calibri"/>
                <w:color w:val="1A1A1A"/>
                <w:sz w:val="17"/>
              </w:rPr>
              <w:t>FR-P5-15</w:t>
            </w:r>
          </w:p>
        </w:tc>
        <w:tc>
          <w:tcPr>
            <w:tcW w:type="dxa" w:w="3345"/>
          </w:tcPr>
          <w:p>
            <w:pPr>
              <w:spacing w:after="0" w:line="252" w:lineRule="auto"/>
              <w:jc w:val="left"/>
            </w:pPr>
            <w:r>
              <w:rPr>
                <w:rFonts w:ascii="Calibri" w:hAnsi="Calibri"/>
                <w:color w:val="1A1A1A"/>
                <w:sz w:val="17"/>
              </w:rPr>
              <w:t xml:space="preserve">Grant contract access to </w:t>
            </w:r>
            <w:r>
              <w:rPr>
                <w:rFonts w:ascii="Calibri" w:hAnsi="Calibri"/>
                <w:b/>
                <w:color w:val="1A1A1A"/>
                <w:sz w:val="17"/>
              </w:rPr>
              <w:t>super admins and to users holding the financial permission</w:t>
            </w:r>
            <w:r>
              <w:rPr>
                <w:rFonts w:ascii="Calibri" w:hAnsi="Calibri"/>
                <w:color w:val="1A1A1A"/>
                <w:sz w:val="17"/>
              </w:rPr>
              <w:t>, replacing the hard-coded role check</w:t>
            </w:r>
          </w:p>
        </w:tc>
        <w:tc>
          <w:tcPr>
            <w:tcW w:type="dxa" w:w="3061"/>
          </w:tcPr>
          <w:p>
            <w:pPr>
              <w:spacing w:after="0" w:line="252" w:lineRule="auto"/>
              <w:jc w:val="left"/>
            </w:pPr>
            <w:r>
              <w:rPr>
                <w:rFonts w:ascii="Calibri" w:hAnsi="Calibri"/>
                <w:color w:val="1A1A1A"/>
                <w:sz w:val="17"/>
              </w:rPr>
              <w:t xml:space="preserve">Access is decided by the per-user financial permission from FR-X-05, not by a role slug. Deal owners and delivery leads get </w:t>
            </w:r>
            <w:r>
              <w:rPr>
                <w:rFonts w:ascii="Calibri" w:hAnsi="Calibri"/>
                <w:b/>
                <w:color w:val="1A1A1A"/>
                <w:sz w:val="17"/>
              </w:rPr>
              <w:t>no</w:t>
            </w:r>
            <w:r>
              <w:rPr>
                <w:rFonts w:ascii="Calibri" w:hAnsi="Calibri"/>
                <w:color w:val="1A1A1A"/>
                <w:sz w:val="17"/>
              </w:rPr>
              <w:t xml:space="preserve"> contract access</w:t>
            </w:r>
          </w:p>
        </w:tc>
        <w:tc>
          <w:tcPr>
            <w:tcW w:type="dxa" w:w="1020"/>
          </w:tcPr>
          <w:p>
            <w:pPr>
              <w:spacing w:after="0" w:line="252" w:lineRule="auto"/>
              <w:jc w:val="left"/>
            </w:pPr>
            <w:r>
              <w:rPr>
                <w:rFonts w:ascii="Calibri" w:hAnsi="Calibri"/>
                <w:b/>
                <w:color w:val="9A5B00"/>
                <w:sz w:val="17"/>
              </w:rPr>
              <w:t>PARTIAL</w:t>
            </w:r>
            <w:r>
              <w:rPr>
                <w:rFonts w:ascii="Calibri" w:hAnsi="Calibri"/>
                <w:color w:val="9A5B00"/>
                <w:sz w:val="17"/>
              </w:rPr>
              <w:t xml:space="preserve"> — reviewed 25 Aug. </w:t>
            </w:r>
            <w:r>
              <w:rPr>
                <w:rFonts w:ascii="Calibri" w:hAnsi="Calibri"/>
                <w:color w:val="1F4E79"/>
                <w:sz w:val="17"/>
                <w:u w:val="single"/>
              </w:rPr>
              <w:t>onboarding.router.ts:9</w:t>
            </w:r>
            <w:r>
              <w:rPr>
                <w:rFonts w:ascii="Calibri" w:hAnsi="Calibri"/>
                <w:color w:val="9A5B00"/>
                <w:sz w:val="17"/>
              </w:rPr>
              <w:t xml:space="preserve"> throws unless </w:t>
            </w:r>
            <w:r>
              <w:rPr>
                <w:rFonts w:ascii="Consolas" w:hAnsi="Consolas"/>
                <w:color w:val="8B2E2E"/>
                <w:sz w:val="17"/>
              </w:rPr>
              <w:t>role.slug === 'super_admin'</w:t>
            </w:r>
            <w:r>
              <w:rPr>
                <w:rFonts w:ascii="Calibri" w:hAnsi="Calibri"/>
                <w:color w:val="9A5B00"/>
                <w:sz w:val="17"/>
              </w:rPr>
              <w:t>, on every procedure</w:t>
            </w:r>
          </w:p>
        </w:tc>
        <w:tc>
          <w:tcPr>
            <w:tcW w:type="dxa" w:w="1928"/>
          </w:tcPr>
          <w:p>
            <w:pPr>
              <w:spacing w:after="0" w:line="252" w:lineRule="auto"/>
              <w:jc w:val="left"/>
            </w:pPr>
            <w:r>
              <w:rPr>
                <w:rFonts w:ascii="Calibri" w:hAnsi="Calibri"/>
                <w:color w:val="1F4E79"/>
                <w:sz w:val="17"/>
                <w:u w:val="single"/>
              </w:rPr>
              <w:t>onboarding.router.ts</w:t>
            </w:r>
          </w:p>
        </w:tc>
      </w:tr>
    </w:tbl>
    <w:p>
      <w:pPr>
        <w:spacing w:after="80"/>
      </w:pPr>
    </w:p>
    <w:p>
      <w:pPr>
        <w:spacing w:before="120" w:after="160"/>
        <w:ind w:left="198"/>
        <w:pBdr>
          <w:left w:val="single" w:sz="18" w:space="8" w:color="B08D57"/>
        </w:pBdr>
        <w:shd w:val="clear" w:color="auto" w:fill="F4F1E8"/>
      </w:pPr>
      <w:r>
        <w:rPr>
          <w:rFonts w:ascii="Calibri" w:hAnsi="Calibri"/>
          <w:b/>
          <w:color w:val="1A1A1A"/>
          <w:sz w:val="19"/>
        </w:rPr>
        <w:t>CONCRETE EXAMPLE</w:t>
      </w:r>
      <w:r>
        <w:rPr>
          <w:rFonts w:ascii="Calibri" w:hAnsi="Calibri"/>
          <w:color w:val="1A1A1A"/>
          <w:sz w:val="19"/>
        </w:rPr>
        <w:t xml:space="preserve">  Northwind is quoted INR 18,00,000. After negotiation the SOW is signed at INR 15,50,000 with a recorded variance reason of reduced scope — the penetration test is deferred. Payment terms are 40% on signature and 60% on certification, net 30. The PO arrives eight days later. Only then does the engagement pass the kickoff readiness gate.</w:t>
      </w:r>
    </w:p>
    <w:p>
      <w:pPr>
        <w:pStyle w:val="Heading3"/>
      </w:pPr>
      <w:r>
        <w:t>Features — Pillar 5</w:t>
      </w:r>
    </w:p>
    <w:p>
      <w:r>
        <w:rPr>
          <w:rFonts w:ascii="Calibri" w:hAnsi="Calibri"/>
          <w:color w:val="1A1A1A"/>
        </w:rPr>
        <w:t xml:space="preserve">Contract list and detail with stage board · document status tracking with dates · engagement value with variance reason · payment terms, PO and first payment capture · kickoff scheduling · delivery team assignment · stage history · </w:t>
      </w:r>
      <w:r>
        <w:rPr>
          <w:rFonts w:ascii="Calibri" w:hAnsi="Calibri"/>
          <w:b/>
          <w:color w:val="1A1A1A"/>
        </w:rPr>
        <w:t>document upload and versioning (new)</w:t>
      </w:r>
      <w:r>
        <w:rPr>
          <w:rFonts w:ascii="Calibri" w:hAnsi="Calibri"/>
          <w:color w:val="1A1A1A"/>
        </w:rPr>
        <w:t xml:space="preserve"> · </w:t>
      </w:r>
      <w:r>
        <w:rPr>
          <w:rFonts w:ascii="Calibri" w:hAnsi="Calibri"/>
          <w:b/>
          <w:color w:val="1A1A1A"/>
        </w:rPr>
        <w:t>structured contracted scope (new)</w:t>
      </w:r>
      <w:r>
        <w:rPr>
          <w:rFonts w:ascii="Calibri" w:hAnsi="Calibri"/>
          <w:color w:val="1A1A1A"/>
        </w:rPr>
        <w:t xml:space="preserve"> · </w:t>
      </w:r>
      <w:r>
        <w:rPr>
          <w:rFonts w:ascii="Calibri" w:hAnsi="Calibri"/>
          <w:b/>
          <w:color w:val="1A1A1A"/>
        </w:rPr>
        <w:t>billing schedule builder (new)</w:t>
      </w:r>
      <w:r>
        <w:rPr>
          <w:rFonts w:ascii="Calibri" w:hAnsi="Calibri"/>
          <w:color w:val="1A1A1A"/>
        </w:rPr>
        <w:t xml:space="preserve"> · </w:t>
      </w:r>
      <w:r>
        <w:rPr>
          <w:rFonts w:ascii="Calibri" w:hAnsi="Calibri"/>
          <w:b/>
          <w:color w:val="1A1A1A"/>
        </w:rPr>
        <w:t>enforced kickoff readiness checklist (new)</w:t>
      </w:r>
      <w:r>
        <w:rPr>
          <w:rFonts w:ascii="Calibri" w:hAnsi="Calibri"/>
          <w:color w:val="1A1A1A"/>
        </w:rPr>
        <w:t xml:space="preserve"> · </w:t>
      </w:r>
      <w:r>
        <w:rPr>
          <w:rFonts w:ascii="Calibri" w:hAnsi="Calibri"/>
          <w:b/>
          <w:color w:val="1A1A1A"/>
        </w:rPr>
        <w:t>change order and amendment flow (new)</w:t>
      </w:r>
      <w:r>
        <w:rPr>
          <w:rFonts w:ascii="Calibri" w:hAnsi="Calibri"/>
          <w:color w:val="1A1A1A"/>
        </w:rPr>
        <w:t xml:space="preserve"> · </w:t>
      </w:r>
      <w:r>
        <w:rPr>
          <w:rFonts w:ascii="Calibri" w:hAnsi="Calibri"/>
          <w:b/>
          <w:color w:val="1A1A1A"/>
        </w:rPr>
        <w:t>renewal and expiry watchlist (new)</w:t>
      </w:r>
      <w:r>
        <w:rPr>
          <w:rFonts w:ascii="Calibri" w:hAnsi="Calibri"/>
          <w:color w:val="1A1A1A"/>
        </w:rPr>
        <w:t>.</w:t>
      </w:r>
    </w:p>
    <w:p>
      <w:pPr>
        <w:pStyle w:val="Heading2"/>
      </w:pPr>
      <w:r>
        <w:t>Pillar 6 — Engagement Delivery &amp; Outcomes</w:t>
      </w:r>
    </w:p>
    <w:p>
      <w:pPr>
        <w:spacing w:before="120" w:after="160"/>
        <w:ind w:left="198"/>
        <w:pBdr>
          <w:left w:val="single" w:sz="18" w:space="8" w:color="B08D57"/>
        </w:pBdr>
        <w:shd w:val="clear" w:color="auto" w:fill="F4F1E8"/>
      </w:pPr>
      <w:r>
        <w:rPr>
          <w:rFonts w:ascii="Calibri" w:hAnsi="Calibri"/>
          <w:color w:val="1A1A1A"/>
          <w:sz w:val="19"/>
        </w:rPr>
        <w:t xml:space="preserve">### ⚠ NOT YET REVIEWED  </w:t>
      </w:r>
      <w:r>
        <w:rPr>
          <w:rFonts w:ascii="Calibri" w:hAnsi="Calibri"/>
          <w:b/>
          <w:color w:val="1A1A1A"/>
          <w:sz w:val="19"/>
        </w:rPr>
        <w:t>Everything below this line is the unvalidated initial draft.</w:t>
      </w:r>
      <w:r>
        <w:rPr>
          <w:rFonts w:ascii="Calibri" w:hAnsi="Calibri"/>
          <w:color w:val="1A1A1A"/>
          <w:sz w:val="19"/>
        </w:rPr>
        <w:t xml:space="preserve"> Pillars 1 to 5 were reviewed on 24–25 Aug 2026; the review was paused here to begin building the cost engine. Requirements in Pillars 6, 7 and 8 and in Section C are still my inferences, not business decisions.  </w:t>
      </w:r>
      <w:r>
        <w:rPr>
          <w:rFonts w:ascii="Calibri" w:hAnsi="Calibri"/>
          <w:b/>
          <w:color w:val="1A1A1A"/>
          <w:sz w:val="19"/>
        </w:rPr>
        <w:t>Known consequence to settle when this pillar is reviewed:</w:t>
      </w:r>
      <w:r>
        <w:rPr>
          <w:rFonts w:ascii="Calibri" w:hAnsi="Calibri"/>
          <w:color w:val="1A1A1A"/>
          <w:sz w:val="19"/>
        </w:rPr>
        <w:t xml:space="preserve"> FR-P5-07 now allows milestone-triggered billing, so FR-P6-04 milestones must emit an event Pillar 7 can bill from. The two were reviewed separately and need reconciling.</w:t>
      </w:r>
    </w:p>
    <w:p>
      <w:r>
        <w:rPr>
          <w:rFonts w:ascii="Calibri" w:hAnsi="Calibri"/>
          <w:i/>
          <w:color w:val="1A1A1A"/>
        </w:rPr>
        <w:t>What are we delivering, and will it land on time and at the promised outcome?</w:t>
      </w:r>
    </w:p>
    <w:p>
      <w:r>
        <w:rPr>
          <w:rFonts w:ascii="Calibri" w:hAnsi="Calibri"/>
          <w:color w:val="1A1A1A"/>
        </w:rPr>
        <w:t xml:space="preserve">Projects exist with stages, progress percentages, team members, compliance-categorised tasks and stage history carrying a real generated </w:t>
      </w:r>
      <w:r>
        <w:rPr>
          <w:rFonts w:ascii="Consolas" w:hAnsi="Consolas"/>
          <w:color w:val="8B2E2E"/>
        </w:rPr>
        <w:t>durationHours</w:t>
      </w:r>
      <w:r>
        <w:rPr>
          <w:rFonts w:ascii="Calibri" w:hAnsi="Calibri"/>
          <w:color w:val="1A1A1A"/>
        </w:rPr>
        <w:t xml:space="preserve"> column. What is missing is everything that makes delivery a </w:t>
      </w:r>
      <w:r>
        <w:rPr>
          <w:rFonts w:ascii="Calibri" w:hAnsi="Calibri"/>
          <w:i/>
          <w:color w:val="1A1A1A"/>
        </w:rPr>
        <w:t>commercial</w:t>
      </w:r>
      <w:r>
        <w:rPr>
          <w:rFonts w:ascii="Calibri" w:hAnsi="Calibri"/>
          <w:color w:val="1A1A1A"/>
        </w:rPr>
        <w:t xml:space="preserve"> signal: there are no milestones, no deliverables, no acceptance, and therefore nothing that can trigger a billing event.</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064"/>
        <w:gridCol w:w="2064"/>
        <w:gridCol w:w="2064"/>
        <w:gridCol w:w="2064"/>
        <w:gridCol w:w="2064"/>
      </w:tblGrid>
      <w:tr>
        <w:trPr>
          <w:tblHeader w:val="true"/>
        </w:trPr>
        <w:tc>
          <w:tcPr>
            <w:tcW w:type="dxa" w:w="964"/>
            <w:shd w:val="clear" w:color="auto" w:fill="E8EDF2"/>
          </w:tcPr>
          <w:p>
            <w:pPr>
              <w:spacing w:after="0"/>
              <w:jc w:val="left"/>
            </w:pPr>
            <w:r>
              <w:rPr>
                <w:rFonts w:ascii="Calibri" w:hAnsi="Calibri"/>
                <w:b/>
                <w:color w:val="1A1A1A"/>
                <w:sz w:val="17"/>
              </w:rPr>
              <w:t>ID</w:t>
            </w:r>
          </w:p>
        </w:tc>
        <w:tc>
          <w:tcPr>
            <w:tcW w:type="dxa" w:w="3345"/>
            <w:shd w:val="clear" w:color="auto" w:fill="E8EDF2"/>
          </w:tcPr>
          <w:p>
            <w:pPr>
              <w:spacing w:after="0"/>
              <w:jc w:val="left"/>
            </w:pPr>
            <w:r>
              <w:rPr>
                <w:rFonts w:ascii="Calibri" w:hAnsi="Calibri"/>
                <w:b/>
                <w:color w:val="1A1A1A"/>
                <w:sz w:val="17"/>
              </w:rPr>
              <w:t>Requirement</w:t>
            </w:r>
          </w:p>
        </w:tc>
        <w:tc>
          <w:tcPr>
            <w:tcW w:type="dxa" w:w="3061"/>
            <w:shd w:val="clear" w:color="auto" w:fill="E8EDF2"/>
          </w:tcPr>
          <w:p>
            <w:pPr>
              <w:spacing w:after="0"/>
              <w:jc w:val="left"/>
            </w:pPr>
            <w:r>
              <w:rPr>
                <w:rFonts w:ascii="Calibri" w:hAnsi="Calibri"/>
                <w:b/>
                <w:color w:val="1A1A1A"/>
                <w:sz w:val="17"/>
              </w:rPr>
              <w:t>Acceptance</w:t>
            </w:r>
          </w:p>
        </w:tc>
        <w:tc>
          <w:tcPr>
            <w:tcW w:type="dxa" w:w="1020"/>
            <w:shd w:val="clear" w:color="auto" w:fill="E8EDF2"/>
          </w:tcPr>
          <w:p>
            <w:pPr>
              <w:spacing w:after="0"/>
              <w:jc w:val="left"/>
            </w:pPr>
            <w:r>
              <w:rPr>
                <w:rFonts w:ascii="Calibri" w:hAnsi="Calibri"/>
                <w:b/>
                <w:color w:val="1A1A1A"/>
                <w:sz w:val="17"/>
              </w:rPr>
              <w:t>Status</w:t>
            </w:r>
          </w:p>
        </w:tc>
        <w:tc>
          <w:tcPr>
            <w:tcW w:type="dxa" w:w="1928"/>
            <w:shd w:val="clear" w:color="auto" w:fill="E8EDF2"/>
          </w:tcPr>
          <w:p>
            <w:pPr>
              <w:spacing w:after="0"/>
              <w:jc w:val="left"/>
            </w:pPr>
            <w:r>
              <w:rPr>
                <w:rFonts w:ascii="Calibri" w:hAnsi="Calibri"/>
                <w:b/>
                <w:color w:val="1A1A1A"/>
                <w:sz w:val="17"/>
              </w:rPr>
              <w:t>Lands in</w:t>
            </w:r>
          </w:p>
        </w:tc>
      </w:tr>
      <w:tr>
        <w:tc>
          <w:tcPr>
            <w:tcW w:type="dxa" w:w="964"/>
          </w:tcPr>
          <w:p>
            <w:pPr>
              <w:spacing w:after="0" w:line="252" w:lineRule="auto"/>
              <w:jc w:val="left"/>
            </w:pPr>
            <w:r>
              <w:rPr>
                <w:rFonts w:ascii="Calibri" w:hAnsi="Calibri"/>
                <w:color w:val="1A1A1A"/>
                <w:sz w:val="17"/>
              </w:rPr>
              <w:t>FR-P6-01</w:t>
            </w:r>
          </w:p>
        </w:tc>
        <w:tc>
          <w:tcPr>
            <w:tcW w:type="dxa" w:w="3345"/>
          </w:tcPr>
          <w:p>
            <w:pPr>
              <w:spacing w:after="0" w:line="252" w:lineRule="auto"/>
              <w:jc w:val="left"/>
            </w:pPr>
            <w:r>
              <w:rPr>
                <w:rFonts w:ascii="Calibri" w:hAnsi="Calibri"/>
                <w:color w:val="1A1A1A"/>
                <w:sz w:val="17"/>
              </w:rPr>
              <w:t>Maintain engagement records linked to their contract, with service type, framework, scope and committed dates</w:t>
            </w:r>
          </w:p>
        </w:tc>
        <w:tc>
          <w:tcPr>
            <w:tcW w:type="dxa" w:w="3061"/>
          </w:tcPr>
          <w:p>
            <w:pPr>
              <w:spacing w:after="0" w:line="252" w:lineRule="auto"/>
              <w:jc w:val="left"/>
            </w:pPr>
            <w:r>
              <w:rPr>
                <w:rFonts w:ascii="Calibri" w:hAnsi="Calibri"/>
                <w:color w:val="1A1A1A"/>
                <w:sz w:val="17"/>
              </w:rPr>
              <w:t>An engagement names its contract and carries the contracted dates separately from any revised ones</w:t>
            </w:r>
          </w:p>
        </w:tc>
        <w:tc>
          <w:tcPr>
            <w:tcW w:type="dxa" w:w="1020"/>
          </w:tcPr>
          <w:p>
            <w:pPr>
              <w:spacing w:after="0" w:line="252" w:lineRule="auto"/>
              <w:jc w:val="left"/>
            </w:pPr>
            <w:r>
              <w:rPr>
                <w:rFonts w:ascii="Calibri" w:hAnsi="Calibri"/>
                <w:b/>
                <w:color w:val="9A5B00"/>
                <w:sz w:val="17"/>
              </w:rPr>
              <w:t>PARTIAL</w:t>
            </w:r>
            <w:r>
              <w:rPr>
                <w:rFonts w:ascii="Calibri" w:hAnsi="Calibri"/>
                <w:color w:val="9A5B00"/>
                <w:sz w:val="17"/>
              </w:rPr>
              <w:t xml:space="preserve"> — projects link to a deal, not to a contract; committed vs revised dates are conflated</w:t>
            </w:r>
          </w:p>
        </w:tc>
        <w:tc>
          <w:tcPr>
            <w:tcW w:type="dxa" w:w="1928"/>
          </w:tcPr>
          <w:p>
            <w:pPr>
              <w:spacing w:after="0" w:line="252" w:lineRule="auto"/>
              <w:jc w:val="left"/>
            </w:pPr>
            <w:r>
              <w:rPr>
                <w:rFonts w:ascii="Calibri" w:hAnsi="Calibri"/>
                <w:color w:val="1F4E79"/>
                <w:sz w:val="17"/>
                <w:u w:val="single"/>
              </w:rPr>
              <w:t>projects.ts</w:t>
            </w:r>
          </w:p>
        </w:tc>
      </w:tr>
      <w:tr>
        <w:tc>
          <w:tcPr>
            <w:tcW w:type="dxa" w:w="964"/>
            <w:shd w:val="clear" w:color="auto" w:fill="FAFBFC"/>
          </w:tcPr>
          <w:p>
            <w:pPr>
              <w:spacing w:after="0" w:line="252" w:lineRule="auto"/>
              <w:jc w:val="left"/>
            </w:pPr>
            <w:r>
              <w:rPr>
                <w:rFonts w:ascii="Calibri" w:hAnsi="Calibri"/>
                <w:color w:val="1A1A1A"/>
                <w:sz w:val="17"/>
              </w:rPr>
              <w:t>FR-P6-02</w:t>
            </w:r>
          </w:p>
        </w:tc>
        <w:tc>
          <w:tcPr>
            <w:tcW w:type="dxa" w:w="3345"/>
            <w:shd w:val="clear" w:color="auto" w:fill="FAFBFC"/>
          </w:tcPr>
          <w:p>
            <w:pPr>
              <w:spacing w:after="0" w:line="252" w:lineRule="auto"/>
              <w:jc w:val="left"/>
            </w:pPr>
            <w:r>
              <w:rPr>
                <w:rFonts w:ascii="Calibri" w:hAnsi="Calibri"/>
                <w:color w:val="1A1A1A"/>
                <w:sz w:val="17"/>
              </w:rPr>
              <w:t>Support framework-specific delivery stages covering scoping, gap assessment, remediation, readiness review, audit and certification</w:t>
            </w:r>
          </w:p>
        </w:tc>
        <w:tc>
          <w:tcPr>
            <w:tcW w:type="dxa" w:w="3061"/>
            <w:shd w:val="clear" w:color="auto" w:fill="FAFBFC"/>
          </w:tcPr>
          <w:p>
            <w:pPr>
              <w:spacing w:after="0" w:line="252" w:lineRule="auto"/>
              <w:jc w:val="left"/>
            </w:pPr>
            <w:r>
              <w:rPr>
                <w:rFonts w:ascii="Calibri" w:hAnsi="Calibri"/>
                <w:color w:val="1A1A1A"/>
                <w:sz w:val="17"/>
              </w:rPr>
              <w:t>Stages are configurable per framework rather than one fixed list</w:t>
            </w:r>
          </w:p>
        </w:tc>
        <w:tc>
          <w:tcPr>
            <w:tcW w:type="dxa" w:w="1020"/>
            <w:shd w:val="clear" w:color="auto" w:fill="FAFBFC"/>
          </w:tcPr>
          <w:p>
            <w:pPr>
              <w:spacing w:after="0" w:line="252" w:lineRule="auto"/>
              <w:jc w:val="left"/>
            </w:pPr>
            <w:r>
              <w:rPr>
                <w:rFonts w:ascii="Calibri" w:hAnsi="Calibri"/>
                <w:b/>
                <w:color w:val="9A5B00"/>
                <w:sz w:val="17"/>
              </w:rPr>
              <w:t>PARTIAL</w:t>
            </w:r>
            <w:r>
              <w:rPr>
                <w:rFonts w:ascii="Calibri" w:hAnsi="Calibri"/>
                <w:color w:val="9A5B00"/>
                <w:sz w:val="17"/>
              </w:rPr>
              <w:t xml:space="preserve"> — one hard-coded eight-value stage union, of which the UI exposes six</w:t>
            </w:r>
          </w:p>
        </w:tc>
        <w:tc>
          <w:tcPr>
            <w:tcW w:type="dxa" w:w="1928"/>
            <w:shd w:val="clear" w:color="auto" w:fill="FAFBFC"/>
          </w:tcPr>
          <w:p>
            <w:pPr>
              <w:spacing w:after="0" w:line="252" w:lineRule="auto"/>
              <w:jc w:val="left"/>
            </w:pPr>
            <w:r>
              <w:rPr>
                <w:rFonts w:ascii="Calibri" w:hAnsi="Calibri"/>
                <w:color w:val="1F4E79"/>
                <w:sz w:val="17"/>
                <w:u w:val="single"/>
              </w:rPr>
              <w:t>src/lib/projects.ts</w:t>
            </w:r>
          </w:p>
        </w:tc>
      </w:tr>
      <w:tr>
        <w:tc>
          <w:tcPr>
            <w:tcW w:type="dxa" w:w="964"/>
          </w:tcPr>
          <w:p>
            <w:pPr>
              <w:spacing w:after="0" w:line="252" w:lineRule="auto"/>
              <w:jc w:val="left"/>
            </w:pPr>
            <w:r>
              <w:rPr>
                <w:rFonts w:ascii="Calibri" w:hAnsi="Calibri"/>
                <w:color w:val="1A1A1A"/>
                <w:sz w:val="17"/>
              </w:rPr>
              <w:t>FR-P6-03</w:t>
            </w:r>
          </w:p>
        </w:tc>
        <w:tc>
          <w:tcPr>
            <w:tcW w:type="dxa" w:w="3345"/>
          </w:tcPr>
          <w:p>
            <w:pPr>
              <w:spacing w:after="0" w:line="252" w:lineRule="auto"/>
              <w:jc w:val="left"/>
            </w:pPr>
            <w:r>
              <w:rPr>
                <w:rFonts w:ascii="Calibri" w:hAnsi="Calibri"/>
                <w:color w:val="1A1A1A"/>
                <w:sz w:val="17"/>
              </w:rPr>
              <w:t>Record every stage move with duration</w:t>
            </w:r>
          </w:p>
        </w:tc>
        <w:tc>
          <w:tcPr>
            <w:tcW w:type="dxa" w:w="3061"/>
          </w:tcPr>
          <w:p>
            <w:pPr>
              <w:spacing w:after="0" w:line="252" w:lineRule="auto"/>
              <w:jc w:val="left"/>
            </w:pPr>
            <w:r>
              <w:rPr>
                <w:rFonts w:ascii="Calibri" w:hAnsi="Calibri"/>
                <w:color w:val="1A1A1A"/>
                <w:sz w:val="17"/>
              </w:rPr>
              <w:t>Time in each stage is computed by the database</w:t>
            </w:r>
          </w:p>
        </w:tc>
        <w:tc>
          <w:tcPr>
            <w:tcW w:type="dxa" w:w="1020"/>
          </w:tcPr>
          <w:p>
            <w:pPr>
              <w:spacing w:after="0" w:line="252" w:lineRule="auto"/>
              <w:jc w:val="left"/>
            </w:pPr>
            <w:r>
              <w:rPr>
                <w:rFonts w:ascii="Calibri" w:hAnsi="Calibri"/>
                <w:b/>
                <w:color w:val="1E6B33"/>
                <w:sz w:val="17"/>
              </w:rPr>
              <w:t>EXISTS</w:t>
            </w:r>
          </w:p>
        </w:tc>
        <w:tc>
          <w:tcPr>
            <w:tcW w:type="dxa" w:w="1928"/>
          </w:tcPr>
          <w:p>
            <w:pPr>
              <w:spacing w:after="0" w:line="252" w:lineRule="auto"/>
              <w:jc w:val="left"/>
            </w:pPr>
            <w:r>
              <w:rPr>
                <w:rFonts w:ascii="Consolas" w:hAnsi="Consolas"/>
                <w:color w:val="8B2E2E"/>
                <w:sz w:val="17"/>
              </w:rPr>
              <w:t>project_stage_history.durationHours</w:t>
            </w:r>
          </w:p>
        </w:tc>
      </w:tr>
      <w:tr>
        <w:tc>
          <w:tcPr>
            <w:tcW w:type="dxa" w:w="964"/>
            <w:shd w:val="clear" w:color="auto" w:fill="FAFBFC"/>
          </w:tcPr>
          <w:p>
            <w:pPr>
              <w:spacing w:after="0" w:line="252" w:lineRule="auto"/>
              <w:jc w:val="left"/>
            </w:pPr>
            <w:r>
              <w:rPr>
                <w:rFonts w:ascii="Calibri" w:hAnsi="Calibri"/>
                <w:color w:val="1A1A1A"/>
                <w:sz w:val="17"/>
              </w:rPr>
              <w:t>FR-P6-04</w:t>
            </w:r>
          </w:p>
        </w:tc>
        <w:tc>
          <w:tcPr>
            <w:tcW w:type="dxa" w:w="3345"/>
            <w:shd w:val="clear" w:color="auto" w:fill="FAFBFC"/>
          </w:tcPr>
          <w:p>
            <w:pPr>
              <w:spacing w:after="0" w:line="252" w:lineRule="auto"/>
              <w:jc w:val="left"/>
            </w:pPr>
            <w:r>
              <w:rPr>
                <w:rFonts w:ascii="Calibri" w:hAnsi="Calibri"/>
                <w:color w:val="1A1A1A"/>
                <w:sz w:val="17"/>
              </w:rPr>
              <w:t>Define milestones with committed dates, linked to contract billing triggers</w:t>
            </w:r>
          </w:p>
        </w:tc>
        <w:tc>
          <w:tcPr>
            <w:tcW w:type="dxa" w:w="3061"/>
            <w:shd w:val="clear" w:color="auto" w:fill="FAFBFC"/>
          </w:tcPr>
          <w:p>
            <w:pPr>
              <w:spacing w:after="0" w:line="252" w:lineRule="auto"/>
              <w:jc w:val="left"/>
            </w:pPr>
            <w:r>
              <w:rPr>
                <w:rFonts w:ascii="Calibri" w:hAnsi="Calibri"/>
                <w:color w:val="1A1A1A"/>
                <w:sz w:val="17"/>
              </w:rPr>
              <w:t>A milestone can be marked complete, and completion emits an event Pillar 7 consumes</w:t>
            </w:r>
          </w:p>
        </w:tc>
        <w:tc>
          <w:tcPr>
            <w:tcW w:type="dxa" w:w="1020"/>
            <w:shd w:val="clear" w:color="auto" w:fill="FAFBFC"/>
          </w:tcPr>
          <w:p>
            <w:pPr>
              <w:spacing w:after="0" w:line="252" w:lineRule="auto"/>
              <w:jc w:val="left"/>
            </w:pPr>
            <w:r>
              <w:rPr>
                <w:rFonts w:ascii="Calibri" w:hAnsi="Calibri"/>
                <w:b/>
                <w:color w:val="1F4E79"/>
                <w:sz w:val="17"/>
              </w:rPr>
              <w:t>NEW</w:t>
            </w:r>
            <w:r>
              <w:rPr>
                <w:rFonts w:ascii="Calibri" w:hAnsi="Calibri"/>
                <w:color w:val="1F4E79"/>
                <w:sz w:val="17"/>
              </w:rPr>
              <w:t xml:space="preserve"> — no milestone concept exists</w:t>
            </w:r>
          </w:p>
        </w:tc>
        <w:tc>
          <w:tcPr>
            <w:tcW w:type="dxa" w:w="1928"/>
            <w:shd w:val="clear" w:color="auto" w:fill="FAFBFC"/>
          </w:tcPr>
          <w:p>
            <w:pPr>
              <w:spacing w:after="0" w:line="252" w:lineRule="auto"/>
              <w:jc w:val="left"/>
            </w:pPr>
            <w:r>
              <w:rPr>
                <w:rFonts w:ascii="Calibri" w:hAnsi="Calibri"/>
                <w:color w:val="1A1A1A"/>
                <w:sz w:val="17"/>
              </w:rPr>
              <w:t xml:space="preserve">New </w:t>
            </w:r>
            <w:r>
              <w:rPr>
                <w:rFonts w:ascii="Consolas" w:hAnsi="Consolas"/>
                <w:color w:val="8B2E2E"/>
                <w:sz w:val="17"/>
              </w:rPr>
              <w:t>engagement_milestones</w:t>
            </w:r>
          </w:p>
        </w:tc>
      </w:tr>
      <w:tr>
        <w:tc>
          <w:tcPr>
            <w:tcW w:type="dxa" w:w="964"/>
          </w:tcPr>
          <w:p>
            <w:pPr>
              <w:spacing w:after="0" w:line="252" w:lineRule="auto"/>
              <w:jc w:val="left"/>
            </w:pPr>
            <w:r>
              <w:rPr>
                <w:rFonts w:ascii="Calibri" w:hAnsi="Calibri"/>
                <w:color w:val="1A1A1A"/>
                <w:sz w:val="17"/>
              </w:rPr>
              <w:t>FR-P6-05</w:t>
            </w:r>
          </w:p>
        </w:tc>
        <w:tc>
          <w:tcPr>
            <w:tcW w:type="dxa" w:w="3345"/>
          </w:tcPr>
          <w:p>
            <w:pPr>
              <w:spacing w:after="0" w:line="252" w:lineRule="auto"/>
              <w:jc w:val="left"/>
            </w:pPr>
            <w:r>
              <w:rPr>
                <w:rFonts w:ascii="Calibri" w:hAnsi="Calibri"/>
                <w:color w:val="1A1A1A"/>
                <w:sz w:val="17"/>
              </w:rPr>
              <w:t>Define deliverables with acceptance criteria and client-side sign-off status</w:t>
            </w:r>
          </w:p>
        </w:tc>
        <w:tc>
          <w:tcPr>
            <w:tcW w:type="dxa" w:w="3061"/>
          </w:tcPr>
          <w:p>
            <w:pPr>
              <w:spacing w:after="0" w:line="252" w:lineRule="auto"/>
              <w:jc w:val="left"/>
            </w:pPr>
            <w:r>
              <w:rPr>
                <w:rFonts w:ascii="Calibri" w:hAnsi="Calibri"/>
                <w:color w:val="1A1A1A"/>
                <w:sz w:val="17"/>
              </w:rPr>
              <w:t>A deliverable moves draft → submitted → accepted / rejected, with the client-side acceptor and date</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 xml:space="preserve">New </w:t>
            </w:r>
            <w:r>
              <w:rPr>
                <w:rFonts w:ascii="Consolas" w:hAnsi="Consolas"/>
                <w:color w:val="8B2E2E"/>
                <w:sz w:val="17"/>
              </w:rPr>
              <w:t>deliverables</w:t>
            </w:r>
          </w:p>
        </w:tc>
      </w:tr>
      <w:tr>
        <w:tc>
          <w:tcPr>
            <w:tcW w:type="dxa" w:w="964"/>
            <w:shd w:val="clear" w:color="auto" w:fill="FAFBFC"/>
          </w:tcPr>
          <w:p>
            <w:pPr>
              <w:spacing w:after="0" w:line="252" w:lineRule="auto"/>
              <w:jc w:val="left"/>
            </w:pPr>
            <w:r>
              <w:rPr>
                <w:rFonts w:ascii="Calibri" w:hAnsi="Calibri"/>
                <w:color w:val="1A1A1A"/>
                <w:sz w:val="17"/>
              </w:rPr>
              <w:t>FR-P6-06</w:t>
            </w:r>
          </w:p>
        </w:tc>
        <w:tc>
          <w:tcPr>
            <w:tcW w:type="dxa" w:w="3345"/>
            <w:shd w:val="clear" w:color="auto" w:fill="FAFBFC"/>
          </w:tcPr>
          <w:p>
            <w:pPr>
              <w:spacing w:after="0" w:line="252" w:lineRule="auto"/>
              <w:jc w:val="left"/>
            </w:pPr>
            <w:r>
              <w:rPr>
                <w:rFonts w:ascii="Calibri" w:hAnsi="Calibri"/>
                <w:color w:val="1A1A1A"/>
                <w:sz w:val="17"/>
              </w:rPr>
              <w:t>Track client-side dependencies and blockers separately from internal work</w:t>
            </w:r>
          </w:p>
        </w:tc>
        <w:tc>
          <w:tcPr>
            <w:tcW w:type="dxa" w:w="3061"/>
            <w:shd w:val="clear" w:color="auto" w:fill="FAFBFC"/>
          </w:tcPr>
          <w:p>
            <w:pPr>
              <w:spacing w:after="0" w:line="252" w:lineRule="auto"/>
              <w:jc w:val="left"/>
            </w:pPr>
            <w:r>
              <w:rPr>
                <w:rFonts w:ascii="Calibri" w:hAnsi="Calibri"/>
                <w:color w:val="1A1A1A"/>
                <w:sz w:val="17"/>
              </w:rPr>
              <w:t>A blocked engagement names whether the blocker is ours or the client's</w:t>
            </w:r>
          </w:p>
        </w:tc>
        <w:tc>
          <w:tcPr>
            <w:tcW w:type="dxa" w:w="1020"/>
            <w:shd w:val="clear" w:color="auto" w:fill="FAFBFC"/>
          </w:tcPr>
          <w:p>
            <w:pPr>
              <w:spacing w:after="0" w:line="252" w:lineRule="auto"/>
              <w:jc w:val="left"/>
            </w:pPr>
            <w:r>
              <w:rPr>
                <w:rFonts w:ascii="Calibri" w:hAnsi="Calibri"/>
                <w:b/>
                <w:color w:val="9A5B00"/>
                <w:sz w:val="17"/>
              </w:rPr>
              <w:t>PARTIAL</w:t>
            </w:r>
            <w:r>
              <w:rPr>
                <w:rFonts w:ascii="Calibri" w:hAnsi="Calibri"/>
                <w:color w:val="9A5B00"/>
                <w:sz w:val="17"/>
              </w:rPr>
              <w:t xml:space="preserve"> — tasks have a </w:t>
            </w:r>
            <w:r>
              <w:rPr>
                <w:rFonts w:ascii="Consolas" w:hAnsi="Consolas"/>
                <w:color w:val="8B2E2E"/>
                <w:sz w:val="17"/>
              </w:rPr>
              <w:t>blocked</w:t>
            </w:r>
            <w:r>
              <w:rPr>
                <w:rFonts w:ascii="Calibri" w:hAnsi="Calibri"/>
                <w:color w:val="9A5B00"/>
                <w:sz w:val="17"/>
              </w:rPr>
              <w:t xml:space="preserve"> status but no ownership attribution</w:t>
            </w:r>
          </w:p>
        </w:tc>
        <w:tc>
          <w:tcPr>
            <w:tcW w:type="dxa" w:w="1928"/>
            <w:shd w:val="clear" w:color="auto" w:fill="FAFBFC"/>
          </w:tcPr>
          <w:p>
            <w:pPr>
              <w:spacing w:after="0" w:line="252" w:lineRule="auto"/>
              <w:jc w:val="left"/>
            </w:pPr>
            <w:r>
              <w:rPr>
                <w:rFonts w:ascii="Consolas" w:hAnsi="Consolas"/>
                <w:color w:val="8B2E2E"/>
                <w:sz w:val="17"/>
              </w:rPr>
              <w:t>project_tasks</w:t>
            </w:r>
          </w:p>
        </w:tc>
      </w:tr>
      <w:tr>
        <w:tc>
          <w:tcPr>
            <w:tcW w:type="dxa" w:w="964"/>
          </w:tcPr>
          <w:p>
            <w:pPr>
              <w:spacing w:after="0" w:line="252" w:lineRule="auto"/>
              <w:jc w:val="left"/>
            </w:pPr>
            <w:r>
              <w:rPr>
                <w:rFonts w:ascii="Calibri" w:hAnsi="Calibri"/>
                <w:color w:val="1A1A1A"/>
                <w:sz w:val="17"/>
              </w:rPr>
              <w:t>FR-P6-07</w:t>
            </w:r>
          </w:p>
        </w:tc>
        <w:tc>
          <w:tcPr>
            <w:tcW w:type="dxa" w:w="3345"/>
          </w:tcPr>
          <w:p>
            <w:pPr>
              <w:spacing w:after="0" w:line="252" w:lineRule="auto"/>
              <w:jc w:val="left"/>
            </w:pPr>
            <w:r>
              <w:rPr>
                <w:rFonts w:ascii="Calibri" w:hAnsi="Calibri"/>
                <w:color w:val="1A1A1A"/>
                <w:sz w:val="17"/>
              </w:rPr>
              <w:t>Track progress against stage with a default per stage</w:t>
            </w:r>
          </w:p>
        </w:tc>
        <w:tc>
          <w:tcPr>
            <w:tcW w:type="dxa" w:w="3061"/>
          </w:tcPr>
          <w:p>
            <w:pPr>
              <w:spacing w:after="0" w:line="252" w:lineRule="auto"/>
              <w:jc w:val="left"/>
            </w:pPr>
            <w:r>
              <w:rPr>
                <w:rFonts w:ascii="Calibri" w:hAnsi="Calibri"/>
                <w:color w:val="1A1A1A"/>
                <w:sz w:val="17"/>
              </w:rPr>
              <w:t>Progress defaults to the stage's percentage and is manually overridable</w:t>
            </w:r>
          </w:p>
        </w:tc>
        <w:tc>
          <w:tcPr>
            <w:tcW w:type="dxa" w:w="1020"/>
          </w:tcPr>
          <w:p>
            <w:pPr>
              <w:spacing w:after="0" w:line="252" w:lineRule="auto"/>
              <w:jc w:val="left"/>
            </w:pPr>
            <w:r>
              <w:rPr>
                <w:rFonts w:ascii="Calibri" w:hAnsi="Calibri"/>
                <w:b/>
                <w:color w:val="1E6B33"/>
                <w:sz w:val="17"/>
              </w:rPr>
              <w:t>EXISTS</w:t>
            </w:r>
          </w:p>
        </w:tc>
        <w:tc>
          <w:tcPr>
            <w:tcW w:type="dxa" w:w="1928"/>
          </w:tcPr>
          <w:p>
            <w:pPr>
              <w:spacing w:after="0" w:line="252" w:lineRule="auto"/>
              <w:jc w:val="left"/>
            </w:pPr>
            <w:r>
              <w:rPr>
                <w:rFonts w:ascii="Calibri" w:hAnsi="Calibri"/>
                <w:color w:val="1F4E79"/>
                <w:sz w:val="17"/>
                <w:u w:val="single"/>
              </w:rPr>
              <w:t>src/lib/projects.ts</w:t>
            </w:r>
          </w:p>
        </w:tc>
      </w:tr>
      <w:tr>
        <w:tc>
          <w:tcPr>
            <w:tcW w:type="dxa" w:w="964"/>
            <w:shd w:val="clear" w:color="auto" w:fill="FAFBFC"/>
          </w:tcPr>
          <w:p>
            <w:pPr>
              <w:spacing w:after="0" w:line="252" w:lineRule="auto"/>
              <w:jc w:val="left"/>
            </w:pPr>
            <w:r>
              <w:rPr>
                <w:rFonts w:ascii="Calibri" w:hAnsi="Calibri"/>
                <w:color w:val="1A1A1A"/>
                <w:sz w:val="17"/>
              </w:rPr>
              <w:t>FR-P6-08</w:t>
            </w:r>
          </w:p>
        </w:tc>
        <w:tc>
          <w:tcPr>
            <w:tcW w:type="dxa" w:w="3345"/>
            <w:shd w:val="clear" w:color="auto" w:fill="FAFBFC"/>
          </w:tcPr>
          <w:p>
            <w:pPr>
              <w:spacing w:after="0" w:line="252" w:lineRule="auto"/>
              <w:jc w:val="left"/>
            </w:pPr>
            <w:r>
              <w:rPr>
                <w:rFonts w:ascii="Calibri" w:hAnsi="Calibri"/>
                <w:color w:val="1A1A1A"/>
                <w:sz w:val="17"/>
              </w:rPr>
              <w:t xml:space="preserve">Flag schedule variance against the </w:t>
            </w:r>
            <w:r>
              <w:rPr>
                <w:rFonts w:ascii="Calibri" w:hAnsi="Calibri"/>
                <w:b/>
                <w:color w:val="1A1A1A"/>
                <w:sz w:val="17"/>
              </w:rPr>
              <w:t>committed</w:t>
            </w:r>
            <w:r>
              <w:rPr>
                <w:rFonts w:ascii="Calibri" w:hAnsi="Calibri"/>
                <w:color w:val="1A1A1A"/>
                <w:sz w:val="17"/>
              </w:rPr>
              <w:t xml:space="preserve"> date, with an attributed delay reason and a revised date</w:t>
            </w:r>
          </w:p>
        </w:tc>
        <w:tc>
          <w:tcPr>
            <w:tcW w:type="dxa" w:w="3061"/>
            <w:shd w:val="clear" w:color="auto" w:fill="FAFBFC"/>
          </w:tcPr>
          <w:p>
            <w:pPr>
              <w:spacing w:after="0" w:line="252" w:lineRule="auto"/>
              <w:jc w:val="left"/>
            </w:pPr>
            <w:r>
              <w:rPr>
                <w:rFonts w:ascii="Calibri" w:hAnsi="Calibri"/>
                <w:color w:val="1A1A1A"/>
                <w:sz w:val="17"/>
              </w:rPr>
              <w:t>A delay states its reason, its attribution, the original date and the revised one</w:t>
            </w:r>
          </w:p>
        </w:tc>
        <w:tc>
          <w:tcPr>
            <w:tcW w:type="dxa" w:w="1020"/>
            <w:shd w:val="clear" w:color="auto" w:fill="FAFBFC"/>
          </w:tcPr>
          <w:p>
            <w:pPr>
              <w:spacing w:after="0" w:line="252" w:lineRule="auto"/>
              <w:jc w:val="left"/>
            </w:pPr>
            <w:r>
              <w:rPr>
                <w:rFonts w:ascii="Calibri" w:hAnsi="Calibri"/>
                <w:b/>
                <w:color w:val="9A5B00"/>
                <w:sz w:val="17"/>
              </w:rPr>
              <w:t>PARTIAL</w:t>
            </w:r>
            <w:r>
              <w:rPr>
                <w:rFonts w:ascii="Calibri" w:hAnsi="Calibri"/>
                <w:color w:val="9A5B00"/>
                <w:sz w:val="17"/>
              </w:rPr>
              <w:t xml:space="preserve"> — </w:t>
            </w:r>
            <w:r>
              <w:rPr>
                <w:rFonts w:ascii="Consolas" w:hAnsi="Consolas"/>
                <w:color w:val="8B2E2E"/>
                <w:sz w:val="17"/>
              </w:rPr>
              <w:t>isDelayed</w:t>
            </w:r>
            <w:r>
              <w:rPr>
                <w:rFonts w:ascii="Calibri" w:hAnsi="Calibri"/>
                <w:color w:val="9A5B00"/>
                <w:sz w:val="17"/>
              </w:rPr>
              <w:t xml:space="preserve">, </w:t>
            </w:r>
            <w:r>
              <w:rPr>
                <w:rFonts w:ascii="Consolas" w:hAnsi="Consolas"/>
                <w:color w:val="8B2E2E"/>
                <w:sz w:val="17"/>
              </w:rPr>
              <w:t>delayReason</w:t>
            </w:r>
            <w:r>
              <w:rPr>
                <w:rFonts w:ascii="Calibri" w:hAnsi="Calibri"/>
                <w:color w:val="9A5B00"/>
                <w:sz w:val="17"/>
              </w:rPr>
              <w:t xml:space="preserve"> and </w:t>
            </w:r>
            <w:r>
              <w:rPr>
                <w:rFonts w:ascii="Consolas" w:hAnsi="Consolas"/>
                <w:color w:val="8B2E2E"/>
                <w:sz w:val="17"/>
              </w:rPr>
              <w:t>revisedEndDate</w:t>
            </w:r>
            <w:r>
              <w:rPr>
                <w:rFonts w:ascii="Calibri" w:hAnsi="Calibri"/>
                <w:color w:val="9A5B00"/>
                <w:sz w:val="17"/>
              </w:rPr>
              <w:t xml:space="preserve"> exist; attribution does not, and the committed date is overwritten</w:t>
            </w:r>
          </w:p>
        </w:tc>
        <w:tc>
          <w:tcPr>
            <w:tcW w:type="dxa" w:w="1928"/>
            <w:shd w:val="clear" w:color="auto" w:fill="FAFBFC"/>
          </w:tcPr>
          <w:p>
            <w:pPr>
              <w:spacing w:after="0" w:line="252" w:lineRule="auto"/>
              <w:jc w:val="left"/>
            </w:pPr>
            <w:r>
              <w:rPr>
                <w:rFonts w:ascii="Consolas" w:hAnsi="Consolas"/>
                <w:color w:val="8B2E2E"/>
                <w:sz w:val="17"/>
              </w:rPr>
              <w:t>projects</w:t>
            </w:r>
            <w:r>
              <w:rPr>
                <w:rFonts w:ascii="Calibri" w:hAnsi="Calibri"/>
                <w:color w:val="1A1A1A"/>
                <w:sz w:val="17"/>
              </w:rPr>
              <w:t xml:space="preserve">, </w:t>
            </w:r>
            <w:r>
              <w:rPr>
                <w:rFonts w:ascii="Consolas" w:hAnsi="Consolas"/>
                <w:color w:val="8B2E2E"/>
                <w:sz w:val="17"/>
              </w:rPr>
              <w:t>detectDelayedProjects</w:t>
            </w:r>
          </w:p>
        </w:tc>
      </w:tr>
      <w:tr>
        <w:tc>
          <w:tcPr>
            <w:tcW w:type="dxa" w:w="964"/>
          </w:tcPr>
          <w:p>
            <w:pPr>
              <w:spacing w:after="0" w:line="252" w:lineRule="auto"/>
              <w:jc w:val="left"/>
            </w:pPr>
            <w:r>
              <w:rPr>
                <w:rFonts w:ascii="Calibri" w:hAnsi="Calibri"/>
                <w:color w:val="1A1A1A"/>
                <w:sz w:val="17"/>
              </w:rPr>
              <w:t>FR-P6-09</w:t>
            </w:r>
          </w:p>
        </w:tc>
        <w:tc>
          <w:tcPr>
            <w:tcW w:type="dxa" w:w="3345"/>
          </w:tcPr>
          <w:p>
            <w:pPr>
              <w:spacing w:after="0" w:line="252" w:lineRule="auto"/>
              <w:jc w:val="left"/>
            </w:pPr>
            <w:r>
              <w:rPr>
                <w:rFonts w:ascii="Calibri" w:hAnsi="Calibri"/>
                <w:color w:val="1A1A1A"/>
                <w:sz w:val="17"/>
              </w:rPr>
              <w:t>Maintain a task list with compliance-specific categories</w:t>
            </w:r>
          </w:p>
        </w:tc>
        <w:tc>
          <w:tcPr>
            <w:tcW w:type="dxa" w:w="3061"/>
          </w:tcPr>
          <w:p>
            <w:pPr>
              <w:spacing w:after="0" w:line="252" w:lineRule="auto"/>
              <w:jc w:val="left"/>
            </w:pPr>
            <w:r>
              <w:rPr>
                <w:rFonts w:ascii="Calibri" w:hAnsi="Calibri"/>
                <w:color w:val="1A1A1A"/>
                <w:sz w:val="17"/>
              </w:rPr>
              <w:t>Documentation, evidence collection, gap remediation, audit prep, policy, training and review are selectable</w:t>
            </w:r>
          </w:p>
        </w:tc>
        <w:tc>
          <w:tcPr>
            <w:tcW w:type="dxa" w:w="1020"/>
          </w:tcPr>
          <w:p>
            <w:pPr>
              <w:spacing w:after="0" w:line="252" w:lineRule="auto"/>
              <w:jc w:val="left"/>
            </w:pPr>
            <w:r>
              <w:rPr>
                <w:rFonts w:ascii="Calibri" w:hAnsi="Calibri"/>
                <w:b/>
                <w:color w:val="1E6B33"/>
                <w:sz w:val="17"/>
              </w:rPr>
              <w:t>EXISTS</w:t>
            </w:r>
          </w:p>
        </w:tc>
        <w:tc>
          <w:tcPr>
            <w:tcW w:type="dxa" w:w="1928"/>
          </w:tcPr>
          <w:p>
            <w:pPr>
              <w:spacing w:after="0" w:line="252" w:lineRule="auto"/>
              <w:jc w:val="left"/>
            </w:pPr>
            <w:r>
              <w:rPr>
                <w:rFonts w:ascii="Consolas" w:hAnsi="Consolas"/>
                <w:color w:val="8B2E2E"/>
                <w:sz w:val="17"/>
              </w:rPr>
              <w:t>ProjectTaskCategory</w:t>
            </w:r>
          </w:p>
        </w:tc>
      </w:tr>
      <w:tr>
        <w:tc>
          <w:tcPr>
            <w:tcW w:type="dxa" w:w="964"/>
            <w:shd w:val="clear" w:color="auto" w:fill="FAFBFC"/>
          </w:tcPr>
          <w:p>
            <w:pPr>
              <w:spacing w:after="0" w:line="252" w:lineRule="auto"/>
              <w:jc w:val="left"/>
            </w:pPr>
            <w:r>
              <w:rPr>
                <w:rFonts w:ascii="Calibri" w:hAnsi="Calibri"/>
                <w:color w:val="1A1A1A"/>
                <w:sz w:val="17"/>
              </w:rPr>
              <w:t>FR-P6-10</w:t>
            </w:r>
          </w:p>
        </w:tc>
        <w:tc>
          <w:tcPr>
            <w:tcW w:type="dxa" w:w="3345"/>
            <w:shd w:val="clear" w:color="auto" w:fill="FAFBFC"/>
          </w:tcPr>
          <w:p>
            <w:pPr>
              <w:spacing w:after="0" w:line="252" w:lineRule="auto"/>
              <w:jc w:val="left"/>
            </w:pPr>
            <w:r>
              <w:rPr>
                <w:rFonts w:ascii="Calibri" w:hAnsi="Calibri"/>
                <w:color w:val="1A1A1A"/>
                <w:sz w:val="17"/>
              </w:rPr>
              <w:t>Maintain engagement team membership with roles</w:t>
            </w:r>
          </w:p>
        </w:tc>
        <w:tc>
          <w:tcPr>
            <w:tcW w:type="dxa" w:w="3061"/>
            <w:shd w:val="clear" w:color="auto" w:fill="FAFBFC"/>
          </w:tcPr>
          <w:p>
            <w:pPr>
              <w:spacing w:after="0" w:line="252" w:lineRule="auto"/>
              <w:jc w:val="left"/>
            </w:pPr>
            <w:r>
              <w:rPr>
                <w:rFonts w:ascii="Calibri" w:hAnsi="Calibri"/>
                <w:color w:val="1A1A1A"/>
                <w:sz w:val="17"/>
              </w:rPr>
              <w:t>Lead, member, reviewer and consultant are assignable and grant visibility</w:t>
            </w:r>
          </w:p>
        </w:tc>
        <w:tc>
          <w:tcPr>
            <w:tcW w:type="dxa" w:w="1020"/>
            <w:shd w:val="clear" w:color="auto" w:fill="FAFBFC"/>
          </w:tcPr>
          <w:p>
            <w:pPr>
              <w:spacing w:after="0" w:line="252" w:lineRule="auto"/>
              <w:jc w:val="left"/>
            </w:pPr>
            <w:r>
              <w:rPr>
                <w:rFonts w:ascii="Calibri" w:hAnsi="Calibri"/>
                <w:b/>
                <w:color w:val="1E6B33"/>
                <w:sz w:val="17"/>
              </w:rPr>
              <w:t>EXISTS</w:t>
            </w:r>
          </w:p>
        </w:tc>
        <w:tc>
          <w:tcPr>
            <w:tcW w:type="dxa" w:w="1928"/>
            <w:shd w:val="clear" w:color="auto" w:fill="FAFBFC"/>
          </w:tcPr>
          <w:p>
            <w:pPr>
              <w:spacing w:after="0" w:line="252" w:lineRule="auto"/>
              <w:jc w:val="left"/>
            </w:pPr>
            <w:r>
              <w:rPr>
                <w:rFonts w:ascii="Consolas" w:hAnsi="Consolas"/>
                <w:color w:val="8B2E2E"/>
                <w:sz w:val="17"/>
              </w:rPr>
              <w:t>project_members</w:t>
            </w:r>
          </w:p>
        </w:tc>
      </w:tr>
      <w:tr>
        <w:tc>
          <w:tcPr>
            <w:tcW w:type="dxa" w:w="964"/>
          </w:tcPr>
          <w:p>
            <w:pPr>
              <w:spacing w:after="0" w:line="252" w:lineRule="auto"/>
              <w:jc w:val="left"/>
            </w:pPr>
            <w:r>
              <w:rPr>
                <w:rFonts w:ascii="Calibri" w:hAnsi="Calibri"/>
                <w:color w:val="1A1A1A"/>
                <w:sz w:val="17"/>
              </w:rPr>
              <w:t>FR-P6-11</w:t>
            </w:r>
          </w:p>
        </w:tc>
        <w:tc>
          <w:tcPr>
            <w:tcW w:type="dxa" w:w="3345"/>
          </w:tcPr>
          <w:p>
            <w:pPr>
              <w:spacing w:after="0" w:line="252" w:lineRule="auto"/>
              <w:jc w:val="left"/>
            </w:pPr>
            <w:r>
              <w:rPr>
                <w:rFonts w:ascii="Calibri" w:hAnsi="Calibri"/>
                <w:color w:val="1A1A1A"/>
                <w:sz w:val="17"/>
              </w:rPr>
              <w:t>Record the outcome: audit result, certification achieved, its validity period, exceptions and observations carried forward</w:t>
            </w:r>
          </w:p>
        </w:tc>
        <w:tc>
          <w:tcPr>
            <w:tcW w:type="dxa" w:w="3061"/>
          </w:tcPr>
          <w:p>
            <w:pPr>
              <w:spacing w:after="0" w:line="252" w:lineRule="auto"/>
              <w:jc w:val="left"/>
            </w:pPr>
            <w:r>
              <w:rPr>
                <w:rFonts w:ascii="Calibri" w:hAnsi="Calibri"/>
                <w:color w:val="1A1A1A"/>
                <w:sz w:val="17"/>
              </w:rPr>
              <w:t>A certified engagement records what was certified, until when, and with what exceptions</w:t>
            </w:r>
          </w:p>
        </w:tc>
        <w:tc>
          <w:tcPr>
            <w:tcW w:type="dxa" w:w="1020"/>
          </w:tcPr>
          <w:p>
            <w:pPr>
              <w:spacing w:after="0" w:line="252" w:lineRule="auto"/>
              <w:jc w:val="left"/>
            </w:pPr>
            <w:r>
              <w:rPr>
                <w:rFonts w:ascii="Calibri" w:hAnsi="Calibri"/>
                <w:b/>
                <w:color w:val="1F4E79"/>
                <w:sz w:val="17"/>
              </w:rPr>
              <w:t>NEW</w:t>
            </w:r>
            <w:r>
              <w:rPr>
                <w:rFonts w:ascii="Calibri" w:hAnsi="Calibri"/>
                <w:color w:val="1F4E79"/>
                <w:sz w:val="17"/>
              </w:rPr>
              <w:t xml:space="preserve"> — </w:t>
            </w:r>
            <w:r>
              <w:rPr>
                <w:rFonts w:ascii="Consolas" w:hAnsi="Consolas"/>
                <w:color w:val="8B2E2E"/>
                <w:sz w:val="17"/>
              </w:rPr>
              <w:t>certified</w:t>
            </w:r>
            <w:r>
              <w:rPr>
                <w:rFonts w:ascii="Calibri" w:hAnsi="Calibri"/>
                <w:color w:val="1F4E79"/>
                <w:sz w:val="17"/>
              </w:rPr>
              <w:t xml:space="preserve"> is a stage value with no outcome record behind it</w:t>
            </w:r>
          </w:p>
        </w:tc>
        <w:tc>
          <w:tcPr>
            <w:tcW w:type="dxa" w:w="1928"/>
          </w:tcPr>
          <w:p>
            <w:pPr>
              <w:spacing w:after="0" w:line="252" w:lineRule="auto"/>
              <w:jc w:val="left"/>
            </w:pPr>
            <w:r>
              <w:rPr>
                <w:rFonts w:ascii="Calibri" w:hAnsi="Calibri"/>
                <w:color w:val="1A1A1A"/>
                <w:sz w:val="17"/>
              </w:rPr>
              <w:t xml:space="preserve">New </w:t>
            </w:r>
            <w:r>
              <w:rPr>
                <w:rFonts w:ascii="Consolas" w:hAnsi="Consolas"/>
                <w:color w:val="8B2E2E"/>
                <w:sz w:val="17"/>
              </w:rPr>
              <w:t>engagement_outcomes</w:t>
            </w:r>
          </w:p>
        </w:tc>
      </w:tr>
      <w:tr>
        <w:tc>
          <w:tcPr>
            <w:tcW w:type="dxa" w:w="964"/>
            <w:shd w:val="clear" w:color="auto" w:fill="FAFBFC"/>
          </w:tcPr>
          <w:p>
            <w:pPr>
              <w:spacing w:after="0" w:line="252" w:lineRule="auto"/>
              <w:jc w:val="left"/>
            </w:pPr>
            <w:r>
              <w:rPr>
                <w:rFonts w:ascii="Calibri" w:hAnsi="Calibri"/>
                <w:color w:val="1A1A1A"/>
                <w:sz w:val="17"/>
              </w:rPr>
              <w:t>FR-P6-12</w:t>
            </w:r>
          </w:p>
        </w:tc>
        <w:tc>
          <w:tcPr>
            <w:tcW w:type="dxa" w:w="3345"/>
            <w:shd w:val="clear" w:color="auto" w:fill="FAFBFC"/>
          </w:tcPr>
          <w:p>
            <w:pPr>
              <w:spacing w:after="0" w:line="252" w:lineRule="auto"/>
              <w:jc w:val="left"/>
            </w:pPr>
            <w:r>
              <w:rPr>
                <w:rFonts w:ascii="Calibri" w:hAnsi="Calibri"/>
                <w:color w:val="1A1A1A"/>
                <w:sz w:val="17"/>
              </w:rPr>
              <w:t>Surface the commercial consequence of a delay — which billing milestone moves with it and by how much</w:t>
            </w:r>
          </w:p>
        </w:tc>
        <w:tc>
          <w:tcPr>
            <w:tcW w:type="dxa" w:w="3061"/>
            <w:shd w:val="clear" w:color="auto" w:fill="FAFBFC"/>
          </w:tcPr>
          <w:p>
            <w:pPr>
              <w:spacing w:after="0" w:line="252" w:lineRule="auto"/>
              <w:jc w:val="left"/>
            </w:pPr>
            <w:r>
              <w:rPr>
                <w:rFonts w:ascii="Calibri" w:hAnsi="Calibri"/>
                <w:color w:val="1A1A1A"/>
                <w:sz w:val="17"/>
              </w:rPr>
              <w:t>A delayed engagement shows the revenue timing impact, not only the schedule impact</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P6 to P7 to P8</w:t>
            </w:r>
          </w:p>
        </w:tc>
      </w:tr>
      <w:tr>
        <w:tc>
          <w:tcPr>
            <w:tcW w:type="dxa" w:w="964"/>
          </w:tcPr>
          <w:p>
            <w:pPr>
              <w:spacing w:after="0" w:line="252" w:lineRule="auto"/>
              <w:jc w:val="left"/>
            </w:pPr>
            <w:r>
              <w:rPr>
                <w:rFonts w:ascii="Calibri" w:hAnsi="Calibri"/>
                <w:color w:val="1A1A1A"/>
                <w:sz w:val="17"/>
              </w:rPr>
              <w:t>FR-P6-13</w:t>
            </w:r>
          </w:p>
        </w:tc>
        <w:tc>
          <w:tcPr>
            <w:tcW w:type="dxa" w:w="3345"/>
          </w:tcPr>
          <w:p>
            <w:pPr>
              <w:spacing w:after="0" w:line="252" w:lineRule="auto"/>
              <w:jc w:val="left"/>
            </w:pPr>
            <w:r>
              <w:rPr>
                <w:rFonts w:ascii="Calibri" w:hAnsi="Calibri"/>
                <w:color w:val="1A1A1A"/>
                <w:sz w:val="17"/>
              </w:rPr>
              <w:t>Raise change requests to Pillar 5 when delivery discovers scope movement</w:t>
            </w:r>
          </w:p>
        </w:tc>
        <w:tc>
          <w:tcPr>
            <w:tcW w:type="dxa" w:w="3061"/>
          </w:tcPr>
          <w:p>
            <w:pPr>
              <w:spacing w:after="0" w:line="252" w:lineRule="auto"/>
              <w:jc w:val="left"/>
            </w:pPr>
            <w:r>
              <w:rPr>
                <w:rFonts w:ascii="Calibri" w:hAnsi="Calibri"/>
                <w:color w:val="1A1A1A"/>
                <w:sz w:val="17"/>
              </w:rPr>
              <w:t>A change request created in delivery becomes a change order candidate in the contract</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P6 to P5</w:t>
            </w:r>
          </w:p>
        </w:tc>
      </w:tr>
      <w:tr>
        <w:tc>
          <w:tcPr>
            <w:tcW w:type="dxa" w:w="964"/>
            <w:shd w:val="clear" w:color="auto" w:fill="FAFBFC"/>
          </w:tcPr>
          <w:p>
            <w:pPr>
              <w:spacing w:after="0" w:line="252" w:lineRule="auto"/>
              <w:jc w:val="left"/>
            </w:pPr>
            <w:r>
              <w:rPr>
                <w:rFonts w:ascii="Calibri" w:hAnsi="Calibri"/>
                <w:color w:val="1A1A1A"/>
                <w:sz w:val="17"/>
              </w:rPr>
              <w:t>FR-P6-14</w:t>
            </w:r>
          </w:p>
        </w:tc>
        <w:tc>
          <w:tcPr>
            <w:tcW w:type="dxa" w:w="3345"/>
            <w:shd w:val="clear" w:color="auto" w:fill="FAFBFC"/>
          </w:tcPr>
          <w:p>
            <w:pPr>
              <w:spacing w:after="0" w:line="252" w:lineRule="auto"/>
              <w:jc w:val="left"/>
            </w:pPr>
            <w:r>
              <w:rPr>
                <w:rFonts w:ascii="Calibri" w:hAnsi="Calibri"/>
                <w:color w:val="1A1A1A"/>
                <w:sz w:val="17"/>
              </w:rPr>
              <w:t>Let collection status gate further work where the contract says it should</w:t>
            </w:r>
          </w:p>
        </w:tc>
        <w:tc>
          <w:tcPr>
            <w:tcW w:type="dxa" w:w="3061"/>
            <w:shd w:val="clear" w:color="auto" w:fill="FAFBFC"/>
          </w:tcPr>
          <w:p>
            <w:pPr>
              <w:spacing w:after="0" w:line="252" w:lineRule="auto"/>
              <w:jc w:val="left"/>
            </w:pPr>
            <w:r>
              <w:rPr>
                <w:rFonts w:ascii="Calibri" w:hAnsi="Calibri"/>
                <w:color w:val="1A1A1A"/>
                <w:sz w:val="17"/>
              </w:rPr>
              <w:t>An engagement can be paused on an overdue receivable, with the pause recorded and reversible</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P7 to P6</w:t>
            </w:r>
          </w:p>
        </w:tc>
      </w:tr>
      <w:tr>
        <w:tc>
          <w:tcPr>
            <w:tcW w:type="dxa" w:w="964"/>
          </w:tcPr>
          <w:p>
            <w:pPr>
              <w:spacing w:after="0" w:line="252" w:lineRule="auto"/>
              <w:jc w:val="left"/>
            </w:pPr>
            <w:r>
              <w:rPr>
                <w:rFonts w:ascii="Calibri" w:hAnsi="Calibri"/>
                <w:color w:val="1A1A1A"/>
                <w:sz w:val="17"/>
              </w:rPr>
              <w:t>FR-P6-15</w:t>
            </w:r>
          </w:p>
        </w:tc>
        <w:tc>
          <w:tcPr>
            <w:tcW w:type="dxa" w:w="3345"/>
          </w:tcPr>
          <w:p>
            <w:pPr>
              <w:spacing w:after="0" w:line="252" w:lineRule="auto"/>
              <w:jc w:val="left"/>
            </w:pPr>
            <w:r>
              <w:rPr>
                <w:rFonts w:ascii="Calibri" w:hAnsi="Calibri"/>
                <w:color w:val="1A1A1A"/>
                <w:sz w:val="17"/>
              </w:rPr>
              <w:t>Publish certification outcomes and reference potential back to Pillars 1, 2 and 3</w:t>
            </w:r>
          </w:p>
        </w:tc>
        <w:tc>
          <w:tcPr>
            <w:tcW w:type="dxa" w:w="3061"/>
          </w:tcPr>
          <w:p>
            <w:pPr>
              <w:spacing w:after="0" w:line="252" w:lineRule="auto"/>
              <w:jc w:val="left"/>
            </w:pPr>
            <w:r>
              <w:rPr>
                <w:rFonts w:ascii="Calibri" w:hAnsi="Calibri"/>
                <w:color w:val="1A1A1A"/>
                <w:sz w:val="17"/>
              </w:rPr>
              <w:t>A certified client is identifiable as a reference, and the partner who sourced it can see the outcome</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P6 to P1, P2, P3</w:t>
            </w:r>
          </w:p>
        </w:tc>
      </w:tr>
    </w:tbl>
    <w:p>
      <w:pPr>
        <w:spacing w:after="80"/>
      </w:pPr>
    </w:p>
    <w:p>
      <w:pPr>
        <w:spacing w:before="120" w:after="160"/>
        <w:ind w:left="198"/>
        <w:pBdr>
          <w:left w:val="single" w:sz="18" w:space="8" w:color="B08D57"/>
        </w:pBdr>
        <w:shd w:val="clear" w:color="auto" w:fill="F4F1E8"/>
      </w:pPr>
      <w:r>
        <w:rPr>
          <w:rFonts w:ascii="Calibri" w:hAnsi="Calibri"/>
          <w:b/>
          <w:color w:val="1A1A1A"/>
          <w:sz w:val="19"/>
        </w:rPr>
        <w:t>CONCRETE EXAMPLE</w:t>
      </w:r>
      <w:r>
        <w:rPr>
          <w:rFonts w:ascii="Calibri" w:hAnsi="Calibri"/>
          <w:color w:val="1A1A1A"/>
          <w:sz w:val="19"/>
        </w:rPr>
        <w:t xml:space="preserve">  The Northwind SOC 2 Type II engagement is in Remediation, 62% complete, eleven days behind its committed readiness date because three client-side evidence items are outstanding. The delay is attributed to a client dependency, the audit window is re-forecast, and the certification-linked 60% billing milestone moves with it — which is what makes the delay a commercial signal rather than only a delivery one.</w:t>
      </w:r>
    </w:p>
    <w:p>
      <w:pPr>
        <w:pStyle w:val="Heading3"/>
      </w:pPr>
      <w:r>
        <w:t>Features — Pillar 6</w:t>
      </w:r>
    </w:p>
    <w:p>
      <w:r>
        <w:rPr>
          <w:rFonts w:ascii="Calibri" w:hAnsi="Calibri"/>
          <w:color w:val="1A1A1A"/>
        </w:rPr>
        <w:t xml:space="preserve">Kanban and list views with drag-to-move stages · project detail with progress, delay flag and revised end date · compliance-categorised task list · team management with roles · stage history with durations · </w:t>
      </w:r>
      <w:r>
        <w:rPr>
          <w:rFonts w:ascii="Calibri" w:hAnsi="Calibri"/>
          <w:b/>
          <w:color w:val="1A1A1A"/>
        </w:rPr>
        <w:t>milestone plan with billing triggers (new)</w:t>
      </w:r>
      <w:r>
        <w:rPr>
          <w:rFonts w:ascii="Calibri" w:hAnsi="Calibri"/>
          <w:color w:val="1A1A1A"/>
        </w:rPr>
        <w:t xml:space="preserve"> · </w:t>
      </w:r>
      <w:r>
        <w:rPr>
          <w:rFonts w:ascii="Calibri" w:hAnsi="Calibri"/>
          <w:b/>
          <w:color w:val="1A1A1A"/>
        </w:rPr>
        <w:t>deliverable register with acceptance and sign-off (new)</w:t>
      </w:r>
      <w:r>
        <w:rPr>
          <w:rFonts w:ascii="Calibri" w:hAnsi="Calibri"/>
          <w:color w:val="1A1A1A"/>
        </w:rPr>
        <w:t xml:space="preserve"> · </w:t>
      </w:r>
      <w:r>
        <w:rPr>
          <w:rFonts w:ascii="Calibri" w:hAnsi="Calibri"/>
          <w:b/>
          <w:color w:val="1A1A1A"/>
        </w:rPr>
        <w:t>client dependency tracker (new)</w:t>
      </w:r>
      <w:r>
        <w:rPr>
          <w:rFonts w:ascii="Calibri" w:hAnsi="Calibri"/>
          <w:color w:val="1A1A1A"/>
        </w:rPr>
        <w:t xml:space="preserve"> · </w:t>
      </w:r>
      <w:r>
        <w:rPr>
          <w:rFonts w:ascii="Calibri" w:hAnsi="Calibri"/>
          <w:b/>
          <w:color w:val="1A1A1A"/>
        </w:rPr>
        <w:t>outcome and certification record with validity (new)</w:t>
      </w:r>
      <w:r>
        <w:rPr>
          <w:rFonts w:ascii="Calibri" w:hAnsi="Calibri"/>
          <w:color w:val="1A1A1A"/>
        </w:rPr>
        <w:t xml:space="preserve"> · </w:t>
      </w:r>
      <w:r>
        <w:rPr>
          <w:rFonts w:ascii="Calibri" w:hAnsi="Calibri"/>
          <w:b/>
          <w:color w:val="1A1A1A"/>
        </w:rPr>
        <w:t>commercial impact panel showing revenue timing at risk (new)</w:t>
      </w:r>
      <w:r>
        <w:rPr>
          <w:rFonts w:ascii="Calibri" w:hAnsi="Calibri"/>
          <w:color w:val="1A1A1A"/>
        </w:rPr>
        <w:t xml:space="preserve"> · </w:t>
      </w:r>
      <w:r>
        <w:rPr>
          <w:rFonts w:ascii="Calibri" w:hAnsi="Calibri"/>
          <w:b/>
          <w:color w:val="1A1A1A"/>
        </w:rPr>
        <w:t>change request flow into the contract (new)</w:t>
      </w:r>
      <w:r>
        <w:rPr>
          <w:rFonts w:ascii="Calibri" w:hAnsi="Calibri"/>
          <w:color w:val="1A1A1A"/>
        </w:rPr>
        <w:t>.</w:t>
      </w:r>
    </w:p>
    <w:p>
      <w:pPr>
        <w:pStyle w:val="Heading2"/>
      </w:pPr>
      <w:r>
        <w:t>Pillar 7 — Revenue &amp; Commercial Performance</w:t>
      </w:r>
    </w:p>
    <w:p>
      <w:pPr>
        <w:spacing w:before="120" w:after="160"/>
        <w:ind w:left="198"/>
        <w:pBdr>
          <w:left w:val="single" w:sz="18" w:space="8" w:color="B08D57"/>
        </w:pBdr>
        <w:shd w:val="clear" w:color="auto" w:fill="F4F1E8"/>
      </w:pPr>
      <w:r>
        <w:rPr>
          <w:rFonts w:ascii="Calibri" w:hAnsi="Calibri"/>
          <w:color w:val="1A1A1A"/>
          <w:sz w:val="19"/>
        </w:rPr>
        <w:t>### ⚠ NOT YET REVIEWED  The requirements below are the unvalidated initial draft. The pillar-by-pillar review reached Pillar 5 on 25 Aug 2026 and was paused to build the cost engine.</w:t>
      </w:r>
    </w:p>
    <w:p>
      <w:r>
        <w:rPr>
          <w:rFonts w:ascii="Calibri" w:hAnsi="Calibri"/>
          <w:i/>
          <w:color w:val="1A1A1A"/>
        </w:rPr>
        <w:t>What have we earned, what have we collected, and is the relationship profitable?</w:t>
      </w:r>
    </w:p>
    <w:p>
      <w:r>
        <w:rPr>
          <w:rFonts w:ascii="Calibri" w:hAnsi="Calibri"/>
          <w:color w:val="1A1A1A"/>
        </w:rPr>
        <w:t xml:space="preserve">Entirely new. The platform currently has exactly one money concept — </w:t>
      </w:r>
      <w:r>
        <w:rPr>
          <w:rFonts w:ascii="Consolas" w:hAnsi="Consolas"/>
          <w:color w:val="8B2E2E"/>
        </w:rPr>
        <w:t>deals_with_value.effective_value</w:t>
      </w:r>
      <w:r>
        <w:rPr>
          <w:rFonts w:ascii="Calibri" w:hAnsi="Calibri"/>
          <w:color w:val="1A1A1A"/>
        </w:rPr>
        <w:t xml:space="preserve"> — and it represents </w:t>
      </w:r>
      <w:r>
        <w:rPr>
          <w:rFonts w:ascii="Calibri" w:hAnsi="Calibri"/>
          <w:b/>
          <w:color w:val="1A1A1A"/>
        </w:rPr>
        <w:t>contracted</w:t>
      </w:r>
      <w:r>
        <w:rPr>
          <w:rFonts w:ascii="Calibri" w:hAnsi="Calibri"/>
          <w:color w:val="1A1A1A"/>
        </w:rPr>
        <w:t xml:space="preserve"> value only. There are no invoices, no receipts, no aging, no recognition, and no distinction between money agreed and money received.</w:t>
      </w:r>
    </w:p>
    <w:p>
      <w:pPr>
        <w:spacing w:before="120" w:after="160"/>
        <w:ind w:left="198"/>
        <w:pBdr>
          <w:left w:val="single" w:sz="18" w:space="8" w:color="B08D57"/>
        </w:pBdr>
        <w:shd w:val="clear" w:color="auto" w:fill="F4F1E8"/>
      </w:pPr>
      <w:r>
        <w:rPr>
          <w:rFonts w:ascii="Calibri" w:hAnsi="Calibri"/>
          <w:b/>
          <w:color w:val="1A1A1A"/>
          <w:sz w:val="19"/>
        </w:rPr>
        <w:t>ARCHITECTURE PRINCIPLE</w:t>
      </w:r>
      <w:r>
        <w:rPr>
          <w:rFonts w:ascii="Calibri" w:hAnsi="Calibri"/>
          <w:color w:val="1A1A1A"/>
          <w:sz w:val="19"/>
        </w:rPr>
        <w:t xml:space="preserve">  Bookings are not revenue, and revenue is not cash. Reporting a won deal as income overstates performance, hides collection risk, and makes forecasting unreliable.</w:t>
      </w:r>
    </w:p>
    <w:p>
      <w:pPr>
        <w:pStyle w:val="Heading3"/>
      </w:pPr>
      <w:r>
        <w:t>Revenue state model</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064"/>
        <w:gridCol w:w="2064"/>
        <w:gridCol w:w="2064"/>
        <w:gridCol w:w="2064"/>
        <w:gridCol w:w="2064"/>
      </w:tblGrid>
      <w:tr>
        <w:trPr>
          <w:tblHeader w:val="true"/>
        </w:trPr>
        <w:tc>
          <w:tcPr>
            <w:tcW w:type="dxa" w:w="964"/>
            <w:shd w:val="clear" w:color="auto" w:fill="E8EDF2"/>
          </w:tcPr>
          <w:p>
            <w:pPr>
              <w:spacing w:after="0"/>
              <w:jc w:val="left"/>
            </w:pPr>
            <w:r>
              <w:rPr>
                <w:rFonts w:ascii="Calibri" w:hAnsi="Calibri"/>
                <w:b/>
                <w:color w:val="1A1A1A"/>
                <w:sz w:val="17"/>
              </w:rPr>
              <w:t>ID</w:t>
            </w:r>
          </w:p>
        </w:tc>
        <w:tc>
          <w:tcPr>
            <w:tcW w:type="dxa" w:w="3345"/>
            <w:shd w:val="clear" w:color="auto" w:fill="E8EDF2"/>
          </w:tcPr>
          <w:p>
            <w:pPr>
              <w:spacing w:after="0"/>
              <w:jc w:val="left"/>
            </w:pPr>
            <w:r>
              <w:rPr>
                <w:rFonts w:ascii="Calibri" w:hAnsi="Calibri"/>
                <w:b/>
                <w:color w:val="1A1A1A"/>
                <w:sz w:val="17"/>
              </w:rPr>
              <w:t>Requirement</w:t>
            </w:r>
          </w:p>
        </w:tc>
        <w:tc>
          <w:tcPr>
            <w:tcW w:type="dxa" w:w="3061"/>
            <w:shd w:val="clear" w:color="auto" w:fill="E8EDF2"/>
          </w:tcPr>
          <w:p>
            <w:pPr>
              <w:spacing w:after="0"/>
              <w:jc w:val="left"/>
            </w:pPr>
            <w:r>
              <w:rPr>
                <w:rFonts w:ascii="Calibri" w:hAnsi="Calibri"/>
                <w:b/>
                <w:color w:val="1A1A1A"/>
                <w:sz w:val="17"/>
              </w:rPr>
              <w:t>Acceptance</w:t>
            </w:r>
          </w:p>
        </w:tc>
        <w:tc>
          <w:tcPr>
            <w:tcW w:type="dxa" w:w="1020"/>
            <w:shd w:val="clear" w:color="auto" w:fill="E8EDF2"/>
          </w:tcPr>
          <w:p>
            <w:pPr>
              <w:spacing w:after="0"/>
              <w:jc w:val="left"/>
            </w:pPr>
            <w:r>
              <w:rPr>
                <w:rFonts w:ascii="Calibri" w:hAnsi="Calibri"/>
                <w:b/>
                <w:color w:val="1A1A1A"/>
                <w:sz w:val="17"/>
              </w:rPr>
              <w:t>Status</w:t>
            </w:r>
          </w:p>
        </w:tc>
        <w:tc>
          <w:tcPr>
            <w:tcW w:type="dxa" w:w="1928"/>
            <w:shd w:val="clear" w:color="auto" w:fill="E8EDF2"/>
          </w:tcPr>
          <w:p>
            <w:pPr>
              <w:spacing w:after="0"/>
              <w:jc w:val="left"/>
            </w:pPr>
            <w:r>
              <w:rPr>
                <w:rFonts w:ascii="Calibri" w:hAnsi="Calibri"/>
                <w:b/>
                <w:color w:val="1A1A1A"/>
                <w:sz w:val="17"/>
              </w:rPr>
              <w:t>Lands in</w:t>
            </w:r>
          </w:p>
        </w:tc>
      </w:tr>
      <w:tr>
        <w:tc>
          <w:tcPr>
            <w:tcW w:type="dxa" w:w="964"/>
          </w:tcPr>
          <w:p>
            <w:pPr>
              <w:spacing w:after="0" w:line="252" w:lineRule="auto"/>
              <w:jc w:val="left"/>
            </w:pPr>
            <w:r>
              <w:rPr>
                <w:rFonts w:ascii="Calibri" w:hAnsi="Calibri"/>
                <w:color w:val="1A1A1A"/>
                <w:sz w:val="17"/>
              </w:rPr>
              <w:t>FR-P7-01</w:t>
            </w:r>
          </w:p>
        </w:tc>
        <w:tc>
          <w:tcPr>
            <w:tcW w:type="dxa" w:w="3345"/>
          </w:tcPr>
          <w:p>
            <w:pPr>
              <w:spacing w:after="0" w:line="252" w:lineRule="auto"/>
              <w:jc w:val="left"/>
            </w:pPr>
            <w:r>
              <w:rPr>
                <w:rFonts w:ascii="Calibri" w:hAnsi="Calibri"/>
                <w:color w:val="1A1A1A"/>
                <w:sz w:val="17"/>
              </w:rPr>
              <w:t>Hold contracted, invoiced, recognized, collected and forecast value simultaneously and separately for every engagement</w:t>
            </w:r>
          </w:p>
        </w:tc>
        <w:tc>
          <w:tcPr>
            <w:tcW w:type="dxa" w:w="3061"/>
          </w:tcPr>
          <w:p>
            <w:pPr>
              <w:spacing w:after="0" w:line="252" w:lineRule="auto"/>
              <w:jc w:val="left"/>
            </w:pPr>
            <w:r>
              <w:rPr>
                <w:rFonts w:ascii="Calibri" w:hAnsi="Calibri"/>
                <w:color w:val="1A1A1A"/>
                <w:sz w:val="17"/>
              </w:rPr>
              <w:t>All five are retrievable for one engagement at one point in time without derivation from each other</w:t>
            </w:r>
          </w:p>
        </w:tc>
        <w:tc>
          <w:tcPr>
            <w:tcW w:type="dxa" w:w="1020"/>
          </w:tcPr>
          <w:p>
            <w:pPr>
              <w:spacing w:after="0" w:line="252" w:lineRule="auto"/>
              <w:jc w:val="left"/>
            </w:pPr>
            <w:r>
              <w:rPr>
                <w:rFonts w:ascii="Calibri" w:hAnsi="Calibri"/>
                <w:b/>
                <w:color w:val="9A5B00"/>
                <w:sz w:val="17"/>
              </w:rPr>
              <w:t>PARTIAL</w:t>
            </w:r>
            <w:r>
              <w:rPr>
                <w:rFonts w:ascii="Calibri" w:hAnsi="Calibri"/>
                <w:color w:val="9A5B00"/>
                <w:sz w:val="17"/>
              </w:rPr>
              <w:t xml:space="preserve"> — only contracted exists, via </w:t>
            </w:r>
            <w:r>
              <w:rPr>
                <w:rFonts w:ascii="Consolas" w:hAnsi="Consolas"/>
                <w:color w:val="8B2E2E"/>
                <w:sz w:val="17"/>
              </w:rPr>
              <w:t>deals_with_value</w:t>
            </w:r>
          </w:p>
        </w:tc>
        <w:tc>
          <w:tcPr>
            <w:tcW w:type="dxa" w:w="1928"/>
          </w:tcPr>
          <w:p>
            <w:pPr>
              <w:spacing w:after="0" w:line="252" w:lineRule="auto"/>
              <w:jc w:val="left"/>
            </w:pPr>
            <w:r>
              <w:rPr>
                <w:rFonts w:ascii="Calibri" w:hAnsi="Calibri"/>
                <w:color w:val="1A1A1A"/>
                <w:sz w:val="17"/>
              </w:rPr>
              <w:t xml:space="preserve">New </w:t>
            </w:r>
            <w:r>
              <w:rPr>
                <w:rFonts w:ascii="Consolas" w:hAnsi="Consolas"/>
                <w:color w:val="8B2E2E"/>
                <w:sz w:val="17"/>
              </w:rPr>
              <w:t>revenue_states</w:t>
            </w:r>
          </w:p>
        </w:tc>
      </w:tr>
      <w:tr>
        <w:tc>
          <w:tcPr>
            <w:tcW w:type="dxa" w:w="964"/>
            <w:shd w:val="clear" w:color="auto" w:fill="FAFBFC"/>
          </w:tcPr>
          <w:p>
            <w:pPr>
              <w:spacing w:after="0" w:line="252" w:lineRule="auto"/>
              <w:jc w:val="left"/>
            </w:pPr>
            <w:r>
              <w:rPr>
                <w:rFonts w:ascii="Calibri" w:hAnsi="Calibri"/>
                <w:color w:val="1A1A1A"/>
                <w:sz w:val="17"/>
              </w:rPr>
              <w:t>FR-P7-02</w:t>
            </w:r>
          </w:p>
        </w:tc>
        <w:tc>
          <w:tcPr>
            <w:tcW w:type="dxa" w:w="3345"/>
            <w:shd w:val="clear" w:color="auto" w:fill="FAFBFC"/>
          </w:tcPr>
          <w:p>
            <w:pPr>
              <w:spacing w:after="0" w:line="252" w:lineRule="auto"/>
              <w:jc w:val="left"/>
            </w:pPr>
            <w:r>
              <w:rPr>
                <w:rFonts w:ascii="Calibri" w:hAnsi="Calibri"/>
                <w:color w:val="1A1A1A"/>
                <w:sz w:val="17"/>
              </w:rPr>
              <w:t>Reconcile every revenue figure back to a contract and, where applicable, a delivery event</w:t>
            </w:r>
          </w:p>
        </w:tc>
        <w:tc>
          <w:tcPr>
            <w:tcW w:type="dxa" w:w="3061"/>
            <w:shd w:val="clear" w:color="auto" w:fill="FAFBFC"/>
          </w:tcPr>
          <w:p>
            <w:pPr>
              <w:spacing w:after="0" w:line="252" w:lineRule="auto"/>
              <w:jc w:val="left"/>
            </w:pPr>
            <w:r>
              <w:rPr>
                <w:rFonts w:ascii="Calibri" w:hAnsi="Calibri"/>
                <w:color w:val="1A1A1A"/>
                <w:sz w:val="17"/>
              </w:rPr>
              <w:t>Any revenue number drills to its originating billing event, contract and milestone</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Revenue service</w:t>
            </w:r>
          </w:p>
        </w:tc>
      </w:tr>
      <w:tr>
        <w:tc>
          <w:tcPr>
            <w:tcW w:type="dxa" w:w="964"/>
          </w:tcPr>
          <w:p>
            <w:pPr>
              <w:spacing w:after="0" w:line="252" w:lineRule="auto"/>
              <w:jc w:val="left"/>
            </w:pPr>
            <w:r>
              <w:rPr>
                <w:rFonts w:ascii="Calibri" w:hAnsi="Calibri"/>
                <w:color w:val="1A1A1A"/>
                <w:sz w:val="17"/>
              </w:rPr>
              <w:t>FR-P7-03</w:t>
            </w:r>
          </w:p>
        </w:tc>
        <w:tc>
          <w:tcPr>
            <w:tcW w:type="dxa" w:w="3345"/>
          </w:tcPr>
          <w:p>
            <w:pPr>
              <w:spacing w:after="0" w:line="252" w:lineRule="auto"/>
              <w:jc w:val="left"/>
            </w:pPr>
            <w:r>
              <w:rPr>
                <w:rFonts w:ascii="Calibri" w:hAnsi="Calibri"/>
                <w:color w:val="1A1A1A"/>
                <w:sz w:val="17"/>
              </w:rPr>
              <w:t>Report unbilled and work-in-progress balances</w:t>
            </w:r>
          </w:p>
        </w:tc>
        <w:tc>
          <w:tcPr>
            <w:tcW w:type="dxa" w:w="3061"/>
          </w:tcPr>
          <w:p>
            <w:pPr>
              <w:spacing w:after="0" w:line="252" w:lineRule="auto"/>
              <w:jc w:val="left"/>
            </w:pPr>
            <w:r>
              <w:rPr>
                <w:rFonts w:ascii="Calibri" w:hAnsi="Calibri"/>
                <w:color w:val="1A1A1A"/>
                <w:sz w:val="17"/>
              </w:rPr>
              <w:t>Contracted-but-unbilled is a first-class figure on every engagement and rolls up by client and period</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Revenue service</w:t>
            </w:r>
          </w:p>
        </w:tc>
      </w:tr>
      <w:tr>
        <w:tc>
          <w:tcPr>
            <w:tcW w:type="dxa" w:w="964"/>
            <w:shd w:val="clear" w:color="auto" w:fill="FAFBFC"/>
          </w:tcPr>
          <w:p>
            <w:pPr>
              <w:spacing w:after="0" w:line="252" w:lineRule="auto"/>
              <w:jc w:val="left"/>
            </w:pPr>
            <w:r>
              <w:rPr>
                <w:rFonts w:ascii="Calibri" w:hAnsi="Calibri"/>
                <w:color w:val="1A1A1A"/>
                <w:sz w:val="17"/>
              </w:rPr>
              <w:t>FR-P7-04</w:t>
            </w:r>
          </w:p>
        </w:tc>
        <w:tc>
          <w:tcPr>
            <w:tcW w:type="dxa" w:w="3345"/>
            <w:shd w:val="clear" w:color="auto" w:fill="FAFBFC"/>
          </w:tcPr>
          <w:p>
            <w:pPr>
              <w:spacing w:after="0" w:line="252" w:lineRule="auto"/>
              <w:jc w:val="left"/>
            </w:pPr>
            <w:r>
              <w:rPr>
                <w:rFonts w:ascii="Calibri" w:hAnsi="Calibri"/>
                <w:color w:val="1A1A1A"/>
                <w:sz w:val="17"/>
              </w:rPr>
              <w:t>Apply a stated revenue recognition policy consistently</w:t>
            </w:r>
          </w:p>
        </w:tc>
        <w:tc>
          <w:tcPr>
            <w:tcW w:type="dxa" w:w="3061"/>
            <w:shd w:val="clear" w:color="auto" w:fill="FAFBFC"/>
          </w:tcPr>
          <w:p>
            <w:pPr>
              <w:spacing w:after="0" w:line="252" w:lineRule="auto"/>
              <w:jc w:val="left"/>
            </w:pPr>
            <w:r>
              <w:rPr>
                <w:rFonts w:ascii="Calibri" w:hAnsi="Calibri"/>
                <w:color w:val="1A1A1A"/>
                <w:sz w:val="17"/>
              </w:rPr>
              <w:t>Recognition follows the documented policy and the policy version is retained on each recognized amount</w:t>
            </w:r>
          </w:p>
        </w:tc>
        <w:tc>
          <w:tcPr>
            <w:tcW w:type="dxa" w:w="1020"/>
            <w:shd w:val="clear" w:color="auto" w:fill="FAFBFC"/>
          </w:tcPr>
          <w:p>
            <w:pPr>
              <w:spacing w:after="0" w:line="252" w:lineRule="auto"/>
              <w:jc w:val="left"/>
            </w:pPr>
            <w:r>
              <w:rPr>
                <w:rFonts w:ascii="Calibri" w:hAnsi="Calibri"/>
                <w:b/>
                <w:color w:val="1F4E79"/>
                <w:sz w:val="17"/>
              </w:rPr>
              <w:t>NEW</w:t>
            </w:r>
            <w:r>
              <w:rPr>
                <w:rFonts w:ascii="Calibri" w:hAnsi="Calibri"/>
                <w:color w:val="1F4E79"/>
                <w:sz w:val="17"/>
              </w:rPr>
              <w:t xml:space="preserve"> — see open question Q-3</w:t>
            </w:r>
          </w:p>
        </w:tc>
        <w:tc>
          <w:tcPr>
            <w:tcW w:type="dxa" w:w="1928"/>
            <w:shd w:val="clear" w:color="auto" w:fill="FAFBFC"/>
          </w:tcPr>
          <w:p>
            <w:pPr>
              <w:spacing w:after="0" w:line="252" w:lineRule="auto"/>
              <w:jc w:val="left"/>
            </w:pPr>
            <w:r>
              <w:rPr>
                <w:rFonts w:ascii="Calibri" w:hAnsi="Calibri"/>
                <w:color w:val="1A1A1A"/>
                <w:sz w:val="17"/>
              </w:rPr>
              <w:t xml:space="preserve">New </w:t>
            </w:r>
            <w:r>
              <w:rPr>
                <w:rFonts w:ascii="Consolas" w:hAnsi="Consolas"/>
                <w:color w:val="8B2E2E"/>
                <w:sz w:val="17"/>
              </w:rPr>
              <w:t>recognition_policies</w:t>
            </w:r>
          </w:p>
        </w:tc>
      </w:tr>
    </w:tbl>
    <w:p>
      <w:pPr>
        <w:spacing w:after="80"/>
      </w:pPr>
    </w:p>
    <w:p>
      <w:pPr>
        <w:pStyle w:val="Heading3"/>
      </w:pPr>
      <w:r>
        <w:t>Billing and collections</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064"/>
        <w:gridCol w:w="2064"/>
        <w:gridCol w:w="2064"/>
        <w:gridCol w:w="2064"/>
        <w:gridCol w:w="2064"/>
      </w:tblGrid>
      <w:tr>
        <w:trPr>
          <w:tblHeader w:val="true"/>
        </w:trPr>
        <w:tc>
          <w:tcPr>
            <w:tcW w:type="dxa" w:w="964"/>
            <w:shd w:val="clear" w:color="auto" w:fill="E8EDF2"/>
          </w:tcPr>
          <w:p>
            <w:pPr>
              <w:spacing w:after="0"/>
              <w:jc w:val="left"/>
            </w:pPr>
            <w:r>
              <w:rPr>
                <w:rFonts w:ascii="Calibri" w:hAnsi="Calibri"/>
                <w:b/>
                <w:color w:val="1A1A1A"/>
                <w:sz w:val="17"/>
              </w:rPr>
              <w:t>ID</w:t>
            </w:r>
          </w:p>
        </w:tc>
        <w:tc>
          <w:tcPr>
            <w:tcW w:type="dxa" w:w="3345"/>
            <w:shd w:val="clear" w:color="auto" w:fill="E8EDF2"/>
          </w:tcPr>
          <w:p>
            <w:pPr>
              <w:spacing w:after="0"/>
              <w:jc w:val="left"/>
            </w:pPr>
            <w:r>
              <w:rPr>
                <w:rFonts w:ascii="Calibri" w:hAnsi="Calibri"/>
                <w:b/>
                <w:color w:val="1A1A1A"/>
                <w:sz w:val="17"/>
              </w:rPr>
              <w:t>Requirement</w:t>
            </w:r>
          </w:p>
        </w:tc>
        <w:tc>
          <w:tcPr>
            <w:tcW w:type="dxa" w:w="3061"/>
            <w:shd w:val="clear" w:color="auto" w:fill="E8EDF2"/>
          </w:tcPr>
          <w:p>
            <w:pPr>
              <w:spacing w:after="0"/>
              <w:jc w:val="left"/>
            </w:pPr>
            <w:r>
              <w:rPr>
                <w:rFonts w:ascii="Calibri" w:hAnsi="Calibri"/>
                <w:b/>
                <w:color w:val="1A1A1A"/>
                <w:sz w:val="17"/>
              </w:rPr>
              <w:t>Acceptance</w:t>
            </w:r>
          </w:p>
        </w:tc>
        <w:tc>
          <w:tcPr>
            <w:tcW w:type="dxa" w:w="1020"/>
            <w:shd w:val="clear" w:color="auto" w:fill="E8EDF2"/>
          </w:tcPr>
          <w:p>
            <w:pPr>
              <w:spacing w:after="0"/>
              <w:jc w:val="left"/>
            </w:pPr>
            <w:r>
              <w:rPr>
                <w:rFonts w:ascii="Calibri" w:hAnsi="Calibri"/>
                <w:b/>
                <w:color w:val="1A1A1A"/>
                <w:sz w:val="17"/>
              </w:rPr>
              <w:t>Status</w:t>
            </w:r>
          </w:p>
        </w:tc>
        <w:tc>
          <w:tcPr>
            <w:tcW w:type="dxa" w:w="1928"/>
            <w:shd w:val="clear" w:color="auto" w:fill="E8EDF2"/>
          </w:tcPr>
          <w:p>
            <w:pPr>
              <w:spacing w:after="0"/>
              <w:jc w:val="left"/>
            </w:pPr>
            <w:r>
              <w:rPr>
                <w:rFonts w:ascii="Calibri" w:hAnsi="Calibri"/>
                <w:b/>
                <w:color w:val="1A1A1A"/>
                <w:sz w:val="17"/>
              </w:rPr>
              <w:t>Lands in</w:t>
            </w:r>
          </w:p>
        </w:tc>
      </w:tr>
      <w:tr>
        <w:tc>
          <w:tcPr>
            <w:tcW w:type="dxa" w:w="964"/>
          </w:tcPr>
          <w:p>
            <w:pPr>
              <w:spacing w:after="0" w:line="252" w:lineRule="auto"/>
              <w:jc w:val="left"/>
            </w:pPr>
            <w:r>
              <w:rPr>
                <w:rFonts w:ascii="Calibri" w:hAnsi="Calibri"/>
                <w:color w:val="1A1A1A"/>
                <w:sz w:val="17"/>
              </w:rPr>
              <w:t>FR-P7-05</w:t>
            </w:r>
          </w:p>
        </w:tc>
        <w:tc>
          <w:tcPr>
            <w:tcW w:type="dxa" w:w="3345"/>
          </w:tcPr>
          <w:p>
            <w:pPr>
              <w:spacing w:after="0" w:line="252" w:lineRule="auto"/>
              <w:jc w:val="left"/>
            </w:pPr>
            <w:r>
              <w:rPr>
                <w:rFonts w:ascii="Calibri" w:hAnsi="Calibri"/>
                <w:color w:val="1A1A1A"/>
                <w:sz w:val="17"/>
              </w:rPr>
              <w:t>Create billing events from contract schedules and from delivery milestone completion</w:t>
            </w:r>
          </w:p>
        </w:tc>
        <w:tc>
          <w:tcPr>
            <w:tcW w:type="dxa" w:w="3061"/>
          </w:tcPr>
          <w:p>
            <w:pPr>
              <w:spacing w:after="0" w:line="252" w:lineRule="auto"/>
              <w:jc w:val="left"/>
            </w:pPr>
            <w:r>
              <w:rPr>
                <w:rFonts w:ascii="Calibri" w:hAnsi="Calibri"/>
                <w:color w:val="1A1A1A"/>
                <w:sz w:val="17"/>
              </w:rPr>
              <w:t>Completing a milestone in Pillar 6 creates a due billing event without manual entry</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 xml:space="preserve">New </w:t>
            </w:r>
            <w:r>
              <w:rPr>
                <w:rFonts w:ascii="Consolas" w:hAnsi="Consolas"/>
                <w:color w:val="8B2E2E"/>
                <w:sz w:val="17"/>
              </w:rPr>
              <w:t>billing_events</w:t>
            </w:r>
          </w:p>
        </w:tc>
      </w:tr>
      <w:tr>
        <w:tc>
          <w:tcPr>
            <w:tcW w:type="dxa" w:w="964"/>
            <w:shd w:val="clear" w:color="auto" w:fill="FAFBFC"/>
          </w:tcPr>
          <w:p>
            <w:pPr>
              <w:spacing w:after="0" w:line="252" w:lineRule="auto"/>
              <w:jc w:val="left"/>
            </w:pPr>
            <w:r>
              <w:rPr>
                <w:rFonts w:ascii="Calibri" w:hAnsi="Calibri"/>
                <w:color w:val="1A1A1A"/>
                <w:sz w:val="17"/>
              </w:rPr>
              <w:t>FR-P7-06</w:t>
            </w:r>
          </w:p>
        </w:tc>
        <w:tc>
          <w:tcPr>
            <w:tcW w:type="dxa" w:w="3345"/>
            <w:shd w:val="clear" w:color="auto" w:fill="FAFBFC"/>
          </w:tcPr>
          <w:p>
            <w:pPr>
              <w:spacing w:after="0" w:line="252" w:lineRule="auto"/>
              <w:jc w:val="left"/>
            </w:pPr>
            <w:r>
              <w:rPr>
                <w:rFonts w:ascii="Calibri" w:hAnsi="Calibri"/>
                <w:color w:val="1A1A1A"/>
                <w:sz w:val="17"/>
              </w:rPr>
              <w:t>Raise invoices from billing events, with number, date, due date, line items, tax and currency</w:t>
            </w:r>
          </w:p>
        </w:tc>
        <w:tc>
          <w:tcPr>
            <w:tcW w:type="dxa" w:w="3061"/>
            <w:shd w:val="clear" w:color="auto" w:fill="FAFBFC"/>
          </w:tcPr>
          <w:p>
            <w:pPr>
              <w:spacing w:after="0" w:line="252" w:lineRule="auto"/>
              <w:jc w:val="left"/>
            </w:pPr>
            <w:r>
              <w:rPr>
                <w:rFonts w:ascii="Calibri" w:hAnsi="Calibri"/>
                <w:color w:val="1A1A1A"/>
                <w:sz w:val="17"/>
              </w:rPr>
              <w:t>An invoice is generated, numbered sequentially, and downloadable as a document</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 xml:space="preserve">New </w:t>
            </w:r>
            <w:r>
              <w:rPr>
                <w:rFonts w:ascii="Consolas" w:hAnsi="Consolas"/>
                <w:color w:val="8B2E2E"/>
                <w:sz w:val="17"/>
              </w:rPr>
              <w:t>invoices</w:t>
            </w:r>
          </w:p>
        </w:tc>
      </w:tr>
      <w:tr>
        <w:tc>
          <w:tcPr>
            <w:tcW w:type="dxa" w:w="964"/>
          </w:tcPr>
          <w:p>
            <w:pPr>
              <w:spacing w:after="0" w:line="252" w:lineRule="auto"/>
              <w:jc w:val="left"/>
            </w:pPr>
            <w:r>
              <w:rPr>
                <w:rFonts w:ascii="Calibri" w:hAnsi="Calibri"/>
                <w:color w:val="1A1A1A"/>
                <w:sz w:val="17"/>
              </w:rPr>
              <w:t>FR-P7-07</w:t>
            </w:r>
          </w:p>
        </w:tc>
        <w:tc>
          <w:tcPr>
            <w:tcW w:type="dxa" w:w="3345"/>
          </w:tcPr>
          <w:p>
            <w:pPr>
              <w:spacing w:after="0" w:line="252" w:lineRule="auto"/>
              <w:jc w:val="left"/>
            </w:pPr>
            <w:r>
              <w:rPr>
                <w:rFonts w:ascii="Calibri" w:hAnsi="Calibri"/>
                <w:color w:val="1A1A1A"/>
                <w:sz w:val="17"/>
              </w:rPr>
              <w:t>Record receipts against invoices, including partial payment</w:t>
            </w:r>
          </w:p>
        </w:tc>
        <w:tc>
          <w:tcPr>
            <w:tcW w:type="dxa" w:w="3061"/>
          </w:tcPr>
          <w:p>
            <w:pPr>
              <w:spacing w:after="0" w:line="252" w:lineRule="auto"/>
              <w:jc w:val="left"/>
            </w:pPr>
            <w:r>
              <w:rPr>
                <w:rFonts w:ascii="Calibri" w:hAnsi="Calibri"/>
                <w:color w:val="1A1A1A"/>
                <w:sz w:val="17"/>
              </w:rPr>
              <w:t>An invoice moves draft → sent → part-paid → paid, with each receipt dated and amounted</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 xml:space="preserve">New </w:t>
            </w:r>
            <w:r>
              <w:rPr>
                <w:rFonts w:ascii="Consolas" w:hAnsi="Consolas"/>
                <w:color w:val="8B2E2E"/>
                <w:sz w:val="17"/>
              </w:rPr>
              <w:t>receipts</w:t>
            </w:r>
          </w:p>
        </w:tc>
      </w:tr>
      <w:tr>
        <w:tc>
          <w:tcPr>
            <w:tcW w:type="dxa" w:w="964"/>
            <w:shd w:val="clear" w:color="auto" w:fill="FAFBFC"/>
          </w:tcPr>
          <w:p>
            <w:pPr>
              <w:spacing w:after="0" w:line="252" w:lineRule="auto"/>
              <w:jc w:val="left"/>
            </w:pPr>
            <w:r>
              <w:rPr>
                <w:rFonts w:ascii="Calibri" w:hAnsi="Calibri"/>
                <w:color w:val="1A1A1A"/>
                <w:sz w:val="17"/>
              </w:rPr>
              <w:t>FR-P7-08</w:t>
            </w:r>
          </w:p>
        </w:tc>
        <w:tc>
          <w:tcPr>
            <w:tcW w:type="dxa" w:w="3345"/>
            <w:shd w:val="clear" w:color="auto" w:fill="FAFBFC"/>
          </w:tcPr>
          <w:p>
            <w:pPr>
              <w:spacing w:after="0" w:line="252" w:lineRule="auto"/>
              <w:jc w:val="left"/>
            </w:pPr>
            <w:r>
              <w:rPr>
                <w:rFonts w:ascii="Calibri" w:hAnsi="Calibri"/>
                <w:color w:val="1A1A1A"/>
                <w:sz w:val="17"/>
              </w:rPr>
              <w:t>Produce receivables aging in standard buckets</w:t>
            </w:r>
          </w:p>
        </w:tc>
        <w:tc>
          <w:tcPr>
            <w:tcW w:type="dxa" w:w="3061"/>
            <w:shd w:val="clear" w:color="auto" w:fill="FAFBFC"/>
          </w:tcPr>
          <w:p>
            <w:pPr>
              <w:spacing w:after="0" w:line="252" w:lineRule="auto"/>
              <w:jc w:val="left"/>
            </w:pPr>
            <w:r>
              <w:rPr>
                <w:rFonts w:ascii="Calibri" w:hAnsi="Calibri"/>
                <w:color w:val="1A1A1A"/>
                <w:sz w:val="17"/>
              </w:rPr>
              <w:t>Current / 1–30 / 31–60 / 61–90 / 90+ aging by client and by owner</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Revenue reporting</w:t>
            </w:r>
          </w:p>
        </w:tc>
      </w:tr>
      <w:tr>
        <w:tc>
          <w:tcPr>
            <w:tcW w:type="dxa" w:w="964"/>
          </w:tcPr>
          <w:p>
            <w:pPr>
              <w:spacing w:after="0" w:line="252" w:lineRule="auto"/>
              <w:jc w:val="left"/>
            </w:pPr>
            <w:r>
              <w:rPr>
                <w:rFonts w:ascii="Calibri" w:hAnsi="Calibri"/>
                <w:color w:val="1A1A1A"/>
                <w:sz w:val="17"/>
              </w:rPr>
              <w:t>FR-P7-09</w:t>
            </w:r>
          </w:p>
        </w:tc>
        <w:tc>
          <w:tcPr>
            <w:tcW w:type="dxa" w:w="3345"/>
          </w:tcPr>
          <w:p>
            <w:pPr>
              <w:spacing w:after="0" w:line="252" w:lineRule="auto"/>
              <w:jc w:val="left"/>
            </w:pPr>
            <w:r>
              <w:rPr>
                <w:rFonts w:ascii="Calibri" w:hAnsi="Calibri"/>
                <w:color w:val="1A1A1A"/>
                <w:sz w:val="17"/>
              </w:rPr>
              <w:t>Record disputes and credit notes against invoices</w:t>
            </w:r>
          </w:p>
        </w:tc>
        <w:tc>
          <w:tcPr>
            <w:tcW w:type="dxa" w:w="3061"/>
          </w:tcPr>
          <w:p>
            <w:pPr>
              <w:spacing w:after="0" w:line="252" w:lineRule="auto"/>
              <w:jc w:val="left"/>
            </w:pPr>
            <w:r>
              <w:rPr>
                <w:rFonts w:ascii="Calibri" w:hAnsi="Calibri"/>
                <w:color w:val="1A1A1A"/>
                <w:sz w:val="17"/>
              </w:rPr>
              <w:t>A disputed invoice is excluded from collectable aging and shows its dispute reason and owner</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 xml:space="preserve">New </w:t>
            </w:r>
            <w:r>
              <w:rPr>
                <w:rFonts w:ascii="Consolas" w:hAnsi="Consolas"/>
                <w:color w:val="8B2E2E"/>
                <w:sz w:val="17"/>
              </w:rPr>
              <w:t>credit_notes</w:t>
            </w:r>
          </w:p>
        </w:tc>
      </w:tr>
      <w:tr>
        <w:tc>
          <w:tcPr>
            <w:tcW w:type="dxa" w:w="964"/>
            <w:shd w:val="clear" w:color="auto" w:fill="FAFBFC"/>
          </w:tcPr>
          <w:p>
            <w:pPr>
              <w:spacing w:after="0" w:line="252" w:lineRule="auto"/>
              <w:jc w:val="left"/>
            </w:pPr>
            <w:r>
              <w:rPr>
                <w:rFonts w:ascii="Calibri" w:hAnsi="Calibri"/>
                <w:color w:val="1A1A1A"/>
                <w:sz w:val="17"/>
              </w:rPr>
              <w:t>FR-P7-10</w:t>
            </w:r>
          </w:p>
        </w:tc>
        <w:tc>
          <w:tcPr>
            <w:tcW w:type="dxa" w:w="3345"/>
            <w:shd w:val="clear" w:color="auto" w:fill="FAFBFC"/>
          </w:tcPr>
          <w:p>
            <w:pPr>
              <w:spacing w:after="0" w:line="252" w:lineRule="auto"/>
              <w:jc w:val="left"/>
            </w:pPr>
            <w:r>
              <w:rPr>
                <w:rFonts w:ascii="Calibri" w:hAnsi="Calibri"/>
                <w:color w:val="1A1A1A"/>
                <w:sz w:val="17"/>
              </w:rPr>
              <w:t>Drive collection follow-up with owners, due dates and escalation</w:t>
            </w:r>
          </w:p>
        </w:tc>
        <w:tc>
          <w:tcPr>
            <w:tcW w:type="dxa" w:w="3061"/>
            <w:shd w:val="clear" w:color="auto" w:fill="FAFBFC"/>
          </w:tcPr>
          <w:p>
            <w:pPr>
              <w:spacing w:after="0" w:line="252" w:lineRule="auto"/>
              <w:jc w:val="left"/>
            </w:pPr>
            <w:r>
              <w:rPr>
                <w:rFonts w:ascii="Calibri" w:hAnsi="Calibri"/>
                <w:color w:val="1A1A1A"/>
                <w:sz w:val="17"/>
              </w:rPr>
              <w:t>Overdue receivables generate reminders to the named owner and escalate on a schedule</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Revenue + notification service</w:t>
            </w:r>
          </w:p>
        </w:tc>
      </w:tr>
      <w:tr>
        <w:tc>
          <w:tcPr>
            <w:tcW w:type="dxa" w:w="964"/>
          </w:tcPr>
          <w:p>
            <w:pPr>
              <w:spacing w:after="0" w:line="252" w:lineRule="auto"/>
              <w:jc w:val="left"/>
            </w:pPr>
            <w:r>
              <w:rPr>
                <w:rFonts w:ascii="Calibri" w:hAnsi="Calibri"/>
                <w:color w:val="1A1A1A"/>
                <w:sz w:val="17"/>
              </w:rPr>
              <w:t>FR-P7-11</w:t>
            </w:r>
          </w:p>
        </w:tc>
        <w:tc>
          <w:tcPr>
            <w:tcW w:type="dxa" w:w="3345"/>
          </w:tcPr>
          <w:p>
            <w:pPr>
              <w:spacing w:after="0" w:line="252" w:lineRule="auto"/>
              <w:jc w:val="left"/>
            </w:pPr>
            <w:r>
              <w:rPr>
                <w:rFonts w:ascii="Calibri" w:hAnsi="Calibri"/>
                <w:color w:val="1A1A1A"/>
                <w:sz w:val="17"/>
              </w:rPr>
              <w:t>Publish collection status to Pillar 6 where it gates further work, and to Pillar 3 where it triggers fee settlement</w:t>
            </w:r>
          </w:p>
        </w:tc>
        <w:tc>
          <w:tcPr>
            <w:tcW w:type="dxa" w:w="3061"/>
          </w:tcPr>
          <w:p>
            <w:pPr>
              <w:spacing w:after="0" w:line="252" w:lineRule="auto"/>
              <w:jc w:val="left"/>
            </w:pPr>
            <w:r>
              <w:rPr>
                <w:rFonts w:ascii="Calibri" w:hAnsi="Calibri"/>
                <w:color w:val="1A1A1A"/>
                <w:sz w:val="17"/>
              </w:rPr>
              <w:t>An overdue receivable can pause delivery; a collected receipt can settle a partner obligation</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P7 to P6, P7 to P3</w:t>
            </w:r>
          </w:p>
        </w:tc>
      </w:tr>
    </w:tbl>
    <w:p>
      <w:pPr>
        <w:spacing w:after="80"/>
      </w:pPr>
    </w:p>
    <w:p>
      <w:pPr>
        <w:pStyle w:val="Heading3"/>
      </w:pPr>
      <w:r>
        <w:t>Commercial performance</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064"/>
        <w:gridCol w:w="2064"/>
        <w:gridCol w:w="2064"/>
        <w:gridCol w:w="2064"/>
        <w:gridCol w:w="2064"/>
      </w:tblGrid>
      <w:tr>
        <w:trPr>
          <w:tblHeader w:val="true"/>
        </w:trPr>
        <w:tc>
          <w:tcPr>
            <w:tcW w:type="dxa" w:w="964"/>
            <w:shd w:val="clear" w:color="auto" w:fill="E8EDF2"/>
          </w:tcPr>
          <w:p>
            <w:pPr>
              <w:spacing w:after="0"/>
              <w:jc w:val="left"/>
            </w:pPr>
            <w:r>
              <w:rPr>
                <w:rFonts w:ascii="Calibri" w:hAnsi="Calibri"/>
                <w:b/>
                <w:color w:val="1A1A1A"/>
                <w:sz w:val="17"/>
              </w:rPr>
              <w:t>ID</w:t>
            </w:r>
          </w:p>
        </w:tc>
        <w:tc>
          <w:tcPr>
            <w:tcW w:type="dxa" w:w="3345"/>
            <w:shd w:val="clear" w:color="auto" w:fill="E8EDF2"/>
          </w:tcPr>
          <w:p>
            <w:pPr>
              <w:spacing w:after="0"/>
              <w:jc w:val="left"/>
            </w:pPr>
            <w:r>
              <w:rPr>
                <w:rFonts w:ascii="Calibri" w:hAnsi="Calibri"/>
                <w:b/>
                <w:color w:val="1A1A1A"/>
                <w:sz w:val="17"/>
              </w:rPr>
              <w:t>Requirement</w:t>
            </w:r>
          </w:p>
        </w:tc>
        <w:tc>
          <w:tcPr>
            <w:tcW w:type="dxa" w:w="3061"/>
            <w:shd w:val="clear" w:color="auto" w:fill="E8EDF2"/>
          </w:tcPr>
          <w:p>
            <w:pPr>
              <w:spacing w:after="0"/>
              <w:jc w:val="left"/>
            </w:pPr>
            <w:r>
              <w:rPr>
                <w:rFonts w:ascii="Calibri" w:hAnsi="Calibri"/>
                <w:b/>
                <w:color w:val="1A1A1A"/>
                <w:sz w:val="17"/>
              </w:rPr>
              <w:t>Acceptance</w:t>
            </w:r>
          </w:p>
        </w:tc>
        <w:tc>
          <w:tcPr>
            <w:tcW w:type="dxa" w:w="1020"/>
            <w:shd w:val="clear" w:color="auto" w:fill="E8EDF2"/>
          </w:tcPr>
          <w:p>
            <w:pPr>
              <w:spacing w:after="0"/>
              <w:jc w:val="left"/>
            </w:pPr>
            <w:r>
              <w:rPr>
                <w:rFonts w:ascii="Calibri" w:hAnsi="Calibri"/>
                <w:b/>
                <w:color w:val="1A1A1A"/>
                <w:sz w:val="17"/>
              </w:rPr>
              <w:t>Status</w:t>
            </w:r>
          </w:p>
        </w:tc>
        <w:tc>
          <w:tcPr>
            <w:tcW w:type="dxa" w:w="1928"/>
            <w:shd w:val="clear" w:color="auto" w:fill="E8EDF2"/>
          </w:tcPr>
          <w:p>
            <w:pPr>
              <w:spacing w:after="0"/>
              <w:jc w:val="left"/>
            </w:pPr>
            <w:r>
              <w:rPr>
                <w:rFonts w:ascii="Calibri" w:hAnsi="Calibri"/>
                <w:b/>
                <w:color w:val="1A1A1A"/>
                <w:sz w:val="17"/>
              </w:rPr>
              <w:t>Lands in</w:t>
            </w:r>
          </w:p>
        </w:tc>
      </w:tr>
      <w:tr>
        <w:tc>
          <w:tcPr>
            <w:tcW w:type="dxa" w:w="964"/>
          </w:tcPr>
          <w:p>
            <w:pPr>
              <w:spacing w:after="0" w:line="252" w:lineRule="auto"/>
              <w:jc w:val="left"/>
            </w:pPr>
            <w:r>
              <w:rPr>
                <w:rFonts w:ascii="Calibri" w:hAnsi="Calibri"/>
                <w:color w:val="1A1A1A"/>
                <w:sz w:val="17"/>
              </w:rPr>
              <w:t>FR-P7-12</w:t>
            </w:r>
          </w:p>
        </w:tc>
        <w:tc>
          <w:tcPr>
            <w:tcW w:type="dxa" w:w="3345"/>
          </w:tcPr>
          <w:p>
            <w:pPr>
              <w:spacing w:after="0" w:line="252" w:lineRule="auto"/>
              <w:jc w:val="left"/>
            </w:pPr>
            <w:r>
              <w:rPr>
                <w:rFonts w:ascii="Calibri" w:hAnsi="Calibri"/>
                <w:color w:val="1A1A1A"/>
                <w:sz w:val="17"/>
              </w:rPr>
              <w:t>Report revenue composition and trend by service line, framework, segment, geography, channel and client</w:t>
            </w:r>
          </w:p>
        </w:tc>
        <w:tc>
          <w:tcPr>
            <w:tcW w:type="dxa" w:w="3061"/>
          </w:tcPr>
          <w:p>
            <w:pPr>
              <w:spacing w:after="0" w:line="252" w:lineRule="auto"/>
              <w:jc w:val="left"/>
            </w:pPr>
            <w:r>
              <w:rPr>
                <w:rFonts w:ascii="Calibri" w:hAnsi="Calibri"/>
                <w:color w:val="1A1A1A"/>
                <w:sz w:val="17"/>
              </w:rPr>
              <w:t>All six dimensions are available on the same revenue measure</w:t>
            </w:r>
          </w:p>
        </w:tc>
        <w:tc>
          <w:tcPr>
            <w:tcW w:type="dxa" w:w="1020"/>
          </w:tcPr>
          <w:p>
            <w:pPr>
              <w:spacing w:after="0" w:line="252" w:lineRule="auto"/>
              <w:jc w:val="left"/>
            </w:pPr>
            <w:r>
              <w:rPr>
                <w:rFonts w:ascii="Calibri" w:hAnsi="Calibri"/>
                <w:b/>
                <w:color w:val="9A5B00"/>
                <w:sz w:val="17"/>
              </w:rPr>
              <w:t>PARTIAL</w:t>
            </w:r>
            <w:r>
              <w:rPr>
                <w:rFonts w:ascii="Calibri" w:hAnsi="Calibri"/>
                <w:color w:val="9A5B00"/>
                <w:sz w:val="17"/>
              </w:rPr>
              <w:t xml:space="preserve"> — pipeline value can be grouped by some dimensions; realized revenue does not exist to group</w:t>
            </w:r>
          </w:p>
        </w:tc>
        <w:tc>
          <w:tcPr>
            <w:tcW w:type="dxa" w:w="1928"/>
          </w:tcPr>
          <w:p>
            <w:pPr>
              <w:spacing w:after="0" w:line="252" w:lineRule="auto"/>
              <w:jc w:val="left"/>
            </w:pPr>
            <w:r>
              <w:rPr>
                <w:rFonts w:ascii="Calibri" w:hAnsi="Calibri"/>
                <w:color w:val="1F4E79"/>
                <w:sz w:val="17"/>
                <w:u w:val="single"/>
              </w:rPr>
              <w:t>metrics.service.ts</w:t>
            </w:r>
          </w:p>
        </w:tc>
      </w:tr>
      <w:tr>
        <w:tc>
          <w:tcPr>
            <w:tcW w:type="dxa" w:w="964"/>
            <w:shd w:val="clear" w:color="auto" w:fill="FAFBFC"/>
          </w:tcPr>
          <w:p>
            <w:pPr>
              <w:spacing w:after="0" w:line="252" w:lineRule="auto"/>
              <w:jc w:val="left"/>
            </w:pPr>
            <w:r>
              <w:rPr>
                <w:rFonts w:ascii="Calibri" w:hAnsi="Calibri"/>
                <w:color w:val="1A1A1A"/>
                <w:sz w:val="17"/>
              </w:rPr>
              <w:t>FR-P7-13</w:t>
            </w:r>
          </w:p>
        </w:tc>
        <w:tc>
          <w:tcPr>
            <w:tcW w:type="dxa" w:w="3345"/>
            <w:shd w:val="clear" w:color="auto" w:fill="FAFBFC"/>
          </w:tcPr>
          <w:p>
            <w:pPr>
              <w:spacing w:after="0" w:line="252" w:lineRule="auto"/>
              <w:jc w:val="left"/>
            </w:pPr>
            <w:r>
              <w:rPr>
                <w:rFonts w:ascii="Calibri" w:hAnsi="Calibri"/>
                <w:color w:val="1A1A1A"/>
                <w:sz w:val="17"/>
              </w:rPr>
              <w:t>Compute realized margin per engagement using Pillar 4 cost against Pillar 7 collected value</w:t>
            </w:r>
          </w:p>
        </w:tc>
        <w:tc>
          <w:tcPr>
            <w:tcW w:type="dxa" w:w="3061"/>
            <w:shd w:val="clear" w:color="auto" w:fill="FAFBFC"/>
          </w:tcPr>
          <w:p>
            <w:pPr>
              <w:spacing w:after="0" w:line="252" w:lineRule="auto"/>
              <w:jc w:val="left"/>
            </w:pPr>
            <w:r>
              <w:rPr>
                <w:rFonts w:ascii="Calibri" w:hAnsi="Calibri"/>
                <w:color w:val="1A1A1A"/>
                <w:sz w:val="17"/>
              </w:rPr>
              <w:t>Realized margin is comparable to quoted margin, visible only to entitled roles</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P7 with P4</w:t>
            </w:r>
          </w:p>
        </w:tc>
      </w:tr>
      <w:tr>
        <w:tc>
          <w:tcPr>
            <w:tcW w:type="dxa" w:w="964"/>
          </w:tcPr>
          <w:p>
            <w:pPr>
              <w:spacing w:after="0" w:line="252" w:lineRule="auto"/>
              <w:jc w:val="left"/>
            </w:pPr>
            <w:r>
              <w:rPr>
                <w:rFonts w:ascii="Calibri" w:hAnsi="Calibri"/>
                <w:color w:val="1A1A1A"/>
                <w:sz w:val="17"/>
              </w:rPr>
              <w:t>FR-P7-14</w:t>
            </w:r>
          </w:p>
        </w:tc>
        <w:tc>
          <w:tcPr>
            <w:tcW w:type="dxa" w:w="3345"/>
          </w:tcPr>
          <w:p>
            <w:pPr>
              <w:spacing w:after="0" w:line="252" w:lineRule="auto"/>
              <w:jc w:val="left"/>
            </w:pPr>
            <w:r>
              <w:rPr>
                <w:rFonts w:ascii="Calibri" w:hAnsi="Calibri"/>
                <w:color w:val="1A1A1A"/>
                <w:sz w:val="17"/>
              </w:rPr>
              <w:t>Compute client lifetime value, repeat and expansion revenue, renewal revenue and churn</w:t>
            </w:r>
          </w:p>
        </w:tc>
        <w:tc>
          <w:tcPr>
            <w:tcW w:type="dxa" w:w="3061"/>
          </w:tcPr>
          <w:p>
            <w:pPr>
              <w:spacing w:after="0" w:line="252" w:lineRule="auto"/>
              <w:jc w:val="left"/>
            </w:pPr>
            <w:r>
              <w:rPr>
                <w:rFonts w:ascii="Calibri" w:hAnsi="Calibri"/>
                <w:color w:val="1A1A1A"/>
                <w:sz w:val="17"/>
              </w:rPr>
              <w:t>Each is defined once and reported consistently across the platform</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Revenue reporting</w:t>
            </w:r>
          </w:p>
        </w:tc>
      </w:tr>
      <w:tr>
        <w:tc>
          <w:tcPr>
            <w:tcW w:type="dxa" w:w="964"/>
            <w:shd w:val="clear" w:color="auto" w:fill="FAFBFC"/>
          </w:tcPr>
          <w:p>
            <w:pPr>
              <w:spacing w:after="0" w:line="252" w:lineRule="auto"/>
              <w:jc w:val="left"/>
            </w:pPr>
            <w:r>
              <w:rPr>
                <w:rFonts w:ascii="Calibri" w:hAnsi="Calibri"/>
                <w:color w:val="1A1A1A"/>
                <w:sz w:val="17"/>
              </w:rPr>
              <w:t>FR-P7-15</w:t>
            </w:r>
          </w:p>
        </w:tc>
        <w:tc>
          <w:tcPr>
            <w:tcW w:type="dxa" w:w="3345"/>
            <w:shd w:val="clear" w:color="auto" w:fill="FAFBFC"/>
          </w:tcPr>
          <w:p>
            <w:pPr>
              <w:spacing w:after="0" w:line="252" w:lineRule="auto"/>
              <w:jc w:val="left"/>
            </w:pPr>
            <w:r>
              <w:rPr>
                <w:rFonts w:ascii="Calibri" w:hAnsi="Calibri"/>
                <w:color w:val="1A1A1A"/>
                <w:sz w:val="17"/>
              </w:rPr>
              <w:t>Report per-client commercial contribution</w:t>
            </w:r>
          </w:p>
        </w:tc>
        <w:tc>
          <w:tcPr>
            <w:tcW w:type="dxa" w:w="3061"/>
            <w:shd w:val="clear" w:color="auto" w:fill="FAFBFC"/>
          </w:tcPr>
          <w:p>
            <w:pPr>
              <w:spacing w:after="0" w:line="252" w:lineRule="auto"/>
              <w:jc w:val="left"/>
            </w:pPr>
            <w:r>
              <w:rPr>
                <w:rFonts w:ascii="Calibri" w:hAnsi="Calibri"/>
                <w:color w:val="1A1A1A"/>
                <w:sz w:val="17"/>
              </w:rPr>
              <w:t>A client shows revenue, cost, contribution and contribution rate over a selectable period</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Revenue reporting</w:t>
            </w:r>
          </w:p>
        </w:tc>
      </w:tr>
      <w:tr>
        <w:tc>
          <w:tcPr>
            <w:tcW w:type="dxa" w:w="964"/>
          </w:tcPr>
          <w:p>
            <w:pPr>
              <w:spacing w:after="0" w:line="252" w:lineRule="auto"/>
              <w:jc w:val="left"/>
            </w:pPr>
            <w:r>
              <w:rPr>
                <w:rFonts w:ascii="Calibri" w:hAnsi="Calibri"/>
                <w:color w:val="1A1A1A"/>
                <w:sz w:val="17"/>
              </w:rPr>
              <w:t>FR-P7-16</w:t>
            </w:r>
          </w:p>
        </w:tc>
        <w:tc>
          <w:tcPr>
            <w:tcW w:type="dxa" w:w="3345"/>
          </w:tcPr>
          <w:p>
            <w:pPr>
              <w:spacing w:after="0" w:line="252" w:lineRule="auto"/>
              <w:jc w:val="left"/>
            </w:pPr>
            <w:r>
              <w:rPr>
                <w:rFonts w:ascii="Calibri" w:hAnsi="Calibri"/>
                <w:color w:val="1A1A1A"/>
                <w:sz w:val="17"/>
              </w:rPr>
              <w:t>Feed realized value and win quality back to Pillar 2, and payment behaviour to Pillar 1</w:t>
            </w:r>
          </w:p>
        </w:tc>
        <w:tc>
          <w:tcPr>
            <w:tcW w:type="dxa" w:w="3061"/>
          </w:tcPr>
          <w:p>
            <w:pPr>
              <w:spacing w:after="0" w:line="252" w:lineRule="auto"/>
              <w:jc w:val="left"/>
            </w:pPr>
            <w:r>
              <w:rPr>
                <w:rFonts w:ascii="Calibri" w:hAnsi="Calibri"/>
                <w:color w:val="1A1A1A"/>
                <w:sz w:val="17"/>
              </w:rPr>
              <w:t>An account's payment behaviour is visible on the account record and usable in health scoring</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P7 to P1, P2</w:t>
            </w:r>
          </w:p>
        </w:tc>
      </w:tr>
      <w:tr>
        <w:tc>
          <w:tcPr>
            <w:tcW w:type="dxa" w:w="964"/>
            <w:shd w:val="clear" w:color="auto" w:fill="FAFBFC"/>
          </w:tcPr>
          <w:p>
            <w:pPr>
              <w:spacing w:after="0" w:line="252" w:lineRule="auto"/>
              <w:jc w:val="left"/>
            </w:pPr>
            <w:r>
              <w:rPr>
                <w:rFonts w:ascii="Calibri" w:hAnsi="Calibri"/>
                <w:color w:val="1A1A1A"/>
                <w:sz w:val="17"/>
              </w:rPr>
              <w:t>FR-P7-17</w:t>
            </w:r>
          </w:p>
        </w:tc>
        <w:tc>
          <w:tcPr>
            <w:tcW w:type="dxa" w:w="3345"/>
            <w:shd w:val="clear" w:color="auto" w:fill="FAFBFC"/>
          </w:tcPr>
          <w:p>
            <w:pPr>
              <w:spacing w:after="0" w:line="252" w:lineRule="auto"/>
              <w:jc w:val="left"/>
            </w:pPr>
            <w:r>
              <w:rPr>
                <w:rFonts w:ascii="Calibri" w:hAnsi="Calibri"/>
                <w:color w:val="1A1A1A"/>
                <w:sz w:val="17"/>
              </w:rPr>
              <w:t>Report forecast revenue by period, distinguishing contracted-not-yet-billed from pipeline-weighted</w:t>
            </w:r>
          </w:p>
        </w:tc>
        <w:tc>
          <w:tcPr>
            <w:tcW w:type="dxa" w:w="3061"/>
            <w:shd w:val="clear" w:color="auto" w:fill="FAFBFC"/>
          </w:tcPr>
          <w:p>
            <w:pPr>
              <w:spacing w:after="0" w:line="252" w:lineRule="auto"/>
              <w:jc w:val="left"/>
            </w:pPr>
            <w:r>
              <w:rPr>
                <w:rFonts w:ascii="Calibri" w:hAnsi="Calibri"/>
                <w:color w:val="1A1A1A"/>
                <w:sz w:val="17"/>
              </w:rPr>
              <w:t>The two are never summed into one undifferentiated figure</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Revenue reporting</w:t>
            </w:r>
          </w:p>
        </w:tc>
      </w:tr>
    </w:tbl>
    <w:p>
      <w:pPr>
        <w:spacing w:after="80"/>
      </w:pPr>
    </w:p>
    <w:p>
      <w:pPr>
        <w:spacing w:before="120" w:after="160"/>
        <w:ind w:left="198"/>
        <w:pBdr>
          <w:left w:val="single" w:sz="18" w:space="8" w:color="B08D57"/>
        </w:pBdr>
        <w:shd w:val="clear" w:color="auto" w:fill="F4F1E8"/>
      </w:pPr>
      <w:r>
        <w:rPr>
          <w:rFonts w:ascii="Calibri" w:hAnsi="Calibri"/>
          <w:b/>
          <w:color w:val="1A1A1A"/>
          <w:sz w:val="19"/>
        </w:rPr>
        <w:t>CONCRETE EXAMPLE</w:t>
      </w:r>
      <w:r>
        <w:rPr>
          <w:rFonts w:ascii="Calibri" w:hAnsi="Calibri"/>
          <w:color w:val="1A1A1A"/>
          <w:sz w:val="19"/>
        </w:rPr>
        <w:t xml:space="preserve">  Northwind's contract is INR 15,50,000. The 40% signature milestone of INR 6,20,000 is invoiced and collected within terms. The remaining INR 9,30,000 stays contracted-but-unbilled until certification. A referral fee of INR 62,000 settles against the collected portion. The client's lifetime value reaches INR 15,50,000 with a DPDP renewal opportunity forecast for the following quarter.</w:t>
      </w:r>
    </w:p>
    <w:p>
      <w:pPr>
        <w:pStyle w:val="Heading3"/>
      </w:pPr>
      <w:r>
        <w:t>Features — Pillar 7</w:t>
      </w:r>
    </w:p>
    <w:p>
      <w:r>
        <w:rPr>
          <w:rFonts w:ascii="Calibri" w:hAnsi="Calibri"/>
          <w:b/>
          <w:color w:val="1A1A1A"/>
        </w:rPr>
        <w:t>Revenue ledger</w:t>
      </w:r>
      <w:r>
        <w:rPr>
          <w:rFonts w:ascii="Calibri" w:hAnsi="Calibri"/>
          <w:color w:val="1A1A1A"/>
        </w:rPr>
        <w:t xml:space="preserve"> with the five states side by side · </w:t>
      </w:r>
      <w:r>
        <w:rPr>
          <w:rFonts w:ascii="Calibri" w:hAnsi="Calibri"/>
          <w:b/>
          <w:color w:val="1A1A1A"/>
        </w:rPr>
        <w:t>billing event queue</w:t>
      </w:r>
      <w:r>
        <w:rPr>
          <w:rFonts w:ascii="Calibri" w:hAnsi="Calibri"/>
          <w:color w:val="1A1A1A"/>
        </w:rPr>
        <w:t xml:space="preserve"> driven by schedules and milestones · </w:t>
      </w:r>
      <w:r>
        <w:rPr>
          <w:rFonts w:ascii="Calibri" w:hAnsi="Calibri"/>
          <w:b/>
          <w:color w:val="1A1A1A"/>
        </w:rPr>
        <w:t>invoice register</w:t>
      </w:r>
      <w:r>
        <w:rPr>
          <w:rFonts w:ascii="Calibri" w:hAnsi="Calibri"/>
          <w:color w:val="1A1A1A"/>
        </w:rPr>
        <w:t xml:space="preserve"> with generation and PDF output · </w:t>
      </w:r>
      <w:r>
        <w:rPr>
          <w:rFonts w:ascii="Calibri" w:hAnsi="Calibri"/>
          <w:b/>
          <w:color w:val="1A1A1A"/>
        </w:rPr>
        <w:t>receipt recording with partial payment</w:t>
      </w:r>
      <w:r>
        <w:rPr>
          <w:rFonts w:ascii="Calibri" w:hAnsi="Calibri"/>
          <w:color w:val="1A1A1A"/>
        </w:rPr>
        <w:t xml:space="preserve"> · </w:t>
      </w:r>
      <w:r>
        <w:rPr>
          <w:rFonts w:ascii="Calibri" w:hAnsi="Calibri"/>
          <w:b/>
          <w:color w:val="1A1A1A"/>
        </w:rPr>
        <w:t>receivables aging board</w:t>
      </w:r>
      <w:r>
        <w:rPr>
          <w:rFonts w:ascii="Calibri" w:hAnsi="Calibri"/>
          <w:color w:val="1A1A1A"/>
        </w:rPr>
        <w:t xml:space="preserve"> by bucket, client and owner · </w:t>
      </w:r>
      <w:r>
        <w:rPr>
          <w:rFonts w:ascii="Calibri" w:hAnsi="Calibri"/>
          <w:b/>
          <w:color w:val="1A1A1A"/>
        </w:rPr>
        <w:t>dispute and credit note handling</w:t>
      </w:r>
      <w:r>
        <w:rPr>
          <w:rFonts w:ascii="Calibri" w:hAnsi="Calibri"/>
          <w:color w:val="1A1A1A"/>
        </w:rPr>
        <w:t xml:space="preserve"> · </w:t>
      </w:r>
      <w:r>
        <w:rPr>
          <w:rFonts w:ascii="Calibri" w:hAnsi="Calibri"/>
          <w:b/>
          <w:color w:val="1A1A1A"/>
        </w:rPr>
        <w:t>collection follow-up worklist with escalation</w:t>
      </w:r>
      <w:r>
        <w:rPr>
          <w:rFonts w:ascii="Calibri" w:hAnsi="Calibri"/>
          <w:color w:val="1A1A1A"/>
        </w:rPr>
        <w:t xml:space="preserve"> · </w:t>
      </w:r>
      <w:r>
        <w:rPr>
          <w:rFonts w:ascii="Calibri" w:hAnsi="Calibri"/>
          <w:b/>
          <w:color w:val="1A1A1A"/>
        </w:rPr>
        <w:t>revenue composition and trend dashboards</w:t>
      </w:r>
      <w:r>
        <w:rPr>
          <w:rFonts w:ascii="Calibri" w:hAnsi="Calibri"/>
          <w:color w:val="1A1A1A"/>
        </w:rPr>
        <w:t xml:space="preserve"> · </w:t>
      </w:r>
      <w:r>
        <w:rPr>
          <w:rFonts w:ascii="Calibri" w:hAnsi="Calibri"/>
          <w:b/>
          <w:color w:val="1A1A1A"/>
        </w:rPr>
        <w:t>per-client contribution report (entitled roles)</w:t>
      </w:r>
      <w:r>
        <w:rPr>
          <w:rFonts w:ascii="Calibri" w:hAnsi="Calibri"/>
          <w:color w:val="1A1A1A"/>
        </w:rPr>
        <w:t xml:space="preserve"> · </w:t>
      </w:r>
      <w:r>
        <w:rPr>
          <w:rFonts w:ascii="Calibri" w:hAnsi="Calibri"/>
          <w:b/>
          <w:color w:val="1A1A1A"/>
        </w:rPr>
        <w:t>LTV, renewal, expansion and churn analysis</w:t>
      </w:r>
      <w:r>
        <w:rPr>
          <w:rFonts w:ascii="Calibri" w:hAnsi="Calibri"/>
          <w:color w:val="1A1A1A"/>
        </w:rPr>
        <w:t>.</w:t>
      </w:r>
    </w:p>
    <w:p>
      <w:pPr>
        <w:pStyle w:val="Heading2"/>
      </w:pPr>
      <w:r>
        <w:t>Pillar 8 — Client Intelligence &amp; Executive Dashboard</w:t>
      </w:r>
    </w:p>
    <w:p>
      <w:pPr>
        <w:spacing w:before="120" w:after="160"/>
        <w:ind w:left="198"/>
        <w:pBdr>
          <w:left w:val="single" w:sz="18" w:space="8" w:color="B08D57"/>
        </w:pBdr>
        <w:shd w:val="clear" w:color="auto" w:fill="F4F1E8"/>
      </w:pPr>
      <w:r>
        <w:rPr>
          <w:rFonts w:ascii="Calibri" w:hAnsi="Calibri"/>
          <w:color w:val="1A1A1A"/>
          <w:sz w:val="19"/>
        </w:rPr>
        <w:t>### ⚠ NOT YET REVIEWED  The requirements below are the unvalidated initial draft. The pillar-by-pillar review reached Pillar 5 on 25 Aug 2026 and was paused to build the cost engine.</w:t>
      </w:r>
    </w:p>
    <w:p>
      <w:r>
        <w:rPr>
          <w:rFonts w:ascii="Calibri" w:hAnsi="Calibri"/>
          <w:i/>
          <w:color w:val="1A1A1A"/>
        </w:rPr>
        <w:t>Which clients and deals need attention, why, and what action should follow?</w:t>
      </w:r>
    </w:p>
    <w:p>
      <w:r>
        <w:rPr>
          <w:rFonts w:ascii="Calibri" w:hAnsi="Calibri"/>
          <w:color w:val="1A1A1A"/>
        </w:rPr>
        <w:t xml:space="preserve">Real capability exists here — Executive Overview, Command Center, configurable widget dashboards, scheduled digests, per-person reports and an AI assistant with a typed tool library. What is missing is the thing the pillar is named for: an </w:t>
      </w:r>
      <w:r>
        <w:rPr>
          <w:rFonts w:ascii="Calibri" w:hAnsi="Calibri"/>
          <w:b/>
          <w:color w:val="1A1A1A"/>
        </w:rPr>
        <w:t>explainable health model</w:t>
      </w:r>
      <w:r>
        <w:rPr>
          <w:rFonts w:ascii="Calibri" w:hAnsi="Calibri"/>
          <w:color w:val="1A1A1A"/>
        </w:rPr>
        <w:t xml:space="preserve"> and an </w:t>
      </w:r>
      <w:r>
        <w:rPr>
          <w:rFonts w:ascii="Calibri" w:hAnsi="Calibri"/>
          <w:b/>
          <w:color w:val="1A1A1A"/>
        </w:rPr>
        <w:t>exception workflow with an action trail</w:t>
      </w:r>
      <w:r>
        <w:rPr>
          <w:rFonts w:ascii="Calibri" w:hAnsi="Calibri"/>
          <w:color w:val="1A1A1A"/>
        </w:rPr>
        <w:t>. Today the system notifies; it does not track whether anyone did anything.</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064"/>
        <w:gridCol w:w="2064"/>
        <w:gridCol w:w="2064"/>
        <w:gridCol w:w="2064"/>
        <w:gridCol w:w="2064"/>
      </w:tblGrid>
      <w:tr>
        <w:trPr>
          <w:tblHeader w:val="true"/>
        </w:trPr>
        <w:tc>
          <w:tcPr>
            <w:tcW w:type="dxa" w:w="964"/>
            <w:shd w:val="clear" w:color="auto" w:fill="E8EDF2"/>
          </w:tcPr>
          <w:p>
            <w:pPr>
              <w:spacing w:after="0"/>
              <w:jc w:val="left"/>
            </w:pPr>
            <w:r>
              <w:rPr>
                <w:rFonts w:ascii="Calibri" w:hAnsi="Calibri"/>
                <w:b/>
                <w:color w:val="1A1A1A"/>
                <w:sz w:val="17"/>
              </w:rPr>
              <w:t>ID</w:t>
            </w:r>
          </w:p>
        </w:tc>
        <w:tc>
          <w:tcPr>
            <w:tcW w:type="dxa" w:w="3345"/>
            <w:shd w:val="clear" w:color="auto" w:fill="E8EDF2"/>
          </w:tcPr>
          <w:p>
            <w:pPr>
              <w:spacing w:after="0"/>
              <w:jc w:val="left"/>
            </w:pPr>
            <w:r>
              <w:rPr>
                <w:rFonts w:ascii="Calibri" w:hAnsi="Calibri"/>
                <w:b/>
                <w:color w:val="1A1A1A"/>
                <w:sz w:val="17"/>
              </w:rPr>
              <w:t>Requirement</w:t>
            </w:r>
          </w:p>
        </w:tc>
        <w:tc>
          <w:tcPr>
            <w:tcW w:type="dxa" w:w="3061"/>
            <w:shd w:val="clear" w:color="auto" w:fill="E8EDF2"/>
          </w:tcPr>
          <w:p>
            <w:pPr>
              <w:spacing w:after="0"/>
              <w:jc w:val="left"/>
            </w:pPr>
            <w:r>
              <w:rPr>
                <w:rFonts w:ascii="Calibri" w:hAnsi="Calibri"/>
                <w:b/>
                <w:color w:val="1A1A1A"/>
                <w:sz w:val="17"/>
              </w:rPr>
              <w:t>Acceptance</w:t>
            </w:r>
          </w:p>
        </w:tc>
        <w:tc>
          <w:tcPr>
            <w:tcW w:type="dxa" w:w="1020"/>
            <w:shd w:val="clear" w:color="auto" w:fill="E8EDF2"/>
          </w:tcPr>
          <w:p>
            <w:pPr>
              <w:spacing w:after="0"/>
              <w:jc w:val="left"/>
            </w:pPr>
            <w:r>
              <w:rPr>
                <w:rFonts w:ascii="Calibri" w:hAnsi="Calibri"/>
                <w:b/>
                <w:color w:val="1A1A1A"/>
                <w:sz w:val="17"/>
              </w:rPr>
              <w:t>Status</w:t>
            </w:r>
          </w:p>
        </w:tc>
        <w:tc>
          <w:tcPr>
            <w:tcW w:type="dxa" w:w="1928"/>
            <w:shd w:val="clear" w:color="auto" w:fill="E8EDF2"/>
          </w:tcPr>
          <w:p>
            <w:pPr>
              <w:spacing w:after="0"/>
              <w:jc w:val="left"/>
            </w:pPr>
            <w:r>
              <w:rPr>
                <w:rFonts w:ascii="Calibri" w:hAnsi="Calibri"/>
                <w:b/>
                <w:color w:val="1A1A1A"/>
                <w:sz w:val="17"/>
              </w:rPr>
              <w:t>Lands in</w:t>
            </w:r>
          </w:p>
        </w:tc>
      </w:tr>
      <w:tr>
        <w:tc>
          <w:tcPr>
            <w:tcW w:type="dxa" w:w="964"/>
          </w:tcPr>
          <w:p>
            <w:pPr>
              <w:spacing w:after="0" w:line="252" w:lineRule="auto"/>
              <w:jc w:val="left"/>
            </w:pPr>
            <w:r>
              <w:rPr>
                <w:rFonts w:ascii="Calibri" w:hAnsi="Calibri"/>
                <w:color w:val="1A1A1A"/>
                <w:sz w:val="17"/>
              </w:rPr>
              <w:t>FR-P8-01</w:t>
            </w:r>
          </w:p>
        </w:tc>
        <w:tc>
          <w:tcPr>
            <w:tcW w:type="dxa" w:w="3345"/>
          </w:tcPr>
          <w:p>
            <w:pPr>
              <w:spacing w:after="0" w:line="252" w:lineRule="auto"/>
              <w:jc w:val="left"/>
            </w:pPr>
            <w:r>
              <w:rPr>
                <w:rFonts w:ascii="Calibri" w:hAnsi="Calibri"/>
                <w:color w:val="1A1A1A"/>
                <w:sz w:val="17"/>
              </w:rPr>
              <w:t>Present an executive overview across all seven other pillars with consistent metric definitions</w:t>
            </w:r>
          </w:p>
        </w:tc>
        <w:tc>
          <w:tcPr>
            <w:tcW w:type="dxa" w:w="3061"/>
          </w:tcPr>
          <w:p>
            <w:pPr>
              <w:spacing w:after="0" w:line="252" w:lineRule="auto"/>
              <w:jc w:val="left"/>
            </w:pPr>
            <w:r>
              <w:rPr>
                <w:rFonts w:ascii="Calibri" w:hAnsi="Calibri"/>
                <w:color w:val="1A1A1A"/>
                <w:sz w:val="17"/>
              </w:rPr>
              <w:t>One page answers client, pipeline, channel, pricing, contract, delivery and revenue posture</w:t>
            </w:r>
          </w:p>
        </w:tc>
        <w:tc>
          <w:tcPr>
            <w:tcW w:type="dxa" w:w="1020"/>
          </w:tcPr>
          <w:p>
            <w:pPr>
              <w:spacing w:after="0" w:line="252" w:lineRule="auto"/>
              <w:jc w:val="left"/>
            </w:pPr>
            <w:r>
              <w:rPr>
                <w:rFonts w:ascii="Calibri" w:hAnsi="Calibri"/>
                <w:b/>
                <w:color w:val="9A5B00"/>
                <w:sz w:val="17"/>
              </w:rPr>
              <w:t>PARTIAL</w:t>
            </w:r>
            <w:r>
              <w:rPr>
                <w:rFonts w:ascii="Calibri" w:hAnsi="Calibri"/>
                <w:color w:val="9A5B00"/>
                <w:sz w:val="17"/>
              </w:rPr>
              <w:t xml:space="preserve"> — covers projects, prospects and people; nothing on contracts, pricing or revenue</w:t>
            </w:r>
          </w:p>
        </w:tc>
        <w:tc>
          <w:tcPr>
            <w:tcW w:type="dxa" w:w="1928"/>
          </w:tcPr>
          <w:p>
            <w:pPr>
              <w:spacing w:after="0" w:line="252" w:lineRule="auto"/>
              <w:jc w:val="left"/>
            </w:pPr>
            <w:r>
              <w:rPr>
                <w:rFonts w:ascii="Calibri" w:hAnsi="Calibri"/>
                <w:color w:val="1F4E79"/>
                <w:sz w:val="17"/>
                <w:u w:val="single"/>
              </w:rPr>
              <w:t>executive-overview.service.ts</w:t>
            </w:r>
          </w:p>
        </w:tc>
      </w:tr>
      <w:tr>
        <w:tc>
          <w:tcPr>
            <w:tcW w:type="dxa" w:w="964"/>
            <w:shd w:val="clear" w:color="auto" w:fill="FAFBFC"/>
          </w:tcPr>
          <w:p>
            <w:pPr>
              <w:spacing w:after="0" w:line="252" w:lineRule="auto"/>
              <w:jc w:val="left"/>
            </w:pPr>
            <w:r>
              <w:rPr>
                <w:rFonts w:ascii="Calibri" w:hAnsi="Calibri"/>
                <w:color w:val="1A1A1A"/>
                <w:sz w:val="17"/>
              </w:rPr>
              <w:t>FR-P8-02</w:t>
            </w:r>
          </w:p>
        </w:tc>
        <w:tc>
          <w:tcPr>
            <w:tcW w:type="dxa" w:w="3345"/>
            <w:shd w:val="clear" w:color="auto" w:fill="FAFBFC"/>
          </w:tcPr>
          <w:p>
            <w:pPr>
              <w:spacing w:after="0" w:line="252" w:lineRule="auto"/>
              <w:jc w:val="left"/>
            </w:pPr>
            <w:r>
              <w:rPr>
                <w:rFonts w:ascii="Calibri" w:hAnsi="Calibri"/>
                <w:color w:val="1A1A1A"/>
                <w:sz w:val="17"/>
              </w:rPr>
              <w:t>Compute an explainable client health score from delivery status, commercial standing, engagement recency, payment behaviour and renewal proximity</w:t>
            </w:r>
          </w:p>
        </w:tc>
        <w:tc>
          <w:tcPr>
            <w:tcW w:type="dxa" w:w="3061"/>
            <w:shd w:val="clear" w:color="auto" w:fill="FAFBFC"/>
          </w:tcPr>
          <w:p>
            <w:pPr>
              <w:spacing w:after="0" w:line="252" w:lineRule="auto"/>
              <w:jc w:val="left"/>
            </w:pPr>
            <w:r>
              <w:rPr>
                <w:rFonts w:ascii="Calibri" w:hAnsi="Calibri"/>
                <w:color w:val="1A1A1A"/>
                <w:sz w:val="17"/>
              </w:rPr>
              <w:t>The score shows each contributing signal, its weight and its current value; no black box</w:t>
            </w:r>
          </w:p>
        </w:tc>
        <w:tc>
          <w:tcPr>
            <w:tcW w:type="dxa" w:w="1020"/>
            <w:shd w:val="clear" w:color="auto" w:fill="FAFBFC"/>
          </w:tcPr>
          <w:p>
            <w:pPr>
              <w:spacing w:after="0" w:line="252" w:lineRule="auto"/>
              <w:jc w:val="left"/>
            </w:pPr>
            <w:r>
              <w:rPr>
                <w:rFonts w:ascii="Calibri" w:hAnsi="Calibri"/>
                <w:b/>
                <w:color w:val="1F4E79"/>
                <w:sz w:val="17"/>
              </w:rPr>
              <w:t>NEW</w:t>
            </w:r>
            <w:r>
              <w:rPr>
                <w:rFonts w:ascii="Calibri" w:hAnsi="Calibri"/>
                <w:color w:val="1F4E79"/>
                <w:sz w:val="17"/>
              </w:rPr>
              <w:t xml:space="preserve"> — no health model of any kind exists</w:t>
            </w:r>
          </w:p>
        </w:tc>
        <w:tc>
          <w:tcPr>
            <w:tcW w:type="dxa" w:w="1928"/>
            <w:shd w:val="clear" w:color="auto" w:fill="FAFBFC"/>
          </w:tcPr>
          <w:p>
            <w:pPr>
              <w:spacing w:after="0" w:line="252" w:lineRule="auto"/>
              <w:jc w:val="left"/>
            </w:pPr>
            <w:r>
              <w:rPr>
                <w:rFonts w:ascii="Calibri" w:hAnsi="Calibri"/>
                <w:color w:val="1A1A1A"/>
                <w:sz w:val="17"/>
              </w:rPr>
              <w:t xml:space="preserve">New </w:t>
            </w:r>
            <w:r>
              <w:rPr>
                <w:rFonts w:ascii="Consolas" w:hAnsi="Consolas"/>
                <w:color w:val="8B2E2E"/>
                <w:sz w:val="17"/>
              </w:rPr>
              <w:t>client_health</w:t>
            </w:r>
          </w:p>
        </w:tc>
      </w:tr>
      <w:tr>
        <w:tc>
          <w:tcPr>
            <w:tcW w:type="dxa" w:w="964"/>
          </w:tcPr>
          <w:p>
            <w:pPr>
              <w:spacing w:after="0" w:line="252" w:lineRule="auto"/>
              <w:jc w:val="left"/>
            </w:pPr>
            <w:r>
              <w:rPr>
                <w:rFonts w:ascii="Calibri" w:hAnsi="Calibri"/>
                <w:color w:val="1A1A1A"/>
                <w:sz w:val="17"/>
              </w:rPr>
              <w:t>FR-P8-03</w:t>
            </w:r>
          </w:p>
        </w:tc>
        <w:tc>
          <w:tcPr>
            <w:tcW w:type="dxa" w:w="3345"/>
          </w:tcPr>
          <w:p>
            <w:pPr>
              <w:spacing w:after="0" w:line="252" w:lineRule="auto"/>
              <w:jc w:val="left"/>
            </w:pPr>
            <w:r>
              <w:rPr>
                <w:rFonts w:ascii="Calibri" w:hAnsi="Calibri"/>
                <w:color w:val="1A1A1A"/>
                <w:sz w:val="17"/>
              </w:rPr>
              <w:t>Compute deal confidence from qualification completeness, engagement recency, stage velocity and decision-path coverage</w:t>
            </w:r>
          </w:p>
        </w:tc>
        <w:tc>
          <w:tcPr>
            <w:tcW w:type="dxa" w:w="3061"/>
          </w:tcPr>
          <w:p>
            <w:pPr>
              <w:spacing w:after="0" w:line="252" w:lineRule="auto"/>
              <w:jc w:val="left"/>
            </w:pPr>
            <w:r>
              <w:rPr>
                <w:rFonts w:ascii="Calibri" w:hAnsi="Calibri"/>
                <w:color w:val="1A1A1A"/>
                <w:sz w:val="17"/>
              </w:rPr>
              <w:t>Confidence is explainable to its inputs and distinct from the owner's stated probability</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P8 with P2</w:t>
            </w:r>
          </w:p>
        </w:tc>
      </w:tr>
      <w:tr>
        <w:tc>
          <w:tcPr>
            <w:tcW w:type="dxa" w:w="964"/>
            <w:shd w:val="clear" w:color="auto" w:fill="FAFBFC"/>
          </w:tcPr>
          <w:p>
            <w:pPr>
              <w:spacing w:after="0" w:line="252" w:lineRule="auto"/>
              <w:jc w:val="left"/>
            </w:pPr>
            <w:r>
              <w:rPr>
                <w:rFonts w:ascii="Calibri" w:hAnsi="Calibri"/>
                <w:color w:val="1A1A1A"/>
                <w:sz w:val="17"/>
              </w:rPr>
              <w:t>FR-P8-04</w:t>
            </w:r>
          </w:p>
        </w:tc>
        <w:tc>
          <w:tcPr>
            <w:tcW w:type="dxa" w:w="3345"/>
            <w:shd w:val="clear" w:color="auto" w:fill="FAFBFC"/>
          </w:tcPr>
          <w:p>
            <w:pPr>
              <w:spacing w:after="0" w:line="252" w:lineRule="auto"/>
              <w:jc w:val="left"/>
            </w:pPr>
            <w:r>
              <w:rPr>
                <w:rFonts w:ascii="Calibri" w:hAnsi="Calibri"/>
                <w:color w:val="1A1A1A"/>
                <w:sz w:val="17"/>
              </w:rPr>
              <w:t>Raise exceptions for stalled deals, unsigned contracts, unfunded work, delivery slippage, aging receivables and churn risk</w:t>
            </w:r>
          </w:p>
        </w:tc>
        <w:tc>
          <w:tcPr>
            <w:tcW w:type="dxa" w:w="3061"/>
            <w:shd w:val="clear" w:color="auto" w:fill="FAFBFC"/>
          </w:tcPr>
          <w:p>
            <w:pPr>
              <w:spacing w:after="0" w:line="252" w:lineRule="auto"/>
              <w:jc w:val="left"/>
            </w:pPr>
            <w:r>
              <w:rPr>
                <w:rFonts w:ascii="Calibri" w:hAnsi="Calibri"/>
                <w:color w:val="1A1A1A"/>
                <w:sz w:val="17"/>
              </w:rPr>
              <w:t>Each exception class is detected on a schedule and appears in one prioritized queue</w:t>
            </w:r>
          </w:p>
        </w:tc>
        <w:tc>
          <w:tcPr>
            <w:tcW w:type="dxa" w:w="1020"/>
            <w:shd w:val="clear" w:color="auto" w:fill="FAFBFC"/>
          </w:tcPr>
          <w:p>
            <w:pPr>
              <w:spacing w:after="0" w:line="252" w:lineRule="auto"/>
              <w:jc w:val="left"/>
            </w:pPr>
            <w:r>
              <w:rPr>
                <w:rFonts w:ascii="Calibri" w:hAnsi="Calibri"/>
                <w:b/>
                <w:color w:val="9A5B00"/>
                <w:sz w:val="17"/>
              </w:rPr>
              <w:t>PARTIAL</w:t>
            </w:r>
            <w:r>
              <w:rPr>
                <w:rFonts w:ascii="Calibri" w:hAnsi="Calibri"/>
                <w:color w:val="9A5B00"/>
                <w:sz w:val="17"/>
              </w:rPr>
              <w:t xml:space="preserve"> — stale deals and delayed projects are detected; the other four have no source data yet</w:t>
            </w:r>
          </w:p>
        </w:tc>
        <w:tc>
          <w:tcPr>
            <w:tcW w:type="dxa" w:w="1928"/>
            <w:shd w:val="clear" w:color="auto" w:fill="FAFBFC"/>
          </w:tcPr>
          <w:p>
            <w:pPr>
              <w:spacing w:after="0" w:line="252" w:lineRule="auto"/>
              <w:jc w:val="left"/>
            </w:pPr>
            <w:r>
              <w:rPr>
                <w:rFonts w:ascii="Calibri" w:hAnsi="Calibri"/>
                <w:color w:val="1F4E79"/>
                <w:sz w:val="17"/>
                <w:u w:val="single"/>
              </w:rPr>
              <w:t>automation.service.ts</w:t>
            </w:r>
          </w:p>
        </w:tc>
      </w:tr>
      <w:tr>
        <w:tc>
          <w:tcPr>
            <w:tcW w:type="dxa" w:w="964"/>
          </w:tcPr>
          <w:p>
            <w:pPr>
              <w:spacing w:after="0" w:line="252" w:lineRule="auto"/>
              <w:jc w:val="left"/>
            </w:pPr>
            <w:r>
              <w:rPr>
                <w:rFonts w:ascii="Calibri" w:hAnsi="Calibri"/>
                <w:color w:val="1A1A1A"/>
                <w:sz w:val="17"/>
              </w:rPr>
              <w:t>FR-P8-05</w:t>
            </w:r>
          </w:p>
        </w:tc>
        <w:tc>
          <w:tcPr>
            <w:tcW w:type="dxa" w:w="3345"/>
          </w:tcPr>
          <w:p>
            <w:pPr>
              <w:spacing w:after="0" w:line="252" w:lineRule="auto"/>
              <w:jc w:val="left"/>
            </w:pPr>
            <w:r>
              <w:rPr>
                <w:rFonts w:ascii="Calibri" w:hAnsi="Calibri"/>
                <w:color w:val="1A1A1A"/>
                <w:sz w:val="17"/>
              </w:rPr>
              <w:t>Give every exception an owner, a recommended action, an acknowledgement, a resolution and an outcome</w:t>
            </w:r>
          </w:p>
        </w:tc>
        <w:tc>
          <w:tcPr>
            <w:tcW w:type="dxa" w:w="3061"/>
          </w:tcPr>
          <w:p>
            <w:pPr>
              <w:spacing w:after="0" w:line="252" w:lineRule="auto"/>
              <w:jc w:val="left"/>
            </w:pPr>
            <w:r>
              <w:rPr>
                <w:rFonts w:ascii="Calibri" w:hAnsi="Calibri"/>
                <w:color w:val="1A1A1A"/>
                <w:sz w:val="17"/>
              </w:rPr>
              <w:t>An exception moves raised → acknowledged → actioned → resolved, each step timestamped and attributed</w:t>
            </w:r>
          </w:p>
        </w:tc>
        <w:tc>
          <w:tcPr>
            <w:tcW w:type="dxa" w:w="1020"/>
          </w:tcPr>
          <w:p>
            <w:pPr>
              <w:spacing w:after="0" w:line="252" w:lineRule="auto"/>
              <w:jc w:val="left"/>
            </w:pPr>
            <w:r>
              <w:rPr>
                <w:rFonts w:ascii="Calibri" w:hAnsi="Calibri"/>
                <w:b/>
                <w:color w:val="1F4E79"/>
                <w:sz w:val="17"/>
              </w:rPr>
              <w:t>NEW</w:t>
            </w:r>
            <w:r>
              <w:rPr>
                <w:rFonts w:ascii="Calibri" w:hAnsi="Calibri"/>
                <w:color w:val="1F4E79"/>
                <w:sz w:val="17"/>
              </w:rPr>
              <w:t xml:space="preserve"> — notifications are fire-and-forget with no lifecycle</w:t>
            </w:r>
          </w:p>
        </w:tc>
        <w:tc>
          <w:tcPr>
            <w:tcW w:type="dxa" w:w="1928"/>
          </w:tcPr>
          <w:p>
            <w:pPr>
              <w:spacing w:after="0" w:line="252" w:lineRule="auto"/>
              <w:jc w:val="left"/>
            </w:pPr>
            <w:r>
              <w:rPr>
                <w:rFonts w:ascii="Calibri" w:hAnsi="Calibri"/>
                <w:color w:val="1A1A1A"/>
                <w:sz w:val="17"/>
              </w:rPr>
              <w:t xml:space="preserve">New </w:t>
            </w:r>
            <w:r>
              <w:rPr>
                <w:rFonts w:ascii="Consolas" w:hAnsi="Consolas"/>
                <w:color w:val="8B2E2E"/>
                <w:sz w:val="17"/>
              </w:rPr>
              <w:t>exceptions</w:t>
            </w:r>
            <w:r>
              <w:rPr>
                <w:rFonts w:ascii="Calibri" w:hAnsi="Calibri"/>
                <w:color w:val="1A1A1A"/>
                <w:sz w:val="17"/>
              </w:rPr>
              <w:t xml:space="preserve"> table</w:t>
            </w:r>
          </w:p>
        </w:tc>
      </w:tr>
      <w:tr>
        <w:tc>
          <w:tcPr>
            <w:tcW w:type="dxa" w:w="964"/>
            <w:shd w:val="clear" w:color="auto" w:fill="FAFBFC"/>
          </w:tcPr>
          <w:p>
            <w:pPr>
              <w:spacing w:after="0" w:line="252" w:lineRule="auto"/>
              <w:jc w:val="left"/>
            </w:pPr>
            <w:r>
              <w:rPr>
                <w:rFonts w:ascii="Calibri" w:hAnsi="Calibri"/>
                <w:color w:val="1A1A1A"/>
                <w:sz w:val="17"/>
              </w:rPr>
              <w:t>FR-P8-06</w:t>
            </w:r>
          </w:p>
        </w:tc>
        <w:tc>
          <w:tcPr>
            <w:tcW w:type="dxa" w:w="3345"/>
            <w:shd w:val="clear" w:color="auto" w:fill="FAFBFC"/>
          </w:tcPr>
          <w:p>
            <w:pPr>
              <w:spacing w:after="0" w:line="252" w:lineRule="auto"/>
              <w:jc w:val="left"/>
            </w:pPr>
            <w:r>
              <w:rPr>
                <w:rFonts w:ascii="Calibri" w:hAnsi="Calibri"/>
                <w:color w:val="1A1A1A"/>
                <w:sz w:val="17"/>
              </w:rPr>
              <w:t>Quantify the commercial impact of an exception</w:t>
            </w:r>
          </w:p>
        </w:tc>
        <w:tc>
          <w:tcPr>
            <w:tcW w:type="dxa" w:w="3061"/>
            <w:shd w:val="clear" w:color="auto" w:fill="FAFBFC"/>
          </w:tcPr>
          <w:p>
            <w:pPr>
              <w:spacing w:after="0" w:line="252" w:lineRule="auto"/>
              <w:jc w:val="left"/>
            </w:pPr>
            <w:r>
              <w:rPr>
                <w:rFonts w:ascii="Calibri" w:hAnsi="Calibri"/>
                <w:color w:val="1A1A1A"/>
                <w:sz w:val="17"/>
              </w:rPr>
              <w:t>An exception states the value at risk, not only that something is wrong</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Exception service</w:t>
            </w:r>
          </w:p>
        </w:tc>
      </w:tr>
      <w:tr>
        <w:tc>
          <w:tcPr>
            <w:tcW w:type="dxa" w:w="964"/>
          </w:tcPr>
          <w:p>
            <w:pPr>
              <w:spacing w:after="0" w:line="252" w:lineRule="auto"/>
              <w:jc w:val="left"/>
            </w:pPr>
            <w:r>
              <w:rPr>
                <w:rFonts w:ascii="Calibri" w:hAnsi="Calibri"/>
                <w:color w:val="1A1A1A"/>
                <w:sz w:val="17"/>
              </w:rPr>
              <w:t>FR-P8-07</w:t>
            </w:r>
          </w:p>
        </w:tc>
        <w:tc>
          <w:tcPr>
            <w:tcW w:type="dxa" w:w="3345"/>
          </w:tcPr>
          <w:p>
            <w:pPr>
              <w:spacing w:after="0" w:line="252" w:lineRule="auto"/>
              <w:jc w:val="left"/>
            </w:pPr>
            <w:r>
              <w:rPr>
                <w:rFonts w:ascii="Calibri" w:hAnsi="Calibri"/>
                <w:color w:val="1A1A1A"/>
                <w:sz w:val="17"/>
              </w:rPr>
              <w:t>Route each exception to the pillar that owns the fix, with a deep link into the record</w:t>
            </w:r>
          </w:p>
        </w:tc>
        <w:tc>
          <w:tcPr>
            <w:tcW w:type="dxa" w:w="3061"/>
          </w:tcPr>
          <w:p>
            <w:pPr>
              <w:spacing w:after="0" w:line="252" w:lineRule="auto"/>
              <w:jc w:val="left"/>
            </w:pPr>
            <w:r>
              <w:rPr>
                <w:rFonts w:ascii="Calibri" w:hAnsi="Calibri"/>
                <w:color w:val="1A1A1A"/>
                <w:sz w:val="17"/>
              </w:rPr>
              <w:t>Acting on an exception takes the user to the exact record and action</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Exception service</w:t>
            </w:r>
          </w:p>
        </w:tc>
      </w:tr>
      <w:tr>
        <w:tc>
          <w:tcPr>
            <w:tcW w:type="dxa" w:w="964"/>
            <w:shd w:val="clear" w:color="auto" w:fill="FAFBFC"/>
          </w:tcPr>
          <w:p>
            <w:pPr>
              <w:spacing w:after="0" w:line="252" w:lineRule="auto"/>
              <w:jc w:val="left"/>
            </w:pPr>
            <w:r>
              <w:rPr>
                <w:rFonts w:ascii="Calibri" w:hAnsi="Calibri"/>
                <w:color w:val="1A1A1A"/>
                <w:sz w:val="17"/>
              </w:rPr>
              <w:t>FR-P8-08</w:t>
            </w:r>
          </w:p>
        </w:tc>
        <w:tc>
          <w:tcPr>
            <w:tcW w:type="dxa" w:w="3345"/>
            <w:shd w:val="clear" w:color="auto" w:fill="FAFBFC"/>
          </w:tcPr>
          <w:p>
            <w:pPr>
              <w:spacing w:after="0" w:line="252" w:lineRule="auto"/>
              <w:jc w:val="left"/>
            </w:pPr>
            <w:r>
              <w:rPr>
                <w:rFonts w:ascii="Calibri" w:hAnsi="Calibri"/>
                <w:color w:val="1A1A1A"/>
                <w:sz w:val="17"/>
              </w:rPr>
              <w:t>Provide scorecards by segment, service line, channel, client and engagement, with targets and thresholds</w:t>
            </w:r>
          </w:p>
        </w:tc>
        <w:tc>
          <w:tcPr>
            <w:tcW w:type="dxa" w:w="3061"/>
            <w:shd w:val="clear" w:color="auto" w:fill="FAFBFC"/>
          </w:tcPr>
          <w:p>
            <w:pPr>
              <w:spacing w:after="0" w:line="252" w:lineRule="auto"/>
              <w:jc w:val="left"/>
            </w:pPr>
            <w:r>
              <w:rPr>
                <w:rFonts w:ascii="Calibri" w:hAnsi="Calibri"/>
                <w:color w:val="1A1A1A"/>
                <w:sz w:val="17"/>
              </w:rPr>
              <w:t>A scorecard compares actual to target and colours by threshold</w:t>
            </w:r>
          </w:p>
        </w:tc>
        <w:tc>
          <w:tcPr>
            <w:tcW w:type="dxa" w:w="1020"/>
            <w:shd w:val="clear" w:color="auto" w:fill="FAFBFC"/>
          </w:tcPr>
          <w:p>
            <w:pPr>
              <w:spacing w:after="0" w:line="252" w:lineRule="auto"/>
              <w:jc w:val="left"/>
            </w:pPr>
            <w:r>
              <w:rPr>
                <w:rFonts w:ascii="Calibri" w:hAnsi="Calibri"/>
                <w:b/>
                <w:color w:val="9A5B00"/>
                <w:sz w:val="17"/>
              </w:rPr>
              <w:t>PARTIAL</w:t>
            </w:r>
            <w:r>
              <w:rPr>
                <w:rFonts w:ascii="Calibri" w:hAnsi="Calibri"/>
                <w:color w:val="9A5B00"/>
                <w:sz w:val="17"/>
              </w:rPr>
              <w:t xml:space="preserve"> — widgets can display metrics; there is no target or threshold model</w:t>
            </w:r>
          </w:p>
        </w:tc>
        <w:tc>
          <w:tcPr>
            <w:tcW w:type="dxa" w:w="1928"/>
            <w:shd w:val="clear" w:color="auto" w:fill="FAFBFC"/>
          </w:tcPr>
          <w:p>
            <w:pPr>
              <w:spacing w:after="0" w:line="252" w:lineRule="auto"/>
              <w:jc w:val="left"/>
            </w:pPr>
            <w:r>
              <w:rPr>
                <w:rFonts w:ascii="Calibri" w:hAnsi="Calibri"/>
                <w:color w:val="1A1A1A"/>
                <w:sz w:val="17"/>
              </w:rPr>
              <w:t xml:space="preserve">New </w:t>
            </w:r>
            <w:r>
              <w:rPr>
                <w:rFonts w:ascii="Consolas" w:hAnsi="Consolas"/>
                <w:color w:val="8B2E2E"/>
                <w:sz w:val="17"/>
              </w:rPr>
              <w:t>targets</w:t>
            </w:r>
            <w:r>
              <w:rPr>
                <w:rFonts w:ascii="Calibri" w:hAnsi="Calibri"/>
                <w:color w:val="1A1A1A"/>
                <w:sz w:val="17"/>
              </w:rPr>
              <w:t xml:space="preserve"> table</w:t>
            </w:r>
          </w:p>
        </w:tc>
      </w:tr>
      <w:tr>
        <w:tc>
          <w:tcPr>
            <w:tcW w:type="dxa" w:w="964"/>
          </w:tcPr>
          <w:p>
            <w:pPr>
              <w:spacing w:after="0" w:line="252" w:lineRule="auto"/>
              <w:jc w:val="left"/>
            </w:pPr>
            <w:r>
              <w:rPr>
                <w:rFonts w:ascii="Calibri" w:hAnsi="Calibri"/>
                <w:color w:val="1A1A1A"/>
                <w:sz w:val="17"/>
              </w:rPr>
              <w:t>FR-P8-09</w:t>
            </w:r>
          </w:p>
        </w:tc>
        <w:tc>
          <w:tcPr>
            <w:tcW w:type="dxa" w:w="3345"/>
          </w:tcPr>
          <w:p>
            <w:pPr>
              <w:spacing w:after="0" w:line="252" w:lineRule="auto"/>
              <w:jc w:val="left"/>
            </w:pPr>
            <w:r>
              <w:rPr>
                <w:rFonts w:ascii="Calibri" w:hAnsi="Calibri"/>
                <w:color w:val="1A1A1A"/>
                <w:sz w:val="17"/>
              </w:rPr>
              <w:t>Support drill-down from any aggregate to the individual source record</w:t>
            </w:r>
          </w:p>
        </w:tc>
        <w:tc>
          <w:tcPr>
            <w:tcW w:type="dxa" w:w="3061"/>
          </w:tcPr>
          <w:p>
            <w:pPr>
              <w:spacing w:after="0" w:line="252" w:lineRule="auto"/>
              <w:jc w:val="left"/>
            </w:pPr>
            <w:r>
              <w:rPr>
                <w:rFonts w:ascii="Calibri" w:hAnsi="Calibri"/>
                <w:color w:val="1A1A1A"/>
                <w:sz w:val="17"/>
              </w:rPr>
              <w:t>Company revenue reconciles down to segment, client, engagement, contract and billing event</w:t>
            </w:r>
          </w:p>
        </w:tc>
        <w:tc>
          <w:tcPr>
            <w:tcW w:type="dxa" w:w="1020"/>
          </w:tcPr>
          <w:p>
            <w:pPr>
              <w:spacing w:after="0" w:line="252" w:lineRule="auto"/>
              <w:jc w:val="left"/>
            </w:pPr>
            <w:r>
              <w:rPr>
                <w:rFonts w:ascii="Calibri" w:hAnsi="Calibri"/>
                <w:b/>
                <w:color w:val="9A5B00"/>
                <w:sz w:val="17"/>
              </w:rPr>
              <w:t>PARTIAL</w:t>
            </w:r>
            <w:r>
              <w:rPr>
                <w:rFonts w:ascii="Calibri" w:hAnsi="Calibri"/>
                <w:color w:val="9A5B00"/>
                <w:sz w:val="17"/>
              </w:rPr>
              <w:t xml:space="preserve"> — some widgets drill; reconciliation to source is not guaranteed</w:t>
            </w:r>
          </w:p>
        </w:tc>
        <w:tc>
          <w:tcPr>
            <w:tcW w:type="dxa" w:w="1928"/>
          </w:tcPr>
          <w:p>
            <w:pPr>
              <w:spacing w:after="0" w:line="252" w:lineRule="auto"/>
              <w:jc w:val="left"/>
            </w:pPr>
            <w:r>
              <w:rPr>
                <w:rFonts w:ascii="Calibri" w:hAnsi="Calibri"/>
                <w:color w:val="1A1A1A"/>
                <w:sz w:val="17"/>
              </w:rPr>
              <w:t>Dashboard + reporting</w:t>
            </w:r>
          </w:p>
        </w:tc>
      </w:tr>
      <w:tr>
        <w:tc>
          <w:tcPr>
            <w:tcW w:type="dxa" w:w="964"/>
            <w:shd w:val="clear" w:color="auto" w:fill="FAFBFC"/>
          </w:tcPr>
          <w:p>
            <w:pPr>
              <w:spacing w:after="0" w:line="252" w:lineRule="auto"/>
              <w:jc w:val="left"/>
            </w:pPr>
            <w:r>
              <w:rPr>
                <w:rFonts w:ascii="Calibri" w:hAnsi="Calibri"/>
                <w:color w:val="1A1A1A"/>
                <w:sz w:val="17"/>
              </w:rPr>
              <w:t>FR-P8-10</w:t>
            </w:r>
          </w:p>
        </w:tc>
        <w:tc>
          <w:tcPr>
            <w:tcW w:type="dxa" w:w="3345"/>
            <w:shd w:val="clear" w:color="auto" w:fill="FAFBFC"/>
          </w:tcPr>
          <w:p>
            <w:pPr>
              <w:spacing w:after="0" w:line="252" w:lineRule="auto"/>
              <w:jc w:val="left"/>
            </w:pPr>
            <w:r>
              <w:rPr>
                <w:rFonts w:ascii="Calibri" w:hAnsi="Calibri"/>
                <w:color w:val="1A1A1A"/>
                <w:sz w:val="17"/>
              </w:rPr>
              <w:t>Let users build and share dashboards with widgets, visibility settings and public tokens</w:t>
            </w:r>
          </w:p>
        </w:tc>
        <w:tc>
          <w:tcPr>
            <w:tcW w:type="dxa" w:w="3061"/>
            <w:shd w:val="clear" w:color="auto" w:fill="FAFBFC"/>
          </w:tcPr>
          <w:p>
            <w:pPr>
              <w:spacing w:after="0" w:line="252" w:lineRule="auto"/>
              <w:jc w:val="left"/>
            </w:pPr>
            <w:r>
              <w:rPr>
                <w:rFonts w:ascii="Calibri" w:hAnsi="Calibri"/>
                <w:color w:val="1A1A1A"/>
                <w:sz w:val="17"/>
              </w:rPr>
              <w:t>Dashboards are created, arranged, published and scheduled</w:t>
            </w:r>
          </w:p>
        </w:tc>
        <w:tc>
          <w:tcPr>
            <w:tcW w:type="dxa" w:w="1020"/>
            <w:shd w:val="clear" w:color="auto" w:fill="FAFBFC"/>
          </w:tcPr>
          <w:p>
            <w:pPr>
              <w:spacing w:after="0" w:line="252" w:lineRule="auto"/>
              <w:jc w:val="left"/>
            </w:pPr>
            <w:r>
              <w:rPr>
                <w:rFonts w:ascii="Calibri" w:hAnsi="Calibri"/>
                <w:b/>
                <w:color w:val="1E6B33"/>
                <w:sz w:val="17"/>
              </w:rPr>
              <w:t>EXISTS</w:t>
            </w:r>
          </w:p>
        </w:tc>
        <w:tc>
          <w:tcPr>
            <w:tcW w:type="dxa" w:w="1928"/>
            <w:shd w:val="clear" w:color="auto" w:fill="FAFBFC"/>
          </w:tcPr>
          <w:p>
            <w:pPr>
              <w:spacing w:after="0" w:line="252" w:lineRule="auto"/>
              <w:jc w:val="left"/>
            </w:pPr>
            <w:r>
              <w:rPr>
                <w:rFonts w:ascii="Calibri" w:hAnsi="Calibri"/>
                <w:color w:val="1F4E79"/>
                <w:sz w:val="17"/>
                <w:u w:val="single"/>
              </w:rPr>
              <w:t>dashboards.ts</w:t>
            </w:r>
          </w:p>
        </w:tc>
      </w:tr>
      <w:tr>
        <w:tc>
          <w:tcPr>
            <w:tcW w:type="dxa" w:w="964"/>
          </w:tcPr>
          <w:p>
            <w:pPr>
              <w:spacing w:after="0" w:line="252" w:lineRule="auto"/>
              <w:jc w:val="left"/>
            </w:pPr>
            <w:r>
              <w:rPr>
                <w:rFonts w:ascii="Calibri" w:hAnsi="Calibri"/>
                <w:color w:val="1A1A1A"/>
                <w:sz w:val="17"/>
              </w:rPr>
              <w:t>FR-P8-11</w:t>
            </w:r>
          </w:p>
        </w:tc>
        <w:tc>
          <w:tcPr>
            <w:tcW w:type="dxa" w:w="3345"/>
          </w:tcPr>
          <w:p>
            <w:pPr>
              <w:spacing w:after="0" w:line="252" w:lineRule="auto"/>
              <w:jc w:val="left"/>
            </w:pPr>
            <w:r>
              <w:rPr>
                <w:rFonts w:ascii="Calibri" w:hAnsi="Calibri"/>
                <w:color w:val="1A1A1A"/>
                <w:sz w:val="17"/>
              </w:rPr>
              <w:t>Deliver scheduled digests over email and chat, rendered from a dashboard</w:t>
            </w:r>
          </w:p>
        </w:tc>
        <w:tc>
          <w:tcPr>
            <w:tcW w:type="dxa" w:w="3061"/>
          </w:tcPr>
          <w:p>
            <w:pPr>
              <w:spacing w:after="0" w:line="252" w:lineRule="auto"/>
              <w:jc w:val="left"/>
            </w:pPr>
            <w:r>
              <w:rPr>
                <w:rFonts w:ascii="Calibri" w:hAnsi="Calibri"/>
                <w:color w:val="1A1A1A"/>
                <w:sz w:val="17"/>
              </w:rPr>
              <w:t>A digest binds a dashboard to a schedule and a recipient list and sends server-rendered widgets</w:t>
            </w:r>
          </w:p>
        </w:tc>
        <w:tc>
          <w:tcPr>
            <w:tcW w:type="dxa" w:w="1020"/>
          </w:tcPr>
          <w:p>
            <w:pPr>
              <w:spacing w:after="0" w:line="252" w:lineRule="auto"/>
              <w:jc w:val="left"/>
            </w:pPr>
            <w:r>
              <w:rPr>
                <w:rFonts w:ascii="Calibri" w:hAnsi="Calibri"/>
                <w:b/>
                <w:color w:val="1E6B33"/>
                <w:sz w:val="17"/>
              </w:rPr>
              <w:t>EXISTS</w:t>
            </w:r>
          </w:p>
        </w:tc>
        <w:tc>
          <w:tcPr>
            <w:tcW w:type="dxa" w:w="1928"/>
          </w:tcPr>
          <w:p>
            <w:pPr>
              <w:spacing w:after="0" w:line="252" w:lineRule="auto"/>
              <w:jc w:val="left"/>
            </w:pPr>
            <w:r>
              <w:rPr>
                <w:rFonts w:ascii="Calibri" w:hAnsi="Calibri"/>
                <w:color w:val="1F4E79"/>
                <w:sz w:val="17"/>
                <w:u w:val="single"/>
              </w:rPr>
              <w:t>digest.service.ts</w:t>
            </w:r>
          </w:p>
        </w:tc>
      </w:tr>
      <w:tr>
        <w:tc>
          <w:tcPr>
            <w:tcW w:type="dxa" w:w="964"/>
            <w:shd w:val="clear" w:color="auto" w:fill="FAFBFC"/>
          </w:tcPr>
          <w:p>
            <w:pPr>
              <w:spacing w:after="0" w:line="252" w:lineRule="auto"/>
              <w:jc w:val="left"/>
            </w:pPr>
            <w:r>
              <w:rPr>
                <w:rFonts w:ascii="Calibri" w:hAnsi="Calibri"/>
                <w:color w:val="1A1A1A"/>
                <w:sz w:val="17"/>
              </w:rPr>
              <w:t>FR-P8-12</w:t>
            </w:r>
          </w:p>
        </w:tc>
        <w:tc>
          <w:tcPr>
            <w:tcW w:type="dxa" w:w="3345"/>
            <w:shd w:val="clear" w:color="auto" w:fill="FAFBFC"/>
          </w:tcPr>
          <w:p>
            <w:pPr>
              <w:spacing w:after="0" w:line="252" w:lineRule="auto"/>
              <w:jc w:val="left"/>
            </w:pPr>
            <w:r>
              <w:rPr>
                <w:rFonts w:ascii="Calibri" w:hAnsi="Calibri"/>
                <w:color w:val="1A1A1A"/>
                <w:sz w:val="17"/>
              </w:rPr>
              <w:t>Answer natural-language questions over the platform, scoped to the asker's permissions</w:t>
            </w:r>
          </w:p>
        </w:tc>
        <w:tc>
          <w:tcPr>
            <w:tcW w:type="dxa" w:w="3061"/>
            <w:shd w:val="clear" w:color="auto" w:fill="FAFBFC"/>
          </w:tcPr>
          <w:p>
            <w:pPr>
              <w:spacing w:after="0" w:line="252" w:lineRule="auto"/>
              <w:jc w:val="left"/>
            </w:pPr>
            <w:r>
              <w:rPr>
                <w:rFonts w:ascii="Calibri" w:hAnsi="Calibri"/>
                <w:color w:val="1A1A1A"/>
                <w:sz w:val="17"/>
              </w:rPr>
              <w:t>The assistant answers with typed tools, falls back to validated SQL, and never returns data the asker cannot see</w:t>
            </w:r>
          </w:p>
        </w:tc>
        <w:tc>
          <w:tcPr>
            <w:tcW w:type="dxa" w:w="1020"/>
            <w:shd w:val="clear" w:color="auto" w:fill="FAFBFC"/>
          </w:tcPr>
          <w:p>
            <w:pPr>
              <w:spacing w:after="0" w:line="252" w:lineRule="auto"/>
              <w:jc w:val="left"/>
            </w:pPr>
            <w:r>
              <w:rPr>
                <w:rFonts w:ascii="Calibri" w:hAnsi="Calibri"/>
                <w:b/>
                <w:color w:val="1E6B33"/>
                <w:sz w:val="17"/>
              </w:rPr>
              <w:t>EXISTS</w:t>
            </w:r>
          </w:p>
        </w:tc>
        <w:tc>
          <w:tcPr>
            <w:tcW w:type="dxa" w:w="1928"/>
            <w:shd w:val="clear" w:color="auto" w:fill="FAFBFC"/>
          </w:tcPr>
          <w:p>
            <w:pPr>
              <w:spacing w:after="0" w:line="252" w:lineRule="auto"/>
              <w:jc w:val="left"/>
            </w:pPr>
            <w:r>
              <w:rPr>
                <w:rFonts w:ascii="Calibri" w:hAnsi="Calibri"/>
                <w:color w:val="1F4E79"/>
                <w:sz w:val="17"/>
                <w:u w:val="single"/>
              </w:rPr>
              <w:t>ai-chat.service.ts</w:t>
            </w:r>
            <w:r>
              <w:rPr>
                <w:rFonts w:ascii="Calibri" w:hAnsi="Calibri"/>
                <w:color w:val="1A1A1A"/>
                <w:sz w:val="17"/>
              </w:rPr>
              <w:t xml:space="preserve">, </w:t>
            </w:r>
            <w:r>
              <w:rPr>
                <w:rFonts w:ascii="Calibri" w:hAnsi="Calibri"/>
                <w:color w:val="1F4E79"/>
                <w:sz w:val="17"/>
                <w:u w:val="single"/>
              </w:rPr>
              <w:t>sql-safety.service.ts</w:t>
            </w:r>
          </w:p>
        </w:tc>
      </w:tr>
      <w:tr>
        <w:tc>
          <w:tcPr>
            <w:tcW w:type="dxa" w:w="964"/>
          </w:tcPr>
          <w:p>
            <w:pPr>
              <w:spacing w:after="0" w:line="252" w:lineRule="auto"/>
              <w:jc w:val="left"/>
            </w:pPr>
            <w:r>
              <w:rPr>
                <w:rFonts w:ascii="Calibri" w:hAnsi="Calibri"/>
                <w:color w:val="1A1A1A"/>
                <w:sz w:val="17"/>
              </w:rPr>
              <w:t>FR-P8-13</w:t>
            </w:r>
          </w:p>
        </w:tc>
        <w:tc>
          <w:tcPr>
            <w:tcW w:type="dxa" w:w="3345"/>
          </w:tcPr>
          <w:p>
            <w:pPr>
              <w:spacing w:after="0" w:line="252" w:lineRule="auto"/>
              <w:jc w:val="left"/>
            </w:pPr>
            <w:r>
              <w:rPr>
                <w:rFonts w:ascii="Calibri" w:hAnsi="Calibri"/>
                <w:color w:val="1A1A1A"/>
                <w:sz w:val="17"/>
              </w:rPr>
              <w:t>Extend permission-scoped answering to cost, margin and collections data</w:t>
            </w:r>
          </w:p>
        </w:tc>
        <w:tc>
          <w:tcPr>
            <w:tcW w:type="dxa" w:w="3061"/>
          </w:tcPr>
          <w:p>
            <w:pPr>
              <w:spacing w:after="0" w:line="252" w:lineRule="auto"/>
              <w:jc w:val="left"/>
            </w:pPr>
            <w:r>
              <w:rPr>
                <w:rFonts w:ascii="Calibri" w:hAnsi="Calibri"/>
                <w:color w:val="1A1A1A"/>
                <w:sz w:val="17"/>
              </w:rPr>
              <w:t>The assistant refuses or redacts cost and margin for non-entitled askers, in typed tools and in raw SQL</w:t>
            </w:r>
          </w:p>
        </w:tc>
        <w:tc>
          <w:tcPr>
            <w:tcW w:type="dxa" w:w="1020"/>
          </w:tcPr>
          <w:p>
            <w:pPr>
              <w:spacing w:after="0" w:line="252" w:lineRule="auto"/>
              <w:jc w:val="left"/>
            </w:pPr>
            <w:r>
              <w:rPr>
                <w:rFonts w:ascii="Calibri" w:hAnsi="Calibri"/>
                <w:b/>
                <w:color w:val="1F4E79"/>
                <w:sz w:val="17"/>
              </w:rPr>
              <w:t>NEW</w:t>
            </w:r>
            <w:r>
              <w:rPr>
                <w:rFonts w:ascii="Calibri" w:hAnsi="Calibri"/>
                <w:color w:val="1F4E79"/>
                <w:sz w:val="17"/>
              </w:rPr>
              <w:t xml:space="preserve"> — critical dependency of Decision D-1</w:t>
            </w:r>
          </w:p>
        </w:tc>
        <w:tc>
          <w:tcPr>
            <w:tcW w:type="dxa" w:w="1928"/>
          </w:tcPr>
          <w:p>
            <w:pPr>
              <w:spacing w:after="0" w:line="252" w:lineRule="auto"/>
              <w:jc w:val="left"/>
            </w:pPr>
            <w:r>
              <w:rPr>
                <w:rFonts w:ascii="Calibri" w:hAnsi="Calibri"/>
                <w:color w:val="1A1A1A"/>
                <w:sz w:val="17"/>
              </w:rPr>
              <w:t>AI tools + SQL safety layer</w:t>
            </w:r>
          </w:p>
        </w:tc>
      </w:tr>
      <w:tr>
        <w:tc>
          <w:tcPr>
            <w:tcW w:type="dxa" w:w="964"/>
            <w:shd w:val="clear" w:color="auto" w:fill="FAFBFC"/>
          </w:tcPr>
          <w:p>
            <w:pPr>
              <w:spacing w:after="0" w:line="252" w:lineRule="auto"/>
              <w:jc w:val="left"/>
            </w:pPr>
            <w:r>
              <w:rPr>
                <w:rFonts w:ascii="Calibri" w:hAnsi="Calibri"/>
                <w:color w:val="1A1A1A"/>
                <w:sz w:val="17"/>
              </w:rPr>
              <w:t>FR-P8-14</w:t>
            </w:r>
          </w:p>
        </w:tc>
        <w:tc>
          <w:tcPr>
            <w:tcW w:type="dxa" w:w="3345"/>
            <w:shd w:val="clear" w:color="auto" w:fill="FAFBFC"/>
          </w:tcPr>
          <w:p>
            <w:pPr>
              <w:spacing w:after="0" w:line="252" w:lineRule="auto"/>
              <w:jc w:val="left"/>
            </w:pPr>
            <w:r>
              <w:rPr>
                <w:rFonts w:ascii="Calibri" w:hAnsi="Calibri"/>
                <w:color w:val="1A1A1A"/>
                <w:sz w:val="17"/>
              </w:rPr>
              <w:t>Maintain an audit trail of alert acknowledgement, action taken, outcome and revised forecast</w:t>
            </w:r>
          </w:p>
        </w:tc>
        <w:tc>
          <w:tcPr>
            <w:tcW w:type="dxa" w:w="3061"/>
            <w:shd w:val="clear" w:color="auto" w:fill="FAFBFC"/>
          </w:tcPr>
          <w:p>
            <w:pPr>
              <w:spacing w:after="0" w:line="252" w:lineRule="auto"/>
              <w:jc w:val="left"/>
            </w:pPr>
            <w:r>
              <w:rPr>
                <w:rFonts w:ascii="Calibri" w:hAnsi="Calibri"/>
                <w:color w:val="1A1A1A"/>
                <w:sz w:val="17"/>
              </w:rPr>
              <w:t>The trail is queryable and survives the exception being closed</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onsolas" w:hAnsi="Consolas"/>
                <w:color w:val="8B2E2E"/>
                <w:sz w:val="17"/>
              </w:rPr>
              <w:t>exceptions</w:t>
            </w:r>
            <w:r>
              <w:rPr>
                <w:rFonts w:ascii="Calibri" w:hAnsi="Calibri"/>
                <w:color w:val="1A1A1A"/>
                <w:sz w:val="17"/>
              </w:rPr>
              <w:t xml:space="preserve"> + </w:t>
            </w:r>
            <w:r>
              <w:rPr>
                <w:rFonts w:ascii="Calibri" w:hAnsi="Calibri"/>
                <w:color w:val="1F4E79"/>
                <w:sz w:val="17"/>
                <w:u w:val="single"/>
              </w:rPr>
              <w:t>audit-log.ts</w:t>
            </w:r>
          </w:p>
        </w:tc>
      </w:tr>
      <w:tr>
        <w:tc>
          <w:tcPr>
            <w:tcW w:type="dxa" w:w="964"/>
          </w:tcPr>
          <w:p>
            <w:pPr>
              <w:spacing w:after="0" w:line="252" w:lineRule="auto"/>
              <w:jc w:val="left"/>
            </w:pPr>
            <w:r>
              <w:rPr>
                <w:rFonts w:ascii="Calibri" w:hAnsi="Calibri"/>
                <w:color w:val="1A1A1A"/>
                <w:sz w:val="17"/>
              </w:rPr>
              <w:t>FR-P8-15</w:t>
            </w:r>
          </w:p>
        </w:tc>
        <w:tc>
          <w:tcPr>
            <w:tcW w:type="dxa" w:w="3345"/>
          </w:tcPr>
          <w:p>
            <w:pPr>
              <w:spacing w:after="0" w:line="252" w:lineRule="auto"/>
              <w:jc w:val="left"/>
            </w:pPr>
            <w:r>
              <w:rPr>
                <w:rFonts w:ascii="Calibri" w:hAnsi="Calibri"/>
                <w:color w:val="1A1A1A"/>
                <w:sz w:val="17"/>
              </w:rPr>
              <w:t>Report per-person performance over consistent periods with like-for-like comparison to the prior period</w:t>
            </w:r>
          </w:p>
        </w:tc>
        <w:tc>
          <w:tcPr>
            <w:tcW w:type="dxa" w:w="3061"/>
          </w:tcPr>
          <w:p>
            <w:pPr>
              <w:spacing w:after="0" w:line="252" w:lineRule="auto"/>
              <w:jc w:val="left"/>
            </w:pPr>
            <w:r>
              <w:rPr>
                <w:rFonts w:ascii="Calibri" w:hAnsi="Calibri"/>
                <w:color w:val="1A1A1A"/>
                <w:sz w:val="17"/>
              </w:rPr>
              <w:t>Individual reports with presets, weekly breakdown, prior-period comparison, and PDF/CSV export</w:t>
            </w:r>
          </w:p>
        </w:tc>
        <w:tc>
          <w:tcPr>
            <w:tcW w:type="dxa" w:w="1020"/>
          </w:tcPr>
          <w:p>
            <w:pPr>
              <w:spacing w:after="0" w:line="252" w:lineRule="auto"/>
              <w:jc w:val="left"/>
            </w:pPr>
            <w:r>
              <w:rPr>
                <w:rFonts w:ascii="Calibri" w:hAnsi="Calibri"/>
                <w:b/>
                <w:color w:val="1E6B33"/>
                <w:sz w:val="17"/>
              </w:rPr>
              <w:t>EXISTS</w:t>
            </w:r>
          </w:p>
        </w:tc>
        <w:tc>
          <w:tcPr>
            <w:tcW w:type="dxa" w:w="1928"/>
          </w:tcPr>
          <w:p>
            <w:pPr>
              <w:spacing w:after="0" w:line="252" w:lineRule="auto"/>
              <w:jc w:val="left"/>
            </w:pPr>
            <w:r>
              <w:rPr>
                <w:rFonts w:ascii="Calibri" w:hAnsi="Calibri"/>
                <w:color w:val="1F4E79"/>
                <w:sz w:val="17"/>
                <w:u w:val="single"/>
              </w:rPr>
              <w:t>report.service.ts</w:t>
            </w:r>
          </w:p>
        </w:tc>
      </w:tr>
    </w:tbl>
    <w:p>
      <w:pPr>
        <w:spacing w:after="80"/>
      </w:pPr>
    </w:p>
    <w:p>
      <w:pPr>
        <w:spacing w:before="120" w:after="160"/>
        <w:ind w:left="198"/>
        <w:pBdr>
          <w:left w:val="single" w:sz="18" w:space="8" w:color="B08D57"/>
        </w:pBdr>
        <w:shd w:val="clear" w:color="auto" w:fill="F4F1E8"/>
      </w:pPr>
      <w:r>
        <w:rPr>
          <w:rFonts w:ascii="Calibri" w:hAnsi="Calibri"/>
          <w:b/>
          <w:color w:val="1A1A1A"/>
          <w:sz w:val="19"/>
        </w:rPr>
        <w:t>CONCRETE EXAMPLE</w:t>
      </w:r>
      <w:r>
        <w:rPr>
          <w:rFonts w:ascii="Calibri" w:hAnsi="Calibri"/>
          <w:color w:val="1A1A1A"/>
          <w:sz w:val="19"/>
        </w:rPr>
        <w:t xml:space="preserve">  Northwind is marked At Risk: the engagement is eleven days behind, INR 9,30,000 is contracted but unbilled, the certification milestone has moved, and the renewal conversation is due in six weeks. The dashboard explains each contributing signal, quantifies the exposure, and recommends escalating the client-side evidence dependency, re-forecasting the billing milestone, and opening the DPDP renewal early. Each action is executed in the pillar that owns it.</w:t>
      </w:r>
    </w:p>
    <w:p>
      <w:pPr>
        <w:pStyle w:val="Heading3"/>
      </w:pPr>
      <w:r>
        <w:t>Features — Pillar 8</w:t>
      </w:r>
    </w:p>
    <w:p>
      <w:r>
        <w:rPr>
          <w:rFonts w:ascii="Calibri" w:hAnsi="Calibri"/>
          <w:color w:val="1A1A1A"/>
        </w:rPr>
        <w:t xml:space="preserve">Executive overview with per-member drill-down · Command Center daily operational snapshot · build-your-own widget dashboards with grid layout and public sharing · scheduled email and Telegram digests · per-person and team reports with PDF/CSV/XLSX export · AI assistant with typed tools and a validated SQL escape hatch · command palette · notification bell · </w:t>
      </w:r>
      <w:r>
        <w:rPr>
          <w:rFonts w:ascii="Calibri" w:hAnsi="Calibri"/>
          <w:b/>
          <w:color w:val="1A1A1A"/>
        </w:rPr>
        <w:t>explainable client health card (new)</w:t>
      </w:r>
      <w:r>
        <w:rPr>
          <w:rFonts w:ascii="Calibri" w:hAnsi="Calibri"/>
          <w:color w:val="1A1A1A"/>
        </w:rPr>
        <w:t xml:space="preserve"> · </w:t>
      </w:r>
      <w:r>
        <w:rPr>
          <w:rFonts w:ascii="Calibri" w:hAnsi="Calibri"/>
          <w:b/>
          <w:color w:val="1A1A1A"/>
        </w:rPr>
        <w:t>prioritized exception queue with owner, action and resolution (new)</w:t>
      </w:r>
      <w:r>
        <w:rPr>
          <w:rFonts w:ascii="Calibri" w:hAnsi="Calibri"/>
          <w:color w:val="1A1A1A"/>
        </w:rPr>
        <w:t xml:space="preserve"> · </w:t>
      </w:r>
      <w:r>
        <w:rPr>
          <w:rFonts w:ascii="Calibri" w:hAnsi="Calibri"/>
          <w:b/>
          <w:color w:val="1A1A1A"/>
        </w:rPr>
        <w:t>target and threshold management (new)</w:t>
      </w:r>
      <w:r>
        <w:rPr>
          <w:rFonts w:ascii="Calibri" w:hAnsi="Calibri"/>
          <w:color w:val="1A1A1A"/>
        </w:rPr>
        <w:t xml:space="preserve"> · </w:t>
      </w:r>
      <w:r>
        <w:rPr>
          <w:rFonts w:ascii="Calibri" w:hAnsi="Calibri"/>
          <w:b/>
          <w:color w:val="1A1A1A"/>
        </w:rPr>
        <w:t>reconciling drill-down paths (new)</w:t>
      </w:r>
      <w:r>
        <w:rPr>
          <w:rFonts w:ascii="Calibri" w:hAnsi="Calibri"/>
          <w:color w:val="1A1A1A"/>
        </w:rPr>
        <w:t>.</w:t>
      </w:r>
    </w:p>
    <w:p>
      <w:r>
        <w:br w:type="page"/>
      </w:r>
    </w:p>
    <w:p>
      <w:pPr>
        <w:pStyle w:val="Heading1"/>
      </w:pPr>
      <w:r>
        <w:t>Section C — Cross-cutting functional requirements</w:t>
      </w:r>
    </w:p>
    <w:p>
      <w:pPr>
        <w:spacing w:before="120" w:after="160"/>
        <w:ind w:left="198"/>
        <w:pBdr>
          <w:left w:val="single" w:sz="18" w:space="8" w:color="B08D57"/>
        </w:pBdr>
        <w:shd w:val="clear" w:color="auto" w:fill="F4F1E8"/>
      </w:pPr>
      <w:r>
        <w:rPr>
          <w:rFonts w:ascii="Calibri" w:hAnsi="Calibri"/>
          <w:color w:val="1A1A1A"/>
          <w:sz w:val="19"/>
        </w:rPr>
        <w:t>### ⚠ NOT YET REVIEWED  The requirements below are the unvalidated initial draft. The pillar-by-pillar review reached Pillar 5 on 25 Aug 2026 and was paused to build the cost engine.</w:t>
      </w:r>
    </w:p>
    <w:p>
      <w:r>
        <w:rPr>
          <w:rFonts w:ascii="Calibri" w:hAnsi="Calibri"/>
          <w:color w:val="1A1A1A"/>
        </w:rPr>
        <w:t>Owned by the platform rather than by any pillar. Several of these are prerequisites for Pillar 4 and cannot be deferred behind it.</w:t>
      </w:r>
    </w:p>
    <w:p>
      <w:pPr>
        <w:pStyle w:val="Heading2"/>
      </w:pPr>
      <w:r>
        <w:t>Identity and access</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064"/>
        <w:gridCol w:w="2064"/>
        <w:gridCol w:w="2064"/>
        <w:gridCol w:w="2064"/>
        <w:gridCol w:w="2064"/>
      </w:tblGrid>
      <w:tr>
        <w:trPr>
          <w:tblHeader w:val="true"/>
        </w:trPr>
        <w:tc>
          <w:tcPr>
            <w:tcW w:type="dxa" w:w="964"/>
            <w:shd w:val="clear" w:color="auto" w:fill="E8EDF2"/>
          </w:tcPr>
          <w:p>
            <w:pPr>
              <w:spacing w:after="0"/>
              <w:jc w:val="left"/>
            </w:pPr>
            <w:r>
              <w:rPr>
                <w:rFonts w:ascii="Calibri" w:hAnsi="Calibri"/>
                <w:b/>
                <w:color w:val="1A1A1A"/>
                <w:sz w:val="17"/>
              </w:rPr>
              <w:t>ID</w:t>
            </w:r>
          </w:p>
        </w:tc>
        <w:tc>
          <w:tcPr>
            <w:tcW w:type="dxa" w:w="3345"/>
            <w:shd w:val="clear" w:color="auto" w:fill="E8EDF2"/>
          </w:tcPr>
          <w:p>
            <w:pPr>
              <w:spacing w:after="0"/>
              <w:jc w:val="left"/>
            </w:pPr>
            <w:r>
              <w:rPr>
                <w:rFonts w:ascii="Calibri" w:hAnsi="Calibri"/>
                <w:b/>
                <w:color w:val="1A1A1A"/>
                <w:sz w:val="17"/>
              </w:rPr>
              <w:t>Requirement</w:t>
            </w:r>
          </w:p>
        </w:tc>
        <w:tc>
          <w:tcPr>
            <w:tcW w:type="dxa" w:w="3061"/>
            <w:shd w:val="clear" w:color="auto" w:fill="E8EDF2"/>
          </w:tcPr>
          <w:p>
            <w:pPr>
              <w:spacing w:after="0"/>
              <w:jc w:val="left"/>
            </w:pPr>
            <w:r>
              <w:rPr>
                <w:rFonts w:ascii="Calibri" w:hAnsi="Calibri"/>
                <w:b/>
                <w:color w:val="1A1A1A"/>
                <w:sz w:val="17"/>
              </w:rPr>
              <w:t>Acceptance</w:t>
            </w:r>
          </w:p>
        </w:tc>
        <w:tc>
          <w:tcPr>
            <w:tcW w:type="dxa" w:w="1020"/>
            <w:shd w:val="clear" w:color="auto" w:fill="E8EDF2"/>
          </w:tcPr>
          <w:p>
            <w:pPr>
              <w:spacing w:after="0"/>
              <w:jc w:val="left"/>
            </w:pPr>
            <w:r>
              <w:rPr>
                <w:rFonts w:ascii="Calibri" w:hAnsi="Calibri"/>
                <w:b/>
                <w:color w:val="1A1A1A"/>
                <w:sz w:val="17"/>
              </w:rPr>
              <w:t>Status</w:t>
            </w:r>
          </w:p>
        </w:tc>
        <w:tc>
          <w:tcPr>
            <w:tcW w:type="dxa" w:w="1928"/>
            <w:shd w:val="clear" w:color="auto" w:fill="E8EDF2"/>
          </w:tcPr>
          <w:p>
            <w:pPr>
              <w:spacing w:after="0"/>
              <w:jc w:val="left"/>
            </w:pPr>
            <w:r>
              <w:rPr>
                <w:rFonts w:ascii="Calibri" w:hAnsi="Calibri"/>
                <w:b/>
                <w:color w:val="1A1A1A"/>
                <w:sz w:val="17"/>
              </w:rPr>
              <w:t>Lands in</w:t>
            </w:r>
          </w:p>
        </w:tc>
      </w:tr>
      <w:tr>
        <w:tc>
          <w:tcPr>
            <w:tcW w:type="dxa" w:w="964"/>
          </w:tcPr>
          <w:p>
            <w:pPr>
              <w:spacing w:after="0" w:line="252" w:lineRule="auto"/>
              <w:jc w:val="left"/>
            </w:pPr>
            <w:r>
              <w:rPr>
                <w:rFonts w:ascii="Calibri" w:hAnsi="Calibri"/>
                <w:color w:val="1A1A1A"/>
                <w:sz w:val="17"/>
              </w:rPr>
              <w:t>FR-X-01</w:t>
            </w:r>
          </w:p>
        </w:tc>
        <w:tc>
          <w:tcPr>
            <w:tcW w:type="dxa" w:w="3345"/>
          </w:tcPr>
          <w:p>
            <w:pPr>
              <w:spacing w:after="0" w:line="252" w:lineRule="auto"/>
              <w:jc w:val="left"/>
            </w:pPr>
            <w:r>
              <w:rPr>
                <w:rFonts w:ascii="Calibri" w:hAnsi="Calibri"/>
                <w:color w:val="1A1A1A"/>
                <w:sz w:val="17"/>
              </w:rPr>
              <w:t>Authenticate users with credentials and maintain a session</w:t>
            </w:r>
          </w:p>
        </w:tc>
        <w:tc>
          <w:tcPr>
            <w:tcW w:type="dxa" w:w="3061"/>
          </w:tcPr>
          <w:p>
            <w:pPr>
              <w:spacing w:after="0" w:line="252" w:lineRule="auto"/>
              <w:jc w:val="left"/>
            </w:pPr>
            <w:r>
              <w:rPr>
                <w:rFonts w:ascii="Calibri" w:hAnsi="Calibri"/>
                <w:color w:val="1A1A1A"/>
                <w:sz w:val="17"/>
              </w:rPr>
              <w:t>Login, logout and session expiry work; failed logins are logged</w:t>
            </w:r>
          </w:p>
        </w:tc>
        <w:tc>
          <w:tcPr>
            <w:tcW w:type="dxa" w:w="1020"/>
          </w:tcPr>
          <w:p>
            <w:pPr>
              <w:spacing w:after="0" w:line="252" w:lineRule="auto"/>
              <w:jc w:val="left"/>
            </w:pPr>
            <w:r>
              <w:rPr>
                <w:rFonts w:ascii="Calibri" w:hAnsi="Calibri"/>
                <w:b/>
                <w:color w:val="1E6B33"/>
                <w:sz w:val="17"/>
              </w:rPr>
              <w:t>EXISTS</w:t>
            </w:r>
          </w:p>
        </w:tc>
        <w:tc>
          <w:tcPr>
            <w:tcW w:type="dxa" w:w="1928"/>
          </w:tcPr>
          <w:p>
            <w:pPr>
              <w:spacing w:after="0" w:line="252" w:lineRule="auto"/>
              <w:jc w:val="left"/>
            </w:pPr>
            <w:r>
              <w:rPr>
                <w:rFonts w:ascii="Calibri" w:hAnsi="Calibri"/>
                <w:color w:val="1A1A1A"/>
                <w:sz w:val="17"/>
              </w:rPr>
              <w:t>NextAuth v5, JWT, 7-day sessions</w:t>
            </w:r>
          </w:p>
        </w:tc>
      </w:tr>
      <w:tr>
        <w:tc>
          <w:tcPr>
            <w:tcW w:type="dxa" w:w="964"/>
            <w:shd w:val="clear" w:color="auto" w:fill="FAFBFC"/>
          </w:tcPr>
          <w:p>
            <w:pPr>
              <w:spacing w:after="0" w:line="252" w:lineRule="auto"/>
              <w:jc w:val="left"/>
            </w:pPr>
            <w:r>
              <w:rPr>
                <w:rFonts w:ascii="Calibri" w:hAnsi="Calibri"/>
                <w:color w:val="1A1A1A"/>
                <w:sz w:val="17"/>
              </w:rPr>
              <w:t>FR-X-02</w:t>
            </w:r>
          </w:p>
        </w:tc>
        <w:tc>
          <w:tcPr>
            <w:tcW w:type="dxa" w:w="3345"/>
            <w:shd w:val="clear" w:color="auto" w:fill="FAFBFC"/>
          </w:tcPr>
          <w:p>
            <w:pPr>
              <w:spacing w:after="0" w:line="252" w:lineRule="auto"/>
              <w:jc w:val="left"/>
            </w:pPr>
            <w:r>
              <w:rPr>
                <w:rFonts w:ascii="Calibri" w:hAnsi="Calibri"/>
                <w:color w:val="1A1A1A"/>
                <w:sz w:val="17"/>
              </w:rPr>
              <w:t>Define roles with a declarative per-module permission matrix supporting denied / own / team / all</w:t>
            </w:r>
          </w:p>
        </w:tc>
        <w:tc>
          <w:tcPr>
            <w:tcW w:type="dxa" w:w="3061"/>
            <w:shd w:val="clear" w:color="auto" w:fill="FAFBFC"/>
          </w:tcPr>
          <w:p>
            <w:pPr>
              <w:spacing w:after="0" w:line="252" w:lineRule="auto"/>
              <w:jc w:val="left"/>
            </w:pPr>
            <w:r>
              <w:rPr>
                <w:rFonts w:ascii="Calibri" w:hAnsi="Calibri"/>
                <w:color w:val="1A1A1A"/>
                <w:sz w:val="17"/>
              </w:rPr>
              <w:t>Permissions are editable per role from Settings and enforced in the API layer</w:t>
            </w:r>
          </w:p>
        </w:tc>
        <w:tc>
          <w:tcPr>
            <w:tcW w:type="dxa" w:w="1020"/>
            <w:shd w:val="clear" w:color="auto" w:fill="FAFBFC"/>
          </w:tcPr>
          <w:p>
            <w:pPr>
              <w:spacing w:after="0" w:line="252" w:lineRule="auto"/>
              <w:jc w:val="left"/>
            </w:pPr>
            <w:r>
              <w:rPr>
                <w:rFonts w:ascii="Calibri" w:hAnsi="Calibri"/>
                <w:b/>
                <w:color w:val="1E6B33"/>
                <w:sz w:val="17"/>
              </w:rPr>
              <w:t>EXISTS</w:t>
            </w:r>
          </w:p>
        </w:tc>
        <w:tc>
          <w:tcPr>
            <w:tcW w:type="dxa" w:w="1928"/>
            <w:shd w:val="clear" w:color="auto" w:fill="FAFBFC"/>
          </w:tcPr>
          <w:p>
            <w:pPr>
              <w:spacing w:after="0" w:line="252" w:lineRule="auto"/>
              <w:jc w:val="left"/>
            </w:pPr>
            <w:r>
              <w:rPr>
                <w:rFonts w:ascii="Calibri" w:hAnsi="Calibri"/>
                <w:color w:val="1F4E79"/>
                <w:sz w:val="17"/>
                <w:u w:val="single"/>
              </w:rPr>
              <w:t>permissions.ts</w:t>
            </w:r>
            <w:r>
              <w:rPr>
                <w:rFonts w:ascii="Calibri" w:hAnsi="Calibri"/>
                <w:color w:val="1A1A1A"/>
                <w:sz w:val="17"/>
              </w:rPr>
              <w:t xml:space="preserve">, </w:t>
            </w:r>
            <w:r>
              <w:rPr>
                <w:rFonts w:ascii="Calibri" w:hAnsi="Calibri"/>
                <w:color w:val="1F4E79"/>
                <w:sz w:val="17"/>
                <w:u w:val="single"/>
              </w:rPr>
              <w:t>middleware.ts</w:t>
            </w:r>
          </w:p>
        </w:tc>
      </w:tr>
      <w:tr>
        <w:tc>
          <w:tcPr>
            <w:tcW w:type="dxa" w:w="964"/>
          </w:tcPr>
          <w:p>
            <w:pPr>
              <w:spacing w:after="0" w:line="252" w:lineRule="auto"/>
              <w:jc w:val="left"/>
            </w:pPr>
            <w:r>
              <w:rPr>
                <w:rFonts w:ascii="Calibri" w:hAnsi="Calibri"/>
                <w:color w:val="1A1A1A"/>
                <w:sz w:val="17"/>
              </w:rPr>
              <w:t>FR-X-03</w:t>
            </w:r>
          </w:p>
        </w:tc>
        <w:tc>
          <w:tcPr>
            <w:tcW w:type="dxa" w:w="3345"/>
          </w:tcPr>
          <w:p>
            <w:pPr>
              <w:spacing w:after="0" w:line="252" w:lineRule="auto"/>
              <w:jc w:val="left"/>
            </w:pPr>
            <w:r>
              <w:rPr>
                <w:rFonts w:ascii="Calibri" w:hAnsi="Calibri"/>
                <w:color w:val="1A1A1A"/>
                <w:sz w:val="17"/>
              </w:rPr>
              <w:t>Scope record visibility by ownership, creation and team membership</w:t>
            </w:r>
          </w:p>
        </w:tc>
        <w:tc>
          <w:tcPr>
            <w:tcW w:type="dxa" w:w="3061"/>
          </w:tcPr>
          <w:p>
            <w:pPr>
              <w:spacing w:after="0" w:line="252" w:lineRule="auto"/>
              <w:jc w:val="left"/>
            </w:pPr>
            <w:r>
              <w:rPr>
                <w:rFonts w:ascii="Calibri" w:hAnsi="Calibri"/>
                <w:color w:val="1A1A1A"/>
                <w:sz w:val="17"/>
              </w:rPr>
              <w:t>A user outside the full-visibility set sees only records they own, created, or are on the team of</w:t>
            </w:r>
          </w:p>
        </w:tc>
        <w:tc>
          <w:tcPr>
            <w:tcW w:type="dxa" w:w="1020"/>
          </w:tcPr>
          <w:p>
            <w:pPr>
              <w:spacing w:after="0" w:line="252" w:lineRule="auto"/>
              <w:jc w:val="left"/>
            </w:pPr>
            <w:r>
              <w:rPr>
                <w:rFonts w:ascii="Calibri" w:hAnsi="Calibri"/>
                <w:b/>
                <w:color w:val="1E6B33"/>
                <w:sz w:val="17"/>
              </w:rPr>
              <w:t>EXISTS</w:t>
            </w:r>
          </w:p>
        </w:tc>
        <w:tc>
          <w:tcPr>
            <w:tcW w:type="dxa" w:w="1928"/>
          </w:tcPr>
          <w:p>
            <w:pPr>
              <w:spacing w:after="0" w:line="252" w:lineRule="auto"/>
              <w:jc w:val="left"/>
            </w:pPr>
            <w:r>
              <w:rPr>
                <w:rFonts w:ascii="Calibri" w:hAnsi="Calibri"/>
                <w:color w:val="1F4E79"/>
                <w:sz w:val="17"/>
                <w:u w:val="single"/>
              </w:rPr>
              <w:t>visibility-filters.ts</w:t>
            </w:r>
          </w:p>
        </w:tc>
      </w:tr>
      <w:tr>
        <w:tc>
          <w:tcPr>
            <w:tcW w:type="dxa" w:w="964"/>
            <w:shd w:val="clear" w:color="auto" w:fill="FAFBFC"/>
          </w:tcPr>
          <w:p>
            <w:pPr>
              <w:spacing w:after="0" w:line="252" w:lineRule="auto"/>
              <w:jc w:val="left"/>
            </w:pPr>
            <w:r>
              <w:rPr>
                <w:rFonts w:ascii="Calibri" w:hAnsi="Calibri"/>
                <w:color w:val="1A1A1A"/>
                <w:sz w:val="17"/>
              </w:rPr>
              <w:t>FR-X-04</w:t>
            </w:r>
          </w:p>
        </w:tc>
        <w:tc>
          <w:tcPr>
            <w:tcW w:type="dxa" w:w="3345"/>
            <w:shd w:val="clear" w:color="auto" w:fill="FAFBFC"/>
          </w:tcPr>
          <w:p>
            <w:pPr>
              <w:spacing w:after="0" w:line="252" w:lineRule="auto"/>
              <w:jc w:val="left"/>
            </w:pPr>
            <w:r>
              <w:rPr>
                <w:rFonts w:ascii="Calibri" w:hAnsi="Calibri"/>
                <w:color w:val="1A1A1A"/>
                <w:sz w:val="17"/>
              </w:rPr>
              <w:t>Make record visibility configurable per role rather than hard-coded by role slug</w:t>
            </w:r>
          </w:p>
        </w:tc>
        <w:tc>
          <w:tcPr>
            <w:tcW w:type="dxa" w:w="3061"/>
            <w:shd w:val="clear" w:color="auto" w:fill="FAFBFC"/>
          </w:tcPr>
          <w:p>
            <w:pPr>
              <w:spacing w:after="0" w:line="252" w:lineRule="auto"/>
              <w:jc w:val="left"/>
            </w:pPr>
            <w:r>
              <w:rPr>
                <w:rFonts w:ascii="Calibri" w:hAnsi="Calibri"/>
                <w:color w:val="1A1A1A"/>
                <w:sz w:val="17"/>
              </w:rPr>
              <w:t>Creating a custom role with full visibility does not require a code change</w:t>
            </w:r>
          </w:p>
        </w:tc>
        <w:tc>
          <w:tcPr>
            <w:tcW w:type="dxa" w:w="1020"/>
            <w:shd w:val="clear" w:color="auto" w:fill="FAFBFC"/>
          </w:tcPr>
          <w:p>
            <w:pPr>
              <w:spacing w:after="0" w:line="252" w:lineRule="auto"/>
              <w:jc w:val="left"/>
            </w:pPr>
            <w:r>
              <w:rPr>
                <w:rFonts w:ascii="Calibri" w:hAnsi="Calibri"/>
                <w:b/>
                <w:color w:val="9A5B00"/>
                <w:sz w:val="17"/>
              </w:rPr>
              <w:t>PARTIAL</w:t>
            </w:r>
            <w:r>
              <w:rPr>
                <w:rFonts w:ascii="Calibri" w:hAnsi="Calibri"/>
                <w:color w:val="9A5B00"/>
                <w:sz w:val="17"/>
              </w:rPr>
              <w:t xml:space="preserve"> — </w:t>
            </w:r>
            <w:r>
              <w:rPr>
                <w:rFonts w:ascii="Consolas" w:hAnsi="Consolas"/>
                <w:color w:val="8B2E2E"/>
                <w:sz w:val="17"/>
              </w:rPr>
              <w:t>FULL_VISIBILITY_ROLES</w:t>
            </w:r>
            <w:r>
              <w:rPr>
                <w:rFonts w:ascii="Calibri" w:hAnsi="Calibri"/>
                <w:color w:val="9A5B00"/>
                <w:sz w:val="17"/>
              </w:rPr>
              <w:t xml:space="preserve"> is a hard-coded slug set; a custom role is scoped-by-default regardless of its permission blob</w:t>
            </w:r>
          </w:p>
        </w:tc>
        <w:tc>
          <w:tcPr>
            <w:tcW w:type="dxa" w:w="1928"/>
            <w:shd w:val="clear" w:color="auto" w:fill="FAFBFC"/>
          </w:tcPr>
          <w:p>
            <w:pPr>
              <w:spacing w:after="0" w:line="252" w:lineRule="auto"/>
              <w:jc w:val="left"/>
            </w:pPr>
            <w:r>
              <w:rPr>
                <w:rFonts w:ascii="Calibri" w:hAnsi="Calibri"/>
                <w:color w:val="1F4E79"/>
                <w:sz w:val="17"/>
                <w:u w:val="single"/>
              </w:rPr>
              <w:t>visibility-filters.ts</w:t>
            </w:r>
          </w:p>
        </w:tc>
      </w:tr>
      <w:tr>
        <w:tc>
          <w:tcPr>
            <w:tcW w:type="dxa" w:w="964"/>
          </w:tcPr>
          <w:p>
            <w:pPr>
              <w:spacing w:after="0" w:line="252" w:lineRule="auto"/>
              <w:jc w:val="left"/>
            </w:pPr>
            <w:r>
              <w:rPr>
                <w:rFonts w:ascii="Calibri" w:hAnsi="Calibri"/>
                <w:color w:val="1A1A1A"/>
                <w:sz w:val="17"/>
              </w:rPr>
              <w:t>FR-X-05</w:t>
            </w:r>
          </w:p>
        </w:tc>
        <w:tc>
          <w:tcPr>
            <w:tcW w:type="dxa" w:w="3345"/>
          </w:tcPr>
          <w:p>
            <w:pPr>
              <w:spacing w:after="0" w:line="252" w:lineRule="auto"/>
              <w:jc w:val="left"/>
            </w:pPr>
            <w:r>
              <w:rPr>
                <w:rFonts w:ascii="Calibri" w:hAnsi="Calibri"/>
                <w:color w:val="1A1A1A"/>
                <w:sz w:val="17"/>
              </w:rPr>
              <w:t xml:space="preserve">Add a </w:t>
            </w:r>
            <w:r>
              <w:rPr>
                <w:rFonts w:ascii="Calibri" w:hAnsi="Calibri"/>
                <w:b/>
                <w:color w:val="1A1A1A"/>
                <w:sz w:val="17"/>
              </w:rPr>
              <w:t>financial permission granted per user</w:t>
            </w:r>
            <w:r>
              <w:rPr>
                <w:rFonts w:ascii="Calibri" w:hAnsi="Calibri"/>
                <w:color w:val="1A1A1A"/>
                <w:sz w:val="17"/>
              </w:rPr>
              <w:t>, governing cost components, delivery cost, margin and collections data, independent of role and of record-level permission</w:t>
            </w:r>
          </w:p>
        </w:tc>
        <w:tc>
          <w:tcPr>
            <w:tcW w:type="dxa" w:w="3061"/>
          </w:tcPr>
          <w:p>
            <w:pPr>
              <w:spacing w:after="0" w:line="252" w:lineRule="auto"/>
              <w:jc w:val="left"/>
            </w:pPr>
            <w:r>
              <w:rPr>
                <w:rFonts w:ascii="Calibri" w:hAnsi="Calibri"/>
                <w:color w:val="1A1A1A"/>
                <w:sz w:val="17"/>
              </w:rPr>
              <w:t xml:space="preserve">The permission is assigned and revoked against an individual user, not their role, so entitling one person does not entitle everyone sharing their role. A user may hold </w:t>
            </w:r>
            <w:r>
              <w:rPr>
                <w:rFonts w:ascii="Consolas" w:hAnsi="Consolas"/>
                <w:color w:val="8B2E2E"/>
                <w:sz w:val="17"/>
              </w:rPr>
              <w:t>all</w:t>
            </w:r>
            <w:r>
              <w:rPr>
                <w:rFonts w:ascii="Calibri" w:hAnsi="Calibri"/>
                <w:color w:val="1A1A1A"/>
                <w:sz w:val="17"/>
              </w:rPr>
              <w:t xml:space="preserve"> record visibility and still be denied cost and margin. Grants and revocations are audited</w:t>
            </w:r>
          </w:p>
        </w:tc>
        <w:tc>
          <w:tcPr>
            <w:tcW w:type="dxa" w:w="1020"/>
          </w:tcPr>
          <w:p>
            <w:pPr>
              <w:spacing w:after="0" w:line="252" w:lineRule="auto"/>
              <w:jc w:val="left"/>
            </w:pPr>
            <w:r>
              <w:rPr>
                <w:rFonts w:ascii="Calibri" w:hAnsi="Calibri"/>
                <w:b/>
                <w:color w:val="1F4E79"/>
                <w:sz w:val="17"/>
              </w:rPr>
              <w:t>NEW</w:t>
            </w:r>
            <w:r>
              <w:rPr>
                <w:rFonts w:ascii="Calibri" w:hAnsi="Calibri"/>
                <w:color w:val="1F4E79"/>
                <w:sz w:val="17"/>
              </w:rPr>
              <w:t xml:space="preserve"> — reviewed 25 Aug (</w:t>
            </w:r>
            <w:r>
              <w:rPr>
                <w:rFonts w:ascii="Calibri" w:hAnsi="Calibri"/>
                <w:b/>
                <w:color w:val="1F4E79"/>
                <w:sz w:val="17"/>
              </w:rPr>
              <w:t>closes Q-1</w:t>
            </w:r>
            <w:r>
              <w:rPr>
                <w:rFonts w:ascii="Calibri" w:hAnsi="Calibri"/>
                <w:color w:val="1F4E79"/>
                <w:sz w:val="17"/>
              </w:rPr>
              <w:t>). This is the control that replaces the platform boundary removed by Decision D-1</w:t>
            </w:r>
          </w:p>
        </w:tc>
        <w:tc>
          <w:tcPr>
            <w:tcW w:type="dxa" w:w="1928"/>
          </w:tcPr>
          <w:p>
            <w:pPr>
              <w:spacing w:after="0" w:line="252" w:lineRule="auto"/>
              <w:jc w:val="left"/>
            </w:pPr>
            <w:r>
              <w:rPr>
                <w:rFonts w:ascii="Calibri" w:hAnsi="Calibri"/>
                <w:color w:val="1A1A1A"/>
                <w:sz w:val="17"/>
              </w:rPr>
              <w:t xml:space="preserve">New entitlement layer, </w:t>
            </w:r>
            <w:r>
              <w:rPr>
                <w:rFonts w:ascii="Consolas" w:hAnsi="Consolas"/>
                <w:color w:val="8B2E2E"/>
                <w:sz w:val="17"/>
              </w:rPr>
              <w:t>users</w:t>
            </w:r>
          </w:p>
        </w:tc>
      </w:tr>
      <w:tr>
        <w:tc>
          <w:tcPr>
            <w:tcW w:type="dxa" w:w="964"/>
            <w:shd w:val="clear" w:color="auto" w:fill="FAFBFC"/>
          </w:tcPr>
          <w:p>
            <w:pPr>
              <w:spacing w:after="0" w:line="252" w:lineRule="auto"/>
              <w:jc w:val="left"/>
            </w:pPr>
            <w:r>
              <w:rPr>
                <w:rFonts w:ascii="Calibri" w:hAnsi="Calibri"/>
                <w:color w:val="1A1A1A"/>
                <w:sz w:val="17"/>
              </w:rPr>
              <w:t>FR-X-06</w:t>
            </w:r>
          </w:p>
        </w:tc>
        <w:tc>
          <w:tcPr>
            <w:tcW w:type="dxa" w:w="3345"/>
            <w:shd w:val="clear" w:color="auto" w:fill="FAFBFC"/>
          </w:tcPr>
          <w:p>
            <w:pPr>
              <w:spacing w:after="0" w:line="252" w:lineRule="auto"/>
              <w:jc w:val="left"/>
            </w:pPr>
            <w:r>
              <w:rPr>
                <w:rFonts w:ascii="Calibri" w:hAnsi="Calibri"/>
                <w:color w:val="1A1A1A"/>
                <w:sz w:val="17"/>
              </w:rPr>
              <w:t xml:space="preserve">Enforce field-level redaction through a </w:t>
            </w:r>
            <w:r>
              <w:rPr>
                <w:rFonts w:ascii="Calibri" w:hAnsi="Calibri"/>
                <w:b/>
                <w:color w:val="1A1A1A"/>
                <w:sz w:val="17"/>
              </w:rPr>
              <w:t>single</w:t>
            </w:r>
            <w:r>
              <w:rPr>
                <w:rFonts w:ascii="Calibri" w:hAnsi="Calibri"/>
                <w:color w:val="1A1A1A"/>
                <w:sz w:val="17"/>
              </w:rPr>
              <w:t xml:space="preserve"> centralised helper, not per-surface</w:t>
            </w:r>
          </w:p>
        </w:tc>
        <w:tc>
          <w:tcPr>
            <w:tcW w:type="dxa" w:w="3061"/>
            <w:shd w:val="clear" w:color="auto" w:fill="FAFBFC"/>
          </w:tcPr>
          <w:p>
            <w:pPr>
              <w:spacing w:after="0" w:line="252" w:lineRule="auto"/>
              <w:jc w:val="left"/>
            </w:pPr>
            <w:r>
              <w:rPr>
                <w:rFonts w:ascii="Calibri" w:hAnsi="Calibri"/>
                <w:color w:val="1A1A1A"/>
                <w:sz w:val="17"/>
              </w:rPr>
              <w:t>Adding a new surface that returns money inherits redaction by default rather than by remembering to add it</w:t>
            </w:r>
          </w:p>
        </w:tc>
        <w:tc>
          <w:tcPr>
            <w:tcW w:type="dxa" w:w="1020"/>
            <w:shd w:val="clear" w:color="auto" w:fill="FAFBFC"/>
          </w:tcPr>
          <w:p>
            <w:pPr>
              <w:spacing w:after="0" w:line="252" w:lineRule="auto"/>
              <w:jc w:val="left"/>
            </w:pPr>
            <w:r>
              <w:rPr>
                <w:rFonts w:ascii="Calibri" w:hAnsi="Calibri"/>
                <w:b/>
                <w:color w:val="1F4E79"/>
                <w:sz w:val="17"/>
              </w:rPr>
              <w:t>NEW</w:t>
            </w:r>
            <w:r>
              <w:rPr>
                <w:rFonts w:ascii="Calibri" w:hAnsi="Calibri"/>
                <w:color w:val="1F4E79"/>
                <w:sz w:val="17"/>
              </w:rPr>
              <w:t xml:space="preserve"> — role-based money restriction is currently reimplemented in seven separate files</w:t>
            </w:r>
          </w:p>
        </w:tc>
        <w:tc>
          <w:tcPr>
            <w:tcW w:type="dxa" w:w="1928"/>
            <w:shd w:val="clear" w:color="auto" w:fill="FAFBFC"/>
          </w:tcPr>
          <w:p>
            <w:pPr>
              <w:spacing w:after="0" w:line="252" w:lineRule="auto"/>
              <w:jc w:val="left"/>
            </w:pPr>
            <w:r>
              <w:rPr>
                <w:rFonts w:ascii="Calibri" w:hAnsi="Calibri"/>
                <w:color w:val="1A1A1A"/>
                <w:sz w:val="17"/>
              </w:rPr>
              <w:t>New redaction service</w:t>
            </w:r>
          </w:p>
        </w:tc>
      </w:tr>
      <w:tr>
        <w:tc>
          <w:tcPr>
            <w:tcW w:type="dxa" w:w="964"/>
          </w:tcPr>
          <w:p>
            <w:pPr>
              <w:spacing w:after="0" w:line="252" w:lineRule="auto"/>
              <w:jc w:val="left"/>
            </w:pPr>
            <w:r>
              <w:rPr>
                <w:rFonts w:ascii="Calibri" w:hAnsi="Calibri"/>
                <w:color w:val="1A1A1A"/>
                <w:sz w:val="17"/>
              </w:rPr>
              <w:t>FR-X-07</w:t>
            </w:r>
          </w:p>
        </w:tc>
        <w:tc>
          <w:tcPr>
            <w:tcW w:type="dxa" w:w="3345"/>
          </w:tcPr>
          <w:p>
            <w:pPr>
              <w:spacing w:after="0" w:line="252" w:lineRule="auto"/>
              <w:jc w:val="left"/>
            </w:pPr>
            <w:r>
              <w:rPr>
                <w:rFonts w:ascii="Calibri" w:hAnsi="Calibri"/>
                <w:color w:val="1A1A1A"/>
                <w:sz w:val="17"/>
              </w:rPr>
              <w:t>Issue and revoke read-only API tokens for external automation</w:t>
            </w:r>
          </w:p>
        </w:tc>
        <w:tc>
          <w:tcPr>
            <w:tcW w:type="dxa" w:w="3061"/>
          </w:tcPr>
          <w:p>
            <w:pPr>
              <w:spacing w:after="0" w:line="252" w:lineRule="auto"/>
              <w:jc w:val="left"/>
            </w:pPr>
            <w:r>
              <w:rPr>
                <w:rFonts w:ascii="Calibri" w:hAnsi="Calibri"/>
                <w:color w:val="1A1A1A"/>
                <w:sz w:val="17"/>
              </w:rPr>
              <w:t>Tokens are hashed at rest, shown once, and revocable</w:t>
            </w:r>
          </w:p>
        </w:tc>
        <w:tc>
          <w:tcPr>
            <w:tcW w:type="dxa" w:w="1020"/>
          </w:tcPr>
          <w:p>
            <w:pPr>
              <w:spacing w:after="0" w:line="252" w:lineRule="auto"/>
              <w:jc w:val="left"/>
            </w:pPr>
            <w:r>
              <w:rPr>
                <w:rFonts w:ascii="Calibri" w:hAnsi="Calibri"/>
                <w:b/>
                <w:color w:val="1E6B33"/>
                <w:sz w:val="17"/>
              </w:rPr>
              <w:t>EXISTS</w:t>
            </w:r>
          </w:p>
        </w:tc>
        <w:tc>
          <w:tcPr>
            <w:tcW w:type="dxa" w:w="1928"/>
          </w:tcPr>
          <w:p>
            <w:pPr>
              <w:spacing w:after="0" w:line="252" w:lineRule="auto"/>
              <w:jc w:val="left"/>
            </w:pPr>
            <w:r>
              <w:rPr>
                <w:rFonts w:ascii="Calibri" w:hAnsi="Calibri"/>
                <w:color w:val="1F4E79"/>
                <w:sz w:val="17"/>
                <w:u w:val="single"/>
              </w:rPr>
              <w:t>api-token.service.ts</w:t>
            </w:r>
          </w:p>
        </w:tc>
      </w:tr>
    </w:tbl>
    <w:p>
      <w:pPr>
        <w:spacing w:after="80"/>
      </w:pPr>
    </w:p>
    <w:p>
      <w:pPr>
        <w:pStyle w:val="Heading2"/>
      </w:pPr>
      <w:r>
        <w:t>Time, taxonomy and reproducibility</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064"/>
        <w:gridCol w:w="2064"/>
        <w:gridCol w:w="2064"/>
        <w:gridCol w:w="2064"/>
        <w:gridCol w:w="2064"/>
      </w:tblGrid>
      <w:tr>
        <w:trPr>
          <w:tblHeader w:val="true"/>
        </w:trPr>
        <w:tc>
          <w:tcPr>
            <w:tcW w:type="dxa" w:w="964"/>
            <w:shd w:val="clear" w:color="auto" w:fill="E8EDF2"/>
          </w:tcPr>
          <w:p>
            <w:pPr>
              <w:spacing w:after="0"/>
              <w:jc w:val="left"/>
            </w:pPr>
            <w:r>
              <w:rPr>
                <w:rFonts w:ascii="Calibri" w:hAnsi="Calibri"/>
                <w:b/>
                <w:color w:val="1A1A1A"/>
                <w:sz w:val="17"/>
              </w:rPr>
              <w:t>ID</w:t>
            </w:r>
          </w:p>
        </w:tc>
        <w:tc>
          <w:tcPr>
            <w:tcW w:type="dxa" w:w="3345"/>
            <w:shd w:val="clear" w:color="auto" w:fill="E8EDF2"/>
          </w:tcPr>
          <w:p>
            <w:pPr>
              <w:spacing w:after="0"/>
              <w:jc w:val="left"/>
            </w:pPr>
            <w:r>
              <w:rPr>
                <w:rFonts w:ascii="Calibri" w:hAnsi="Calibri"/>
                <w:b/>
                <w:color w:val="1A1A1A"/>
                <w:sz w:val="17"/>
              </w:rPr>
              <w:t>Requirement</w:t>
            </w:r>
          </w:p>
        </w:tc>
        <w:tc>
          <w:tcPr>
            <w:tcW w:type="dxa" w:w="3061"/>
            <w:shd w:val="clear" w:color="auto" w:fill="E8EDF2"/>
          </w:tcPr>
          <w:p>
            <w:pPr>
              <w:spacing w:after="0"/>
              <w:jc w:val="left"/>
            </w:pPr>
            <w:r>
              <w:rPr>
                <w:rFonts w:ascii="Calibri" w:hAnsi="Calibri"/>
                <w:b/>
                <w:color w:val="1A1A1A"/>
                <w:sz w:val="17"/>
              </w:rPr>
              <w:t>Acceptance</w:t>
            </w:r>
          </w:p>
        </w:tc>
        <w:tc>
          <w:tcPr>
            <w:tcW w:type="dxa" w:w="1020"/>
            <w:shd w:val="clear" w:color="auto" w:fill="E8EDF2"/>
          </w:tcPr>
          <w:p>
            <w:pPr>
              <w:spacing w:after="0"/>
              <w:jc w:val="left"/>
            </w:pPr>
            <w:r>
              <w:rPr>
                <w:rFonts w:ascii="Calibri" w:hAnsi="Calibri"/>
                <w:b/>
                <w:color w:val="1A1A1A"/>
                <w:sz w:val="17"/>
              </w:rPr>
              <w:t>Status</w:t>
            </w:r>
          </w:p>
        </w:tc>
        <w:tc>
          <w:tcPr>
            <w:tcW w:type="dxa" w:w="1928"/>
            <w:shd w:val="clear" w:color="auto" w:fill="E8EDF2"/>
          </w:tcPr>
          <w:p>
            <w:pPr>
              <w:spacing w:after="0"/>
              <w:jc w:val="left"/>
            </w:pPr>
            <w:r>
              <w:rPr>
                <w:rFonts w:ascii="Calibri" w:hAnsi="Calibri"/>
                <w:b/>
                <w:color w:val="1A1A1A"/>
                <w:sz w:val="17"/>
              </w:rPr>
              <w:t>Lands in</w:t>
            </w:r>
          </w:p>
        </w:tc>
      </w:tr>
      <w:tr>
        <w:tc>
          <w:tcPr>
            <w:tcW w:type="dxa" w:w="964"/>
          </w:tcPr>
          <w:p>
            <w:pPr>
              <w:spacing w:after="0" w:line="252" w:lineRule="auto"/>
              <w:jc w:val="left"/>
            </w:pPr>
            <w:r>
              <w:rPr>
                <w:rFonts w:ascii="Calibri" w:hAnsi="Calibri"/>
                <w:color w:val="1A1A1A"/>
                <w:sz w:val="17"/>
              </w:rPr>
              <w:t>FR-X-08</w:t>
            </w:r>
          </w:p>
        </w:tc>
        <w:tc>
          <w:tcPr>
            <w:tcW w:type="dxa" w:w="3345"/>
          </w:tcPr>
          <w:p>
            <w:pPr>
              <w:spacing w:after="0" w:line="252" w:lineRule="auto"/>
              <w:jc w:val="left"/>
            </w:pPr>
            <w:r>
              <w:rPr>
                <w:rFonts w:ascii="Calibri" w:hAnsi="Calibri"/>
                <w:color w:val="1A1A1A"/>
                <w:sz w:val="17"/>
              </w:rPr>
              <w:t>Provide a shared time model for fiscal periods, contract terms, attribution windows, revenue periods and forecast horizons</w:t>
            </w:r>
          </w:p>
        </w:tc>
        <w:tc>
          <w:tcPr>
            <w:tcW w:type="dxa" w:w="3061"/>
          </w:tcPr>
          <w:p>
            <w:pPr>
              <w:spacing w:after="0" w:line="252" w:lineRule="auto"/>
              <w:jc w:val="left"/>
            </w:pPr>
            <w:r>
              <w:rPr>
                <w:rFonts w:ascii="Calibri" w:hAnsi="Calibri"/>
                <w:color w:val="1A1A1A"/>
                <w:sz w:val="17"/>
              </w:rPr>
              <w:t>One definition of "this quarter" is used by every report and every pillar</w:t>
            </w:r>
          </w:p>
        </w:tc>
        <w:tc>
          <w:tcPr>
            <w:tcW w:type="dxa" w:w="1020"/>
          </w:tcPr>
          <w:p>
            <w:pPr>
              <w:spacing w:after="0" w:line="252" w:lineRule="auto"/>
              <w:jc w:val="left"/>
            </w:pPr>
            <w:r>
              <w:rPr>
                <w:rFonts w:ascii="Calibri" w:hAnsi="Calibri"/>
                <w:b/>
                <w:color w:val="9A5B00"/>
                <w:sz w:val="17"/>
              </w:rPr>
              <w:t>PARTIAL</w:t>
            </w:r>
            <w:r>
              <w:rPr>
                <w:rFonts w:ascii="Calibri" w:hAnsi="Calibri"/>
                <w:color w:val="9A5B00"/>
                <w:sz w:val="17"/>
              </w:rPr>
              <w:t xml:space="preserve"> — report presets exist; there is no fiscal period model</w:t>
            </w:r>
          </w:p>
        </w:tc>
        <w:tc>
          <w:tcPr>
            <w:tcW w:type="dxa" w:w="1928"/>
          </w:tcPr>
          <w:p>
            <w:pPr>
              <w:spacing w:after="0" w:line="252" w:lineRule="auto"/>
              <w:jc w:val="left"/>
            </w:pPr>
            <w:r>
              <w:rPr>
                <w:rFonts w:ascii="Calibri" w:hAnsi="Calibri"/>
                <w:color w:val="1F4E79"/>
                <w:sz w:val="17"/>
                <w:u w:val="single"/>
              </w:rPr>
              <w:t>report.service.ts</w:t>
            </w:r>
          </w:p>
        </w:tc>
      </w:tr>
      <w:tr>
        <w:tc>
          <w:tcPr>
            <w:tcW w:type="dxa" w:w="964"/>
            <w:shd w:val="clear" w:color="auto" w:fill="FAFBFC"/>
          </w:tcPr>
          <w:p>
            <w:pPr>
              <w:spacing w:after="0" w:line="252" w:lineRule="auto"/>
              <w:jc w:val="left"/>
            </w:pPr>
            <w:r>
              <w:rPr>
                <w:rFonts w:ascii="Calibri" w:hAnsi="Calibri"/>
                <w:color w:val="1A1A1A"/>
                <w:sz w:val="17"/>
              </w:rPr>
              <w:t>FR-X-09</w:t>
            </w:r>
          </w:p>
        </w:tc>
        <w:tc>
          <w:tcPr>
            <w:tcW w:type="dxa" w:w="3345"/>
            <w:shd w:val="clear" w:color="auto" w:fill="FAFBFC"/>
          </w:tcPr>
          <w:p>
            <w:pPr>
              <w:spacing w:after="0" w:line="252" w:lineRule="auto"/>
              <w:jc w:val="left"/>
            </w:pPr>
            <w:r>
              <w:rPr>
                <w:rFonts w:ascii="Calibri" w:hAnsi="Calibri"/>
                <w:color w:val="1A1A1A"/>
                <w:sz w:val="17"/>
              </w:rPr>
              <w:t>Apply effective dating to cost rates, rate cards, overhead policies, catalog versions and margin targets</w:t>
            </w:r>
          </w:p>
        </w:tc>
        <w:tc>
          <w:tcPr>
            <w:tcW w:type="dxa" w:w="3061"/>
            <w:shd w:val="clear" w:color="auto" w:fill="FAFBFC"/>
          </w:tcPr>
          <w:p>
            <w:pPr>
              <w:spacing w:after="0" w:line="252" w:lineRule="auto"/>
              <w:jc w:val="left"/>
            </w:pPr>
            <w:r>
              <w:rPr>
                <w:rFonts w:ascii="Calibri" w:hAnsi="Calibri"/>
                <w:color w:val="1A1A1A"/>
                <w:sz w:val="17"/>
              </w:rPr>
              <w:t>Any historic estimate resolves the exact values that applied on its date</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Pillar 4 tables</w:t>
            </w:r>
          </w:p>
        </w:tc>
      </w:tr>
      <w:tr>
        <w:tc>
          <w:tcPr>
            <w:tcW w:type="dxa" w:w="964"/>
          </w:tcPr>
          <w:p>
            <w:pPr>
              <w:spacing w:after="0" w:line="252" w:lineRule="auto"/>
              <w:jc w:val="left"/>
            </w:pPr>
            <w:r>
              <w:rPr>
                <w:rFonts w:ascii="Calibri" w:hAnsi="Calibri"/>
                <w:color w:val="1A1A1A"/>
                <w:sz w:val="17"/>
              </w:rPr>
              <w:t>FR-X-10</w:t>
            </w:r>
          </w:p>
        </w:tc>
        <w:tc>
          <w:tcPr>
            <w:tcW w:type="dxa" w:w="3345"/>
          </w:tcPr>
          <w:p>
            <w:pPr>
              <w:spacing w:after="0" w:line="252" w:lineRule="auto"/>
              <w:jc w:val="left"/>
            </w:pPr>
            <w:r>
              <w:rPr>
                <w:rFonts w:ascii="Calibri" w:hAnsi="Calibri"/>
                <w:color w:val="1A1A1A"/>
                <w:sz w:val="17"/>
              </w:rPr>
              <w:t>Maintain canonical taxonomies for client status, opportunity stage, service line, contract type, delivery stage, role and sizing driver</w:t>
            </w:r>
          </w:p>
        </w:tc>
        <w:tc>
          <w:tcPr>
            <w:tcW w:type="dxa" w:w="3061"/>
          </w:tcPr>
          <w:p>
            <w:pPr>
              <w:spacing w:after="0" w:line="252" w:lineRule="auto"/>
              <w:jc w:val="left"/>
            </w:pPr>
            <w:r>
              <w:rPr>
                <w:rFonts w:ascii="Calibri" w:hAnsi="Calibri"/>
                <w:color w:val="1A1A1A"/>
                <w:sz w:val="17"/>
              </w:rPr>
              <w:t>Estimates and actuals use the same role and stage vocabulary so they are comparable without translation</w:t>
            </w:r>
          </w:p>
        </w:tc>
        <w:tc>
          <w:tcPr>
            <w:tcW w:type="dxa" w:w="1020"/>
          </w:tcPr>
          <w:p>
            <w:pPr>
              <w:spacing w:after="0" w:line="252" w:lineRule="auto"/>
              <w:jc w:val="left"/>
            </w:pPr>
            <w:r>
              <w:rPr>
                <w:rFonts w:ascii="Calibri" w:hAnsi="Calibri"/>
                <w:b/>
                <w:color w:val="9A5B00"/>
                <w:sz w:val="17"/>
              </w:rPr>
              <w:t>PARTIAL</w:t>
            </w:r>
            <w:r>
              <w:rPr>
                <w:rFonts w:ascii="Calibri" w:hAnsi="Calibri"/>
                <w:color w:val="9A5B00"/>
                <w:sz w:val="17"/>
              </w:rPr>
              <w:t xml:space="preserve"> — service lines exist in two places with different value sets (</w:t>
            </w:r>
            <w:r>
              <w:rPr>
                <w:rFonts w:ascii="Calibri" w:hAnsi="Calibri"/>
                <w:color w:val="1F4E79"/>
                <w:sz w:val="17"/>
                <w:u w:val="single"/>
              </w:rPr>
              <w:t>constants.ts</w:t>
            </w:r>
            <w:r>
              <w:rPr>
                <w:rFonts w:ascii="Calibri" w:hAnsi="Calibri"/>
                <w:color w:val="9A5B00"/>
                <w:sz w:val="17"/>
              </w:rPr>
              <w:t xml:space="preserve"> and </w:t>
            </w:r>
            <w:r>
              <w:rPr>
                <w:rFonts w:ascii="Consolas" w:hAnsi="Consolas"/>
                <w:color w:val="8B2E2E"/>
                <w:sz w:val="17"/>
              </w:rPr>
              <w:t>ProjectServiceType</w:t>
            </w:r>
            <w:r>
              <w:rPr>
                <w:rFonts w:ascii="Calibri" w:hAnsi="Calibri"/>
                <w:color w:val="9A5B00"/>
                <w:sz w:val="17"/>
              </w:rPr>
              <w:t>); there is no role taxonomy at all</w:t>
            </w:r>
          </w:p>
        </w:tc>
        <w:tc>
          <w:tcPr>
            <w:tcW w:type="dxa" w:w="1928"/>
          </w:tcPr>
          <w:p>
            <w:pPr>
              <w:spacing w:after="0" w:line="252" w:lineRule="auto"/>
              <w:jc w:val="left"/>
            </w:pPr>
            <w:r>
              <w:rPr>
                <w:rFonts w:ascii="Calibri" w:hAnsi="Calibri"/>
                <w:color w:val="1F4E79"/>
                <w:sz w:val="17"/>
                <w:u w:val="single"/>
              </w:rPr>
              <w:t>types.ts</w:t>
            </w:r>
            <w:r>
              <w:rPr>
                <w:rFonts w:ascii="Calibri" w:hAnsi="Calibri"/>
                <w:color w:val="1A1A1A"/>
                <w:sz w:val="17"/>
              </w:rPr>
              <w:t xml:space="preserve">, </w:t>
            </w:r>
            <w:r>
              <w:rPr>
                <w:rFonts w:ascii="Calibri" w:hAnsi="Calibri"/>
                <w:color w:val="1F4E79"/>
                <w:sz w:val="17"/>
                <w:u w:val="single"/>
              </w:rPr>
              <w:t>constants.ts</w:t>
            </w:r>
          </w:p>
        </w:tc>
      </w:tr>
      <w:tr>
        <w:tc>
          <w:tcPr>
            <w:tcW w:type="dxa" w:w="964"/>
            <w:shd w:val="clear" w:color="auto" w:fill="FAFBFC"/>
          </w:tcPr>
          <w:p>
            <w:pPr>
              <w:spacing w:after="0" w:line="252" w:lineRule="auto"/>
              <w:jc w:val="left"/>
            </w:pPr>
            <w:r>
              <w:rPr>
                <w:rFonts w:ascii="Calibri" w:hAnsi="Calibri"/>
                <w:color w:val="1A1A1A"/>
                <w:sz w:val="17"/>
              </w:rPr>
              <w:t>FR-X-11</w:t>
            </w:r>
          </w:p>
        </w:tc>
        <w:tc>
          <w:tcPr>
            <w:tcW w:type="dxa" w:w="3345"/>
            <w:shd w:val="clear" w:color="auto" w:fill="FAFBFC"/>
          </w:tcPr>
          <w:p>
            <w:pPr>
              <w:spacing w:after="0" w:line="252" w:lineRule="auto"/>
              <w:jc w:val="left"/>
            </w:pPr>
            <w:r>
              <w:rPr>
                <w:rFonts w:ascii="Calibri" w:hAnsi="Calibri"/>
                <w:color w:val="1A1A1A"/>
                <w:sz w:val="17"/>
              </w:rPr>
              <w:t>Support user-defined custom fields on core entities without a schema change</w:t>
            </w:r>
          </w:p>
        </w:tc>
        <w:tc>
          <w:tcPr>
            <w:tcW w:type="dxa" w:w="3061"/>
            <w:shd w:val="clear" w:color="auto" w:fill="FAFBFC"/>
          </w:tcPr>
          <w:p>
            <w:pPr>
              <w:spacing w:after="0" w:line="252" w:lineRule="auto"/>
              <w:jc w:val="left"/>
            </w:pPr>
            <w:r>
              <w:rPr>
                <w:rFonts w:ascii="Calibri" w:hAnsi="Calibri"/>
                <w:color w:val="1A1A1A"/>
                <w:sz w:val="17"/>
              </w:rPr>
              <w:t>18 field types, defined in Settings, stored per record</w:t>
            </w:r>
          </w:p>
        </w:tc>
        <w:tc>
          <w:tcPr>
            <w:tcW w:type="dxa" w:w="1020"/>
            <w:shd w:val="clear" w:color="auto" w:fill="FAFBFC"/>
          </w:tcPr>
          <w:p>
            <w:pPr>
              <w:spacing w:after="0" w:line="252" w:lineRule="auto"/>
              <w:jc w:val="left"/>
            </w:pPr>
            <w:r>
              <w:rPr>
                <w:rFonts w:ascii="Calibri" w:hAnsi="Calibri"/>
                <w:b/>
                <w:color w:val="1E6B33"/>
                <w:sz w:val="17"/>
              </w:rPr>
              <w:t>EXISTS</w:t>
            </w:r>
          </w:p>
        </w:tc>
        <w:tc>
          <w:tcPr>
            <w:tcW w:type="dxa" w:w="1928"/>
            <w:shd w:val="clear" w:color="auto" w:fill="FAFBFC"/>
          </w:tcPr>
          <w:p>
            <w:pPr>
              <w:spacing w:after="0" w:line="252" w:lineRule="auto"/>
              <w:jc w:val="left"/>
            </w:pPr>
            <w:r>
              <w:rPr>
                <w:rFonts w:ascii="Calibri" w:hAnsi="Calibri"/>
                <w:color w:val="1F4E79"/>
                <w:sz w:val="17"/>
                <w:u w:val="single"/>
              </w:rPr>
              <w:t>custom-fields.ts</w:t>
            </w:r>
          </w:p>
        </w:tc>
      </w:tr>
    </w:tbl>
    <w:p>
      <w:pPr>
        <w:spacing w:after="80"/>
      </w:pPr>
    </w:p>
    <w:p>
      <w:pPr>
        <w:pStyle w:val="Heading2"/>
      </w:pPr>
      <w:r>
        <w:t>Workflow, documents and audit</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064"/>
        <w:gridCol w:w="2064"/>
        <w:gridCol w:w="2064"/>
        <w:gridCol w:w="2064"/>
        <w:gridCol w:w="2064"/>
      </w:tblGrid>
      <w:tr>
        <w:trPr>
          <w:tblHeader w:val="true"/>
        </w:trPr>
        <w:tc>
          <w:tcPr>
            <w:tcW w:type="dxa" w:w="964"/>
            <w:shd w:val="clear" w:color="auto" w:fill="E8EDF2"/>
          </w:tcPr>
          <w:p>
            <w:pPr>
              <w:spacing w:after="0"/>
              <w:jc w:val="left"/>
            </w:pPr>
            <w:r>
              <w:rPr>
                <w:rFonts w:ascii="Calibri" w:hAnsi="Calibri"/>
                <w:b/>
                <w:color w:val="1A1A1A"/>
                <w:sz w:val="17"/>
              </w:rPr>
              <w:t>ID</w:t>
            </w:r>
          </w:p>
        </w:tc>
        <w:tc>
          <w:tcPr>
            <w:tcW w:type="dxa" w:w="3345"/>
            <w:shd w:val="clear" w:color="auto" w:fill="E8EDF2"/>
          </w:tcPr>
          <w:p>
            <w:pPr>
              <w:spacing w:after="0"/>
              <w:jc w:val="left"/>
            </w:pPr>
            <w:r>
              <w:rPr>
                <w:rFonts w:ascii="Calibri" w:hAnsi="Calibri"/>
                <w:b/>
                <w:color w:val="1A1A1A"/>
                <w:sz w:val="17"/>
              </w:rPr>
              <w:t>Requirement</w:t>
            </w:r>
          </w:p>
        </w:tc>
        <w:tc>
          <w:tcPr>
            <w:tcW w:type="dxa" w:w="3061"/>
            <w:shd w:val="clear" w:color="auto" w:fill="E8EDF2"/>
          </w:tcPr>
          <w:p>
            <w:pPr>
              <w:spacing w:after="0"/>
              <w:jc w:val="left"/>
            </w:pPr>
            <w:r>
              <w:rPr>
                <w:rFonts w:ascii="Calibri" w:hAnsi="Calibri"/>
                <w:b/>
                <w:color w:val="1A1A1A"/>
                <w:sz w:val="17"/>
              </w:rPr>
              <w:t>Acceptance</w:t>
            </w:r>
          </w:p>
        </w:tc>
        <w:tc>
          <w:tcPr>
            <w:tcW w:type="dxa" w:w="1020"/>
            <w:shd w:val="clear" w:color="auto" w:fill="E8EDF2"/>
          </w:tcPr>
          <w:p>
            <w:pPr>
              <w:spacing w:after="0"/>
              <w:jc w:val="left"/>
            </w:pPr>
            <w:r>
              <w:rPr>
                <w:rFonts w:ascii="Calibri" w:hAnsi="Calibri"/>
                <w:b/>
                <w:color w:val="1A1A1A"/>
                <w:sz w:val="17"/>
              </w:rPr>
              <w:t>Status</w:t>
            </w:r>
          </w:p>
        </w:tc>
        <w:tc>
          <w:tcPr>
            <w:tcW w:type="dxa" w:w="1928"/>
            <w:shd w:val="clear" w:color="auto" w:fill="E8EDF2"/>
          </w:tcPr>
          <w:p>
            <w:pPr>
              <w:spacing w:after="0"/>
              <w:jc w:val="left"/>
            </w:pPr>
            <w:r>
              <w:rPr>
                <w:rFonts w:ascii="Calibri" w:hAnsi="Calibri"/>
                <w:b/>
                <w:color w:val="1A1A1A"/>
                <w:sz w:val="17"/>
              </w:rPr>
              <w:t>Lands in</w:t>
            </w:r>
          </w:p>
        </w:tc>
      </w:tr>
      <w:tr>
        <w:tc>
          <w:tcPr>
            <w:tcW w:type="dxa" w:w="964"/>
          </w:tcPr>
          <w:p>
            <w:pPr>
              <w:spacing w:after="0" w:line="252" w:lineRule="auto"/>
              <w:jc w:val="left"/>
            </w:pPr>
            <w:r>
              <w:rPr>
                <w:rFonts w:ascii="Calibri" w:hAnsi="Calibri"/>
                <w:color w:val="1A1A1A"/>
                <w:sz w:val="17"/>
              </w:rPr>
              <w:t>FR-X-12</w:t>
            </w:r>
          </w:p>
        </w:tc>
        <w:tc>
          <w:tcPr>
            <w:tcW w:type="dxa" w:w="3345"/>
          </w:tcPr>
          <w:p>
            <w:pPr>
              <w:spacing w:after="0" w:line="252" w:lineRule="auto"/>
              <w:jc w:val="left"/>
            </w:pPr>
            <w:r>
              <w:rPr>
                <w:rFonts w:ascii="Calibri" w:hAnsi="Calibri"/>
                <w:color w:val="1A1A1A"/>
                <w:sz w:val="17"/>
              </w:rPr>
              <w:t>Provide a reusable approval workflow: request, approver resolution, decision, reason and trail</w:t>
            </w:r>
          </w:p>
        </w:tc>
        <w:tc>
          <w:tcPr>
            <w:tcW w:type="dxa" w:w="3061"/>
          </w:tcPr>
          <w:p>
            <w:pPr>
              <w:spacing w:after="0" w:line="252" w:lineRule="auto"/>
              <w:jc w:val="left"/>
            </w:pPr>
            <w:r>
              <w:rPr>
                <w:rFonts w:ascii="Calibri" w:hAnsi="Calibri"/>
                <w:color w:val="1A1A1A"/>
                <w:sz w:val="17"/>
              </w:rPr>
              <w:t>Used by margin floor breaches, lapsed quotation revival, feasibility override, shared-credit adjudication and write-offs</w:t>
            </w:r>
          </w:p>
        </w:tc>
        <w:tc>
          <w:tcPr>
            <w:tcW w:type="dxa" w:w="1020"/>
          </w:tcPr>
          <w:p>
            <w:pPr>
              <w:spacing w:after="0" w:line="252" w:lineRule="auto"/>
              <w:jc w:val="left"/>
            </w:pPr>
            <w:r>
              <w:rPr>
                <w:rFonts w:ascii="Calibri" w:hAnsi="Calibri"/>
                <w:b/>
                <w:color w:val="1F4E79"/>
                <w:sz w:val="17"/>
              </w:rPr>
              <w:t>NEW</w:t>
            </w:r>
            <w:r>
              <w:rPr>
                <w:rFonts w:ascii="Calibri" w:hAnsi="Calibri"/>
                <w:color w:val="1F4E79"/>
                <w:sz w:val="17"/>
              </w:rPr>
              <w:t xml:space="preserve"> — no approval concept exists anywhere</w:t>
            </w:r>
          </w:p>
        </w:tc>
        <w:tc>
          <w:tcPr>
            <w:tcW w:type="dxa" w:w="1928"/>
          </w:tcPr>
          <w:p>
            <w:pPr>
              <w:spacing w:after="0" w:line="252" w:lineRule="auto"/>
              <w:jc w:val="left"/>
            </w:pPr>
            <w:r>
              <w:rPr>
                <w:rFonts w:ascii="Calibri" w:hAnsi="Calibri"/>
                <w:color w:val="1A1A1A"/>
                <w:sz w:val="17"/>
              </w:rPr>
              <w:t>New approval service</w:t>
            </w:r>
          </w:p>
        </w:tc>
      </w:tr>
      <w:tr>
        <w:tc>
          <w:tcPr>
            <w:tcW w:type="dxa" w:w="964"/>
            <w:shd w:val="clear" w:color="auto" w:fill="FAFBFC"/>
          </w:tcPr>
          <w:p>
            <w:pPr>
              <w:spacing w:after="0" w:line="252" w:lineRule="auto"/>
              <w:jc w:val="left"/>
            </w:pPr>
            <w:r>
              <w:rPr>
                <w:rFonts w:ascii="Calibri" w:hAnsi="Calibri"/>
                <w:color w:val="1A1A1A"/>
                <w:sz w:val="17"/>
              </w:rPr>
              <w:t>FR-X-13</w:t>
            </w:r>
          </w:p>
        </w:tc>
        <w:tc>
          <w:tcPr>
            <w:tcW w:type="dxa" w:w="3345"/>
            <w:shd w:val="clear" w:color="auto" w:fill="FAFBFC"/>
          </w:tcPr>
          <w:p>
            <w:pPr>
              <w:spacing w:after="0" w:line="252" w:lineRule="auto"/>
              <w:jc w:val="left"/>
            </w:pPr>
            <w:r>
              <w:rPr>
                <w:rFonts w:ascii="Calibri" w:hAnsi="Calibri"/>
                <w:color w:val="1A1A1A"/>
                <w:sz w:val="17"/>
              </w:rPr>
              <w:t>Provide notification, escalation and due-date services usable by any pillar</w:t>
            </w:r>
          </w:p>
        </w:tc>
        <w:tc>
          <w:tcPr>
            <w:tcW w:type="dxa" w:w="3061"/>
            <w:shd w:val="clear" w:color="auto" w:fill="FAFBFC"/>
          </w:tcPr>
          <w:p>
            <w:pPr>
              <w:spacing w:after="0" w:line="252" w:lineRule="auto"/>
              <w:jc w:val="left"/>
            </w:pPr>
            <w:r>
              <w:rPr>
                <w:rFonts w:ascii="Calibri" w:hAnsi="Calibri"/>
                <w:color w:val="1A1A1A"/>
                <w:sz w:val="17"/>
              </w:rPr>
              <w:t>An exception can notify, wait, and escalate without each pillar rebuilding it</w:t>
            </w:r>
          </w:p>
        </w:tc>
        <w:tc>
          <w:tcPr>
            <w:tcW w:type="dxa" w:w="1020"/>
            <w:shd w:val="clear" w:color="auto" w:fill="FAFBFC"/>
          </w:tcPr>
          <w:p>
            <w:pPr>
              <w:spacing w:after="0" w:line="252" w:lineRule="auto"/>
              <w:jc w:val="left"/>
            </w:pPr>
            <w:r>
              <w:rPr>
                <w:rFonts w:ascii="Calibri" w:hAnsi="Calibri"/>
                <w:b/>
                <w:color w:val="9A5B00"/>
                <w:sz w:val="17"/>
              </w:rPr>
              <w:t>PARTIAL</w:t>
            </w:r>
            <w:r>
              <w:rPr>
                <w:rFonts w:ascii="Calibri" w:hAnsi="Calibri"/>
                <w:color w:val="9A5B00"/>
                <w:sz w:val="17"/>
              </w:rPr>
              <w:t xml:space="preserve"> — notifications and digests exist; escalation does not</w:t>
            </w:r>
          </w:p>
        </w:tc>
        <w:tc>
          <w:tcPr>
            <w:tcW w:type="dxa" w:w="1928"/>
            <w:shd w:val="clear" w:color="auto" w:fill="FAFBFC"/>
          </w:tcPr>
          <w:p>
            <w:pPr>
              <w:spacing w:after="0" w:line="252" w:lineRule="auto"/>
              <w:jc w:val="left"/>
            </w:pPr>
            <w:r>
              <w:rPr>
                <w:rFonts w:ascii="Calibri" w:hAnsi="Calibri"/>
                <w:color w:val="1F4E79"/>
                <w:sz w:val="17"/>
                <w:u w:val="single"/>
              </w:rPr>
              <w:t>notification.service.ts</w:t>
            </w:r>
          </w:p>
        </w:tc>
      </w:tr>
      <w:tr>
        <w:tc>
          <w:tcPr>
            <w:tcW w:type="dxa" w:w="964"/>
          </w:tcPr>
          <w:p>
            <w:pPr>
              <w:spacing w:after="0" w:line="252" w:lineRule="auto"/>
              <w:jc w:val="left"/>
            </w:pPr>
            <w:r>
              <w:rPr>
                <w:rFonts w:ascii="Calibri" w:hAnsi="Calibri"/>
                <w:color w:val="1A1A1A"/>
                <w:sz w:val="17"/>
              </w:rPr>
              <w:t>FR-X-14</w:t>
            </w:r>
          </w:p>
        </w:tc>
        <w:tc>
          <w:tcPr>
            <w:tcW w:type="dxa" w:w="3345"/>
          </w:tcPr>
          <w:p>
            <w:pPr>
              <w:spacing w:after="0" w:line="252" w:lineRule="auto"/>
              <w:jc w:val="left"/>
            </w:pPr>
            <w:r>
              <w:rPr>
                <w:rFonts w:ascii="Calibri" w:hAnsi="Calibri"/>
                <w:color w:val="1A1A1A"/>
                <w:sz w:val="17"/>
              </w:rPr>
              <w:t>Provide file storage with upload, retrieval, versioning and access control</w:t>
            </w:r>
          </w:p>
        </w:tc>
        <w:tc>
          <w:tcPr>
            <w:tcW w:type="dxa" w:w="3061"/>
          </w:tcPr>
          <w:p>
            <w:pPr>
              <w:spacing w:after="0" w:line="252" w:lineRule="auto"/>
              <w:jc w:val="left"/>
            </w:pPr>
            <w:r>
              <w:rPr>
                <w:rFonts w:ascii="Calibri" w:hAnsi="Calibri"/>
                <w:color w:val="1A1A1A"/>
                <w:sz w:val="17"/>
              </w:rPr>
              <w:t>A contract document, a quotation PDF and an evidence attachment can all be stored and retrieved</w:t>
            </w:r>
          </w:p>
        </w:tc>
        <w:tc>
          <w:tcPr>
            <w:tcW w:type="dxa" w:w="1020"/>
          </w:tcPr>
          <w:p>
            <w:pPr>
              <w:spacing w:after="0" w:line="252" w:lineRule="auto"/>
              <w:jc w:val="left"/>
            </w:pPr>
            <w:r>
              <w:rPr>
                <w:rFonts w:ascii="Calibri" w:hAnsi="Calibri"/>
                <w:b/>
                <w:color w:val="1F4E79"/>
                <w:sz w:val="17"/>
              </w:rPr>
              <w:t>NEW</w:t>
            </w:r>
            <w:r>
              <w:rPr>
                <w:rFonts w:ascii="Calibri" w:hAnsi="Calibri"/>
                <w:color w:val="1F4E79"/>
                <w:sz w:val="17"/>
              </w:rPr>
              <w:t xml:space="preserve"> — </w:t>
            </w:r>
            <w:r>
              <w:rPr>
                <w:rFonts w:ascii="Consolas" w:hAnsi="Consolas"/>
                <w:color w:val="8B2E2E"/>
                <w:sz w:val="17"/>
              </w:rPr>
              <w:t>STORAGE_TYPE</w:t>
            </w:r>
            <w:r>
              <w:rPr>
                <w:rFonts w:ascii="Calibri" w:hAnsi="Calibri"/>
                <w:color w:val="1F4E79"/>
                <w:sz w:val="17"/>
              </w:rPr>
              <w:t xml:space="preserve">, </w:t>
            </w:r>
            <w:r>
              <w:rPr>
                <w:rFonts w:ascii="Consolas" w:hAnsi="Consolas"/>
                <w:color w:val="8B2E2E"/>
                <w:sz w:val="17"/>
              </w:rPr>
              <w:t>STORAGE_LOCAL_PATH</w:t>
            </w:r>
            <w:r>
              <w:rPr>
                <w:rFonts w:ascii="Calibri" w:hAnsi="Calibri"/>
                <w:color w:val="1F4E79"/>
                <w:sz w:val="17"/>
              </w:rPr>
              <w:t xml:space="preserve"> and </w:t>
            </w:r>
            <w:r>
              <w:rPr>
                <w:rFonts w:ascii="Consolas" w:hAnsi="Consolas"/>
                <w:color w:val="8B2E2E"/>
                <w:sz w:val="17"/>
              </w:rPr>
              <w:t>S3_*</w:t>
            </w:r>
            <w:r>
              <w:rPr>
                <w:rFonts w:ascii="Calibri" w:hAnsi="Calibri"/>
                <w:color w:val="1F4E79"/>
                <w:sz w:val="17"/>
              </w:rPr>
              <w:t xml:space="preserve"> exist in </w:t>
            </w:r>
            <w:r>
              <w:rPr>
                <w:rFonts w:ascii="Consolas" w:hAnsi="Consolas"/>
                <w:color w:val="8B2E2E"/>
                <w:sz w:val="17"/>
              </w:rPr>
              <w:t>.env.example</w:t>
            </w:r>
            <w:r>
              <w:rPr>
                <w:rFonts w:ascii="Calibri" w:hAnsi="Calibri"/>
                <w:color w:val="1F4E79"/>
                <w:sz w:val="17"/>
              </w:rPr>
              <w:t xml:space="preserve"> and no code reads them</w:t>
            </w:r>
          </w:p>
        </w:tc>
        <w:tc>
          <w:tcPr>
            <w:tcW w:type="dxa" w:w="1928"/>
          </w:tcPr>
          <w:p>
            <w:pPr>
              <w:spacing w:after="0" w:line="252" w:lineRule="auto"/>
              <w:jc w:val="left"/>
            </w:pPr>
            <w:r>
              <w:rPr>
                <w:rFonts w:ascii="Calibri" w:hAnsi="Calibri"/>
                <w:color w:val="1A1A1A"/>
                <w:sz w:val="17"/>
              </w:rPr>
              <w:t>New storage service</w:t>
            </w:r>
          </w:p>
        </w:tc>
      </w:tr>
      <w:tr>
        <w:tc>
          <w:tcPr>
            <w:tcW w:type="dxa" w:w="964"/>
            <w:shd w:val="clear" w:color="auto" w:fill="FAFBFC"/>
          </w:tcPr>
          <w:p>
            <w:pPr>
              <w:spacing w:after="0" w:line="252" w:lineRule="auto"/>
              <w:jc w:val="left"/>
            </w:pPr>
            <w:r>
              <w:rPr>
                <w:rFonts w:ascii="Calibri" w:hAnsi="Calibri"/>
                <w:color w:val="1A1A1A"/>
                <w:sz w:val="17"/>
              </w:rPr>
              <w:t>FR-X-15</w:t>
            </w:r>
          </w:p>
        </w:tc>
        <w:tc>
          <w:tcPr>
            <w:tcW w:type="dxa" w:w="3345"/>
            <w:shd w:val="clear" w:color="auto" w:fill="FAFBFC"/>
          </w:tcPr>
          <w:p>
            <w:pPr>
              <w:spacing w:after="0" w:line="252" w:lineRule="auto"/>
              <w:jc w:val="left"/>
            </w:pPr>
            <w:r>
              <w:rPr>
                <w:rFonts w:ascii="Calibri" w:hAnsi="Calibri"/>
                <w:color w:val="1A1A1A"/>
                <w:sz w:val="17"/>
              </w:rPr>
              <w:t>Generate documents from versioned templates</w:t>
            </w:r>
          </w:p>
        </w:tc>
        <w:tc>
          <w:tcPr>
            <w:tcW w:type="dxa" w:w="3061"/>
            <w:shd w:val="clear" w:color="auto" w:fill="FAFBFC"/>
          </w:tcPr>
          <w:p>
            <w:pPr>
              <w:spacing w:after="0" w:line="252" w:lineRule="auto"/>
              <w:jc w:val="left"/>
            </w:pPr>
            <w:r>
              <w:rPr>
                <w:rFonts w:ascii="Calibri" w:hAnsi="Calibri"/>
                <w:color w:val="1A1A1A"/>
                <w:sz w:val="17"/>
              </w:rPr>
              <w:t>Quotations and commercial terms render from a template, versioned so a reissued document is reproducible</w:t>
            </w:r>
          </w:p>
        </w:tc>
        <w:tc>
          <w:tcPr>
            <w:tcW w:type="dxa" w:w="1020"/>
            <w:shd w:val="clear" w:color="auto" w:fill="FAFBFC"/>
          </w:tcPr>
          <w:p>
            <w:pPr>
              <w:spacing w:after="0" w:line="252" w:lineRule="auto"/>
              <w:jc w:val="left"/>
            </w:pPr>
            <w:r>
              <w:rPr>
                <w:rFonts w:ascii="Calibri" w:hAnsi="Calibri"/>
                <w:b/>
                <w:color w:val="9A5B00"/>
                <w:sz w:val="17"/>
              </w:rPr>
              <w:t>PARTIAL</w:t>
            </w:r>
            <w:r>
              <w:rPr>
                <w:rFonts w:ascii="Calibri" w:hAnsi="Calibri"/>
                <w:color w:val="9A5B00"/>
                <w:sz w:val="17"/>
              </w:rPr>
              <w:t xml:space="preserve"> — server-side PDF rendering exists for reports; there is no template model</w:t>
            </w:r>
          </w:p>
        </w:tc>
        <w:tc>
          <w:tcPr>
            <w:tcW w:type="dxa" w:w="1928"/>
            <w:shd w:val="clear" w:color="auto" w:fill="FAFBFC"/>
          </w:tcPr>
          <w:p>
            <w:pPr>
              <w:spacing w:after="0" w:line="252" w:lineRule="auto"/>
              <w:jc w:val="left"/>
            </w:pPr>
            <w:r>
              <w:rPr>
                <w:rFonts w:ascii="Calibri" w:hAnsi="Calibri"/>
                <w:color w:val="1F4E79"/>
                <w:sz w:val="17"/>
                <w:u w:val="single"/>
              </w:rPr>
              <w:t>report-pdf.tsx</w:t>
            </w:r>
          </w:p>
        </w:tc>
      </w:tr>
      <w:tr>
        <w:tc>
          <w:tcPr>
            <w:tcW w:type="dxa" w:w="964"/>
          </w:tcPr>
          <w:p>
            <w:pPr>
              <w:spacing w:after="0" w:line="252" w:lineRule="auto"/>
              <w:jc w:val="left"/>
            </w:pPr>
            <w:r>
              <w:rPr>
                <w:rFonts w:ascii="Calibri" w:hAnsi="Calibri"/>
                <w:color w:val="1A1A1A"/>
                <w:sz w:val="17"/>
              </w:rPr>
              <w:t>FR-X-16</w:t>
            </w:r>
          </w:p>
        </w:tc>
        <w:tc>
          <w:tcPr>
            <w:tcW w:type="dxa" w:w="3345"/>
          </w:tcPr>
          <w:p>
            <w:pPr>
              <w:spacing w:after="0" w:line="252" w:lineRule="auto"/>
              <w:jc w:val="left"/>
            </w:pPr>
            <w:r>
              <w:rPr>
                <w:rFonts w:ascii="Calibri" w:hAnsi="Calibri"/>
                <w:color w:val="1A1A1A"/>
                <w:sz w:val="17"/>
              </w:rPr>
              <w:t>Write an audit entry for every mutation, with actor, IP and a JSON diff</w:t>
            </w:r>
          </w:p>
        </w:tc>
        <w:tc>
          <w:tcPr>
            <w:tcW w:type="dxa" w:w="3061"/>
          </w:tcPr>
          <w:p>
            <w:pPr>
              <w:spacing w:after="0" w:line="252" w:lineRule="auto"/>
              <w:jc w:val="left"/>
            </w:pPr>
            <w:r>
              <w:rPr>
                <w:rFonts w:ascii="Calibri" w:hAnsi="Calibri"/>
                <w:color w:val="1A1A1A"/>
                <w:sz w:val="17"/>
              </w:rPr>
              <w:t>The audit log is queryable by entity and by user and survives user deletion</w:t>
            </w:r>
          </w:p>
        </w:tc>
        <w:tc>
          <w:tcPr>
            <w:tcW w:type="dxa" w:w="1020"/>
          </w:tcPr>
          <w:p>
            <w:pPr>
              <w:spacing w:after="0" w:line="252" w:lineRule="auto"/>
              <w:jc w:val="left"/>
            </w:pPr>
            <w:r>
              <w:rPr>
                <w:rFonts w:ascii="Calibri" w:hAnsi="Calibri"/>
                <w:b/>
                <w:color w:val="1E6B33"/>
                <w:sz w:val="17"/>
              </w:rPr>
              <w:t>EXISTS</w:t>
            </w:r>
          </w:p>
        </w:tc>
        <w:tc>
          <w:tcPr>
            <w:tcW w:type="dxa" w:w="1928"/>
          </w:tcPr>
          <w:p>
            <w:pPr>
              <w:spacing w:after="0" w:line="252" w:lineRule="auto"/>
              <w:jc w:val="left"/>
            </w:pPr>
            <w:r>
              <w:rPr>
                <w:rFonts w:ascii="Calibri" w:hAnsi="Calibri"/>
                <w:color w:val="1F4E79"/>
                <w:sz w:val="17"/>
                <w:u w:val="single"/>
              </w:rPr>
              <w:t>audit-log.ts</w:t>
            </w:r>
          </w:p>
        </w:tc>
      </w:tr>
      <w:tr>
        <w:tc>
          <w:tcPr>
            <w:tcW w:type="dxa" w:w="964"/>
            <w:shd w:val="clear" w:color="auto" w:fill="FAFBFC"/>
          </w:tcPr>
          <w:p>
            <w:pPr>
              <w:spacing w:after="0" w:line="252" w:lineRule="auto"/>
              <w:jc w:val="left"/>
            </w:pPr>
            <w:r>
              <w:rPr>
                <w:rFonts w:ascii="Calibri" w:hAnsi="Calibri"/>
                <w:color w:val="1A1A1A"/>
                <w:sz w:val="17"/>
              </w:rPr>
              <w:t>FR-X-17</w:t>
            </w:r>
          </w:p>
        </w:tc>
        <w:tc>
          <w:tcPr>
            <w:tcW w:type="dxa" w:w="3345"/>
            <w:shd w:val="clear" w:color="auto" w:fill="FAFBFC"/>
          </w:tcPr>
          <w:p>
            <w:pPr>
              <w:spacing w:after="0" w:line="252" w:lineRule="auto"/>
              <w:jc w:val="left"/>
            </w:pPr>
            <w:r>
              <w:rPr>
                <w:rFonts w:ascii="Calibri" w:hAnsi="Calibri"/>
                <w:color w:val="1A1A1A"/>
                <w:sz w:val="17"/>
              </w:rPr>
              <w:t>Record metric lineage so any reported number can be traced to its definition and inputs</w:t>
            </w:r>
          </w:p>
        </w:tc>
        <w:tc>
          <w:tcPr>
            <w:tcW w:type="dxa" w:w="3061"/>
            <w:shd w:val="clear" w:color="auto" w:fill="FAFBFC"/>
          </w:tcPr>
          <w:p>
            <w:pPr>
              <w:spacing w:after="0" w:line="252" w:lineRule="auto"/>
              <w:jc w:val="left"/>
            </w:pPr>
            <w:r>
              <w:rPr>
                <w:rFonts w:ascii="Calibri" w:hAnsi="Calibri"/>
                <w:color w:val="1A1A1A"/>
                <w:sz w:val="17"/>
              </w:rPr>
              <w:t>Each dashboard metric names its source measure and filter set</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Reporting layer</w:t>
            </w:r>
          </w:p>
        </w:tc>
      </w:tr>
      <w:tr>
        <w:tc>
          <w:tcPr>
            <w:tcW w:type="dxa" w:w="964"/>
          </w:tcPr>
          <w:p>
            <w:pPr>
              <w:spacing w:after="0" w:line="252" w:lineRule="auto"/>
              <w:jc w:val="left"/>
            </w:pPr>
            <w:r>
              <w:rPr>
                <w:rFonts w:ascii="Calibri" w:hAnsi="Calibri"/>
                <w:color w:val="1A1A1A"/>
                <w:sz w:val="17"/>
              </w:rPr>
              <w:t>FR-X-18</w:t>
            </w:r>
          </w:p>
        </w:tc>
        <w:tc>
          <w:tcPr>
            <w:tcW w:type="dxa" w:w="3345"/>
          </w:tcPr>
          <w:p>
            <w:pPr>
              <w:spacing w:after="0" w:line="252" w:lineRule="auto"/>
              <w:jc w:val="left"/>
            </w:pPr>
            <w:r>
              <w:rPr>
                <w:rFonts w:ascii="Calibri" w:hAnsi="Calibri"/>
                <w:color w:val="1A1A1A"/>
                <w:sz w:val="17"/>
              </w:rPr>
              <w:t>Import and export core entities as CSV, with mapping, validation and Excel-safe output</w:t>
            </w:r>
          </w:p>
        </w:tc>
        <w:tc>
          <w:tcPr>
            <w:tcW w:type="dxa" w:w="3061"/>
          </w:tcPr>
          <w:p>
            <w:pPr>
              <w:spacing w:after="0" w:line="252" w:lineRule="auto"/>
              <w:jc w:val="left"/>
            </w:pPr>
            <w:r>
              <w:rPr>
                <w:rFonts w:ascii="Calibri" w:hAnsi="Calibri"/>
                <w:color w:val="1A1A1A"/>
                <w:sz w:val="17"/>
              </w:rPr>
              <w:t>Import validates with Zod and rejects bad values; export honours filters and force-quotes phone columns</w:t>
            </w:r>
          </w:p>
        </w:tc>
        <w:tc>
          <w:tcPr>
            <w:tcW w:type="dxa" w:w="1020"/>
          </w:tcPr>
          <w:p>
            <w:pPr>
              <w:spacing w:after="0" w:line="252" w:lineRule="auto"/>
              <w:jc w:val="left"/>
            </w:pPr>
            <w:r>
              <w:rPr>
                <w:rFonts w:ascii="Calibri" w:hAnsi="Calibri"/>
                <w:b/>
                <w:color w:val="1E6B33"/>
                <w:sz w:val="17"/>
              </w:rPr>
              <w:t>EXISTS</w:t>
            </w:r>
          </w:p>
        </w:tc>
        <w:tc>
          <w:tcPr>
            <w:tcW w:type="dxa" w:w="1928"/>
          </w:tcPr>
          <w:p>
            <w:pPr>
              <w:spacing w:after="0" w:line="252" w:lineRule="auto"/>
              <w:jc w:val="left"/>
            </w:pPr>
            <w:r>
              <w:rPr>
                <w:rFonts w:ascii="Calibri" w:hAnsi="Calibri"/>
                <w:color w:val="1F4E79"/>
                <w:sz w:val="17"/>
                <w:u w:val="single"/>
              </w:rPr>
              <w:t>ImportWizard.tsx</w:t>
            </w:r>
          </w:p>
        </w:tc>
      </w:tr>
    </w:tbl>
    <w:p>
      <w:pPr>
        <w:spacing w:after="80"/>
      </w:pPr>
    </w:p>
    <w:p>
      <w:pPr>
        <w:pStyle w:val="Heading2"/>
      </w:pPr>
      <w:r>
        <w:t>Integration boundaries</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064"/>
        <w:gridCol w:w="2064"/>
        <w:gridCol w:w="2064"/>
        <w:gridCol w:w="2064"/>
        <w:gridCol w:w="2064"/>
      </w:tblGrid>
      <w:tr>
        <w:trPr>
          <w:tblHeader w:val="true"/>
        </w:trPr>
        <w:tc>
          <w:tcPr>
            <w:tcW w:type="dxa" w:w="964"/>
            <w:shd w:val="clear" w:color="auto" w:fill="E8EDF2"/>
          </w:tcPr>
          <w:p>
            <w:pPr>
              <w:spacing w:after="0"/>
              <w:jc w:val="left"/>
            </w:pPr>
            <w:r>
              <w:rPr>
                <w:rFonts w:ascii="Calibri" w:hAnsi="Calibri"/>
                <w:b/>
                <w:color w:val="1A1A1A"/>
                <w:sz w:val="17"/>
              </w:rPr>
              <w:t>ID</w:t>
            </w:r>
          </w:p>
        </w:tc>
        <w:tc>
          <w:tcPr>
            <w:tcW w:type="dxa" w:w="3345"/>
            <w:shd w:val="clear" w:color="auto" w:fill="E8EDF2"/>
          </w:tcPr>
          <w:p>
            <w:pPr>
              <w:spacing w:after="0"/>
              <w:jc w:val="left"/>
            </w:pPr>
            <w:r>
              <w:rPr>
                <w:rFonts w:ascii="Calibri" w:hAnsi="Calibri"/>
                <w:b/>
                <w:color w:val="1A1A1A"/>
                <w:sz w:val="17"/>
              </w:rPr>
              <w:t>Requirement</w:t>
            </w:r>
          </w:p>
        </w:tc>
        <w:tc>
          <w:tcPr>
            <w:tcW w:type="dxa" w:w="3061"/>
            <w:shd w:val="clear" w:color="auto" w:fill="E8EDF2"/>
          </w:tcPr>
          <w:p>
            <w:pPr>
              <w:spacing w:after="0"/>
              <w:jc w:val="left"/>
            </w:pPr>
            <w:r>
              <w:rPr>
                <w:rFonts w:ascii="Calibri" w:hAnsi="Calibri"/>
                <w:b/>
                <w:color w:val="1A1A1A"/>
                <w:sz w:val="17"/>
              </w:rPr>
              <w:t>Acceptance</w:t>
            </w:r>
          </w:p>
        </w:tc>
        <w:tc>
          <w:tcPr>
            <w:tcW w:type="dxa" w:w="1020"/>
            <w:shd w:val="clear" w:color="auto" w:fill="E8EDF2"/>
          </w:tcPr>
          <w:p>
            <w:pPr>
              <w:spacing w:after="0"/>
              <w:jc w:val="left"/>
            </w:pPr>
            <w:r>
              <w:rPr>
                <w:rFonts w:ascii="Calibri" w:hAnsi="Calibri"/>
                <w:b/>
                <w:color w:val="1A1A1A"/>
                <w:sz w:val="17"/>
              </w:rPr>
              <w:t>Status</w:t>
            </w:r>
          </w:p>
        </w:tc>
        <w:tc>
          <w:tcPr>
            <w:tcW w:type="dxa" w:w="1928"/>
            <w:shd w:val="clear" w:color="auto" w:fill="E8EDF2"/>
          </w:tcPr>
          <w:p>
            <w:pPr>
              <w:spacing w:after="0"/>
              <w:jc w:val="left"/>
            </w:pPr>
            <w:r>
              <w:rPr>
                <w:rFonts w:ascii="Calibri" w:hAnsi="Calibri"/>
                <w:b/>
                <w:color w:val="1A1A1A"/>
                <w:sz w:val="17"/>
              </w:rPr>
              <w:t>Lands in</w:t>
            </w:r>
          </w:p>
        </w:tc>
      </w:tr>
      <w:tr>
        <w:tc>
          <w:tcPr>
            <w:tcW w:type="dxa" w:w="964"/>
          </w:tcPr>
          <w:p>
            <w:pPr>
              <w:spacing w:after="0" w:line="252" w:lineRule="auto"/>
              <w:jc w:val="left"/>
            </w:pPr>
            <w:r>
              <w:rPr>
                <w:rFonts w:ascii="Calibri" w:hAnsi="Calibri"/>
                <w:color w:val="1A1A1A"/>
                <w:sz w:val="17"/>
              </w:rPr>
              <w:t>FR-X-19</w:t>
            </w:r>
          </w:p>
        </w:tc>
        <w:tc>
          <w:tcPr>
            <w:tcW w:type="dxa" w:w="3345"/>
          </w:tcPr>
          <w:p>
            <w:pPr>
              <w:spacing w:after="0" w:line="252" w:lineRule="auto"/>
              <w:jc w:val="left"/>
            </w:pPr>
            <w:r>
              <w:rPr>
                <w:rFonts w:ascii="Calibri" w:hAnsi="Calibri"/>
                <w:color w:val="1A1A1A"/>
                <w:sz w:val="17"/>
              </w:rPr>
              <w:t>Define an integration boundary for a workforce platform supplying availability, skills, certifications and delivered effort</w:t>
            </w:r>
          </w:p>
        </w:tc>
        <w:tc>
          <w:tcPr>
            <w:tcW w:type="dxa" w:w="3061"/>
          </w:tcPr>
          <w:p>
            <w:pPr>
              <w:spacing w:after="0" w:line="252" w:lineRule="auto"/>
              <w:jc w:val="left"/>
            </w:pPr>
            <w:r>
              <w:rPr>
                <w:rFonts w:ascii="Calibri" w:hAnsi="Calibri"/>
                <w:color w:val="1A1A1A"/>
                <w:sz w:val="17"/>
              </w:rPr>
              <w:t>The contract is specified even before a provider exists, so Pillar 4 can be built against it</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Feasibility + calibration</w:t>
            </w:r>
          </w:p>
        </w:tc>
      </w:tr>
      <w:tr>
        <w:tc>
          <w:tcPr>
            <w:tcW w:type="dxa" w:w="964"/>
            <w:shd w:val="clear" w:color="auto" w:fill="FAFBFC"/>
          </w:tcPr>
          <w:p>
            <w:pPr>
              <w:spacing w:after="0" w:line="252" w:lineRule="auto"/>
              <w:jc w:val="left"/>
            </w:pPr>
            <w:r>
              <w:rPr>
                <w:rFonts w:ascii="Calibri" w:hAnsi="Calibri"/>
                <w:color w:val="1A1A1A"/>
                <w:sz w:val="17"/>
              </w:rPr>
              <w:t>FR-X-20</w:t>
            </w:r>
          </w:p>
        </w:tc>
        <w:tc>
          <w:tcPr>
            <w:tcW w:type="dxa" w:w="3345"/>
            <w:shd w:val="clear" w:color="auto" w:fill="FAFBFC"/>
          </w:tcPr>
          <w:p>
            <w:pPr>
              <w:spacing w:after="0" w:line="252" w:lineRule="auto"/>
              <w:jc w:val="left"/>
            </w:pPr>
            <w:r>
              <w:rPr>
                <w:rFonts w:ascii="Calibri" w:hAnsi="Calibri"/>
                <w:color w:val="1A1A1A"/>
                <w:sz w:val="17"/>
              </w:rPr>
              <w:t>Define an integration boundary for finance and accounting supplying vendor cost and consuming invoices</w:t>
            </w:r>
          </w:p>
        </w:tc>
        <w:tc>
          <w:tcPr>
            <w:tcW w:type="dxa" w:w="3061"/>
            <w:shd w:val="clear" w:color="auto" w:fill="FAFBFC"/>
          </w:tcPr>
          <w:p>
            <w:pPr>
              <w:spacing w:after="0" w:line="252" w:lineRule="auto"/>
              <w:jc w:val="left"/>
            </w:pPr>
            <w:r>
              <w:rPr>
                <w:rFonts w:ascii="Calibri" w:hAnsi="Calibri"/>
                <w:color w:val="1A1A1A"/>
                <w:sz w:val="17"/>
              </w:rPr>
              <w:t>Invoices and receipts can be exported or synced</w:t>
            </w:r>
          </w:p>
        </w:tc>
        <w:tc>
          <w:tcPr>
            <w:tcW w:type="dxa" w:w="1020"/>
            <w:shd w:val="clear" w:color="auto" w:fill="FAFBFC"/>
          </w:tcPr>
          <w:p>
            <w:pPr>
              <w:spacing w:after="0" w:line="252" w:lineRule="auto"/>
              <w:jc w:val="left"/>
            </w:pPr>
            <w:r>
              <w:rPr>
                <w:rFonts w:ascii="Calibri" w:hAnsi="Calibri"/>
                <w:b/>
                <w:color w:val="1F4E79"/>
                <w:sz w:val="17"/>
              </w:rPr>
              <w:t>NEW</w:t>
            </w:r>
          </w:p>
        </w:tc>
        <w:tc>
          <w:tcPr>
            <w:tcW w:type="dxa" w:w="1928"/>
            <w:shd w:val="clear" w:color="auto" w:fill="FAFBFC"/>
          </w:tcPr>
          <w:p>
            <w:pPr>
              <w:spacing w:after="0" w:line="252" w:lineRule="auto"/>
              <w:jc w:val="left"/>
            </w:pPr>
            <w:r>
              <w:rPr>
                <w:rFonts w:ascii="Calibri" w:hAnsi="Calibri"/>
                <w:color w:val="1A1A1A"/>
                <w:sz w:val="17"/>
              </w:rPr>
              <w:t>Pillar 7</w:t>
            </w:r>
          </w:p>
        </w:tc>
      </w:tr>
      <w:tr>
        <w:tc>
          <w:tcPr>
            <w:tcW w:type="dxa" w:w="964"/>
          </w:tcPr>
          <w:p>
            <w:pPr>
              <w:spacing w:after="0" w:line="252" w:lineRule="auto"/>
              <w:jc w:val="left"/>
            </w:pPr>
            <w:r>
              <w:rPr>
                <w:rFonts w:ascii="Calibri" w:hAnsi="Calibri"/>
                <w:color w:val="1A1A1A"/>
                <w:sz w:val="17"/>
              </w:rPr>
              <w:t>FR-X-21</w:t>
            </w:r>
          </w:p>
        </w:tc>
        <w:tc>
          <w:tcPr>
            <w:tcW w:type="dxa" w:w="3345"/>
          </w:tcPr>
          <w:p>
            <w:pPr>
              <w:spacing w:after="0" w:line="252" w:lineRule="auto"/>
              <w:jc w:val="left"/>
            </w:pPr>
            <w:r>
              <w:rPr>
                <w:rFonts w:ascii="Calibri" w:hAnsi="Calibri"/>
                <w:color w:val="1A1A1A"/>
                <w:sz w:val="17"/>
              </w:rPr>
              <w:t>Define an integration boundary for electronic signature</w:t>
            </w:r>
          </w:p>
        </w:tc>
        <w:tc>
          <w:tcPr>
            <w:tcW w:type="dxa" w:w="3061"/>
          </w:tcPr>
          <w:p>
            <w:pPr>
              <w:spacing w:after="0" w:line="252" w:lineRule="auto"/>
              <w:jc w:val="left"/>
            </w:pPr>
            <w:r>
              <w:rPr>
                <w:rFonts w:ascii="Calibri" w:hAnsi="Calibri"/>
                <w:color w:val="1A1A1A"/>
                <w:sz w:val="17"/>
              </w:rPr>
              <w:t>A contract document can be sent for signature and its returned status recorded</w:t>
            </w:r>
          </w:p>
        </w:tc>
        <w:tc>
          <w:tcPr>
            <w:tcW w:type="dxa" w:w="1020"/>
          </w:tcPr>
          <w:p>
            <w:pPr>
              <w:spacing w:after="0" w:line="252" w:lineRule="auto"/>
              <w:jc w:val="left"/>
            </w:pPr>
            <w:r>
              <w:rPr>
                <w:rFonts w:ascii="Calibri" w:hAnsi="Calibri"/>
                <w:b/>
                <w:color w:val="1F4E79"/>
                <w:sz w:val="17"/>
              </w:rPr>
              <w:t>NEW</w:t>
            </w:r>
          </w:p>
        </w:tc>
        <w:tc>
          <w:tcPr>
            <w:tcW w:type="dxa" w:w="1928"/>
          </w:tcPr>
          <w:p>
            <w:pPr>
              <w:spacing w:after="0" w:line="252" w:lineRule="auto"/>
              <w:jc w:val="left"/>
            </w:pPr>
            <w:r>
              <w:rPr>
                <w:rFonts w:ascii="Calibri" w:hAnsi="Calibri"/>
                <w:color w:val="1A1A1A"/>
                <w:sz w:val="17"/>
              </w:rPr>
              <w:t>Pillar 5</w:t>
            </w:r>
          </w:p>
        </w:tc>
      </w:tr>
      <w:tr>
        <w:tc>
          <w:tcPr>
            <w:tcW w:type="dxa" w:w="964"/>
            <w:shd w:val="clear" w:color="auto" w:fill="FAFBFC"/>
          </w:tcPr>
          <w:p>
            <w:pPr>
              <w:spacing w:after="0" w:line="252" w:lineRule="auto"/>
              <w:jc w:val="left"/>
            </w:pPr>
            <w:r>
              <w:rPr>
                <w:rFonts w:ascii="Calibri" w:hAnsi="Calibri"/>
                <w:color w:val="1A1A1A"/>
                <w:sz w:val="17"/>
              </w:rPr>
              <w:t>FR-X-22</w:t>
            </w:r>
          </w:p>
        </w:tc>
        <w:tc>
          <w:tcPr>
            <w:tcW w:type="dxa" w:w="3345"/>
            <w:shd w:val="clear" w:color="auto" w:fill="FAFBFC"/>
          </w:tcPr>
          <w:p>
            <w:pPr>
              <w:spacing w:after="0" w:line="252" w:lineRule="auto"/>
              <w:jc w:val="left"/>
            </w:pPr>
            <w:r>
              <w:rPr>
                <w:rFonts w:ascii="Calibri" w:hAnsi="Calibri"/>
                <w:color w:val="1A1A1A"/>
                <w:sz w:val="17"/>
              </w:rPr>
              <w:t>Define an integration boundary for calendar</w:t>
            </w:r>
          </w:p>
        </w:tc>
        <w:tc>
          <w:tcPr>
            <w:tcW w:type="dxa" w:w="3061"/>
            <w:shd w:val="clear" w:color="auto" w:fill="FAFBFC"/>
          </w:tcPr>
          <w:p>
            <w:pPr>
              <w:spacing w:after="0" w:line="252" w:lineRule="auto"/>
              <w:jc w:val="left"/>
            </w:pPr>
            <w:r>
              <w:rPr>
                <w:rFonts w:ascii="Calibri" w:hAnsi="Calibri"/>
                <w:color w:val="1A1A1A"/>
                <w:sz w:val="17"/>
              </w:rPr>
              <w:t>Kickoff and audit windows create real calendar events</w:t>
            </w:r>
          </w:p>
        </w:tc>
        <w:tc>
          <w:tcPr>
            <w:tcW w:type="dxa" w:w="1020"/>
            <w:shd w:val="clear" w:color="auto" w:fill="FAFBFC"/>
          </w:tcPr>
          <w:p>
            <w:pPr>
              <w:spacing w:after="0" w:line="252" w:lineRule="auto"/>
              <w:jc w:val="left"/>
            </w:pPr>
            <w:r>
              <w:rPr>
                <w:rFonts w:ascii="Calibri" w:hAnsi="Calibri"/>
                <w:b/>
                <w:color w:val="1F4E79"/>
                <w:sz w:val="17"/>
              </w:rPr>
              <w:t>NEW</w:t>
            </w:r>
            <w:r>
              <w:rPr>
                <w:rFonts w:ascii="Calibri" w:hAnsi="Calibri"/>
                <w:color w:val="1F4E79"/>
                <w:sz w:val="17"/>
              </w:rPr>
              <w:t xml:space="preserve"> — kickoff is currently a timestamp plus a free-text link</w:t>
            </w:r>
          </w:p>
        </w:tc>
        <w:tc>
          <w:tcPr>
            <w:tcW w:type="dxa" w:w="1928"/>
            <w:shd w:val="clear" w:color="auto" w:fill="FAFBFC"/>
          </w:tcPr>
          <w:p>
            <w:pPr>
              <w:spacing w:after="0" w:line="252" w:lineRule="auto"/>
              <w:jc w:val="left"/>
            </w:pPr>
            <w:r>
              <w:rPr>
                <w:rFonts w:ascii="Calibri" w:hAnsi="Calibri"/>
                <w:color w:val="1A1A1A"/>
                <w:sz w:val="17"/>
              </w:rPr>
              <w:t>Pillar 5, Pillar 6</w:t>
            </w:r>
          </w:p>
        </w:tc>
      </w:tr>
      <w:tr>
        <w:tc>
          <w:tcPr>
            <w:tcW w:type="dxa" w:w="964"/>
          </w:tcPr>
          <w:p>
            <w:pPr>
              <w:spacing w:after="0" w:line="252" w:lineRule="auto"/>
              <w:jc w:val="left"/>
            </w:pPr>
            <w:r>
              <w:rPr>
                <w:rFonts w:ascii="Calibri" w:hAnsi="Calibri"/>
                <w:color w:val="1A1A1A"/>
                <w:sz w:val="17"/>
              </w:rPr>
              <w:t>FR-X-23</w:t>
            </w:r>
          </w:p>
        </w:tc>
        <w:tc>
          <w:tcPr>
            <w:tcW w:type="dxa" w:w="3345"/>
          </w:tcPr>
          <w:p>
            <w:pPr>
              <w:spacing w:after="0" w:line="252" w:lineRule="auto"/>
              <w:jc w:val="left"/>
            </w:pPr>
            <w:r>
              <w:rPr>
                <w:rFonts w:ascii="Calibri" w:hAnsi="Calibri"/>
                <w:color w:val="1A1A1A"/>
                <w:sz w:val="17"/>
              </w:rPr>
              <w:t>Maintain chat integrations for logging and retrieval from outside the browser</w:t>
            </w:r>
          </w:p>
        </w:tc>
        <w:tc>
          <w:tcPr>
            <w:tcW w:type="dxa" w:w="3061"/>
          </w:tcPr>
          <w:p>
            <w:pPr>
              <w:spacing w:after="0" w:line="252" w:lineRule="auto"/>
              <w:jc w:val="left"/>
            </w:pPr>
            <w:r>
              <w:rPr>
                <w:rFonts w:ascii="Calibri" w:hAnsi="Calibri"/>
                <w:color w:val="1A1A1A"/>
                <w:sz w:val="17"/>
              </w:rPr>
              <w:t>Telegram, WhatsApp and Teams share one transport-agnostic command layer</w:t>
            </w:r>
          </w:p>
        </w:tc>
        <w:tc>
          <w:tcPr>
            <w:tcW w:type="dxa" w:w="1020"/>
          </w:tcPr>
          <w:p>
            <w:pPr>
              <w:spacing w:after="0" w:line="252" w:lineRule="auto"/>
              <w:jc w:val="left"/>
            </w:pPr>
            <w:r>
              <w:rPr>
                <w:rFonts w:ascii="Calibri" w:hAnsi="Calibri"/>
                <w:b/>
                <w:color w:val="1E6B33"/>
                <w:sz w:val="17"/>
              </w:rPr>
              <w:t>EXISTS</w:t>
            </w:r>
          </w:p>
        </w:tc>
        <w:tc>
          <w:tcPr>
            <w:tcW w:type="dxa" w:w="1928"/>
          </w:tcPr>
          <w:p>
            <w:pPr>
              <w:spacing w:after="0" w:line="252" w:lineRule="auto"/>
              <w:jc w:val="left"/>
            </w:pPr>
            <w:r>
              <w:rPr>
                <w:rFonts w:ascii="Calibri" w:hAnsi="Calibri"/>
                <w:color w:val="1F4E79"/>
                <w:sz w:val="17"/>
                <w:u w:val="single"/>
              </w:rPr>
              <w:t>bot-commands.service.ts</w:t>
            </w:r>
          </w:p>
        </w:tc>
      </w:tr>
      <w:tr>
        <w:tc>
          <w:tcPr>
            <w:tcW w:type="dxa" w:w="964"/>
            <w:shd w:val="clear" w:color="auto" w:fill="FAFBFC"/>
          </w:tcPr>
          <w:p>
            <w:pPr>
              <w:spacing w:after="0" w:line="252" w:lineRule="auto"/>
              <w:jc w:val="left"/>
            </w:pPr>
            <w:r>
              <w:rPr>
                <w:rFonts w:ascii="Calibri" w:hAnsi="Calibri"/>
                <w:color w:val="1A1A1A"/>
                <w:sz w:val="17"/>
              </w:rPr>
              <w:t>FR-X-24</w:t>
            </w:r>
          </w:p>
        </w:tc>
        <w:tc>
          <w:tcPr>
            <w:tcW w:type="dxa" w:w="3345"/>
            <w:shd w:val="clear" w:color="auto" w:fill="FAFBFC"/>
          </w:tcPr>
          <w:p>
            <w:pPr>
              <w:spacing w:after="0" w:line="252" w:lineRule="auto"/>
              <w:jc w:val="left"/>
            </w:pPr>
            <w:r>
              <w:rPr>
                <w:rFonts w:ascii="Calibri" w:hAnsi="Calibri"/>
                <w:color w:val="1A1A1A"/>
                <w:sz w:val="17"/>
              </w:rPr>
              <w:t>Deliver transactional and scheduled email with provider failover</w:t>
            </w:r>
          </w:p>
        </w:tc>
        <w:tc>
          <w:tcPr>
            <w:tcW w:type="dxa" w:w="3061"/>
            <w:shd w:val="clear" w:color="auto" w:fill="FAFBFC"/>
          </w:tcPr>
          <w:p>
            <w:pPr>
              <w:spacing w:after="0" w:line="252" w:lineRule="auto"/>
              <w:jc w:val="left"/>
            </w:pPr>
            <w:r>
              <w:rPr>
                <w:rFonts w:ascii="Calibri" w:hAnsi="Calibri"/>
                <w:color w:val="1A1A1A"/>
                <w:sz w:val="17"/>
              </w:rPr>
              <w:t>Resend primary, SMTP fallback, one retry, no retry on rate limit</w:t>
            </w:r>
          </w:p>
        </w:tc>
        <w:tc>
          <w:tcPr>
            <w:tcW w:type="dxa" w:w="1020"/>
            <w:shd w:val="clear" w:color="auto" w:fill="FAFBFC"/>
          </w:tcPr>
          <w:p>
            <w:pPr>
              <w:spacing w:after="0" w:line="252" w:lineRule="auto"/>
              <w:jc w:val="left"/>
            </w:pPr>
            <w:r>
              <w:rPr>
                <w:rFonts w:ascii="Calibri" w:hAnsi="Calibri"/>
                <w:b/>
                <w:color w:val="1E6B33"/>
                <w:sz w:val="17"/>
              </w:rPr>
              <w:t>EXISTS</w:t>
            </w:r>
          </w:p>
        </w:tc>
        <w:tc>
          <w:tcPr>
            <w:tcW w:type="dxa" w:w="1928"/>
            <w:shd w:val="clear" w:color="auto" w:fill="FAFBFC"/>
          </w:tcPr>
          <w:p>
            <w:pPr>
              <w:spacing w:after="0" w:line="252" w:lineRule="auto"/>
              <w:jc w:val="left"/>
            </w:pPr>
            <w:r>
              <w:rPr>
                <w:rFonts w:ascii="Calibri" w:hAnsi="Calibri"/>
                <w:color w:val="1F4E79"/>
                <w:sz w:val="17"/>
                <w:u w:val="single"/>
              </w:rPr>
              <w:t>mailer.ts</w:t>
            </w:r>
          </w:p>
        </w:tc>
      </w:tr>
    </w:tbl>
    <w:p>
      <w:pPr>
        <w:spacing w:after="80"/>
      </w:pPr>
    </w:p>
    <w:p>
      <w:r>
        <w:br w:type="page"/>
      </w:r>
    </w:p>
    <w:p>
      <w:pPr>
        <w:pStyle w:val="Heading1"/>
      </w:pPr>
      <w:r>
        <w:t>Section D — Non-functional requirements</w:t>
      </w:r>
    </w:p>
    <w:p>
      <w:pPr>
        <w:pStyle w:val="Heading2"/>
      </w:pPr>
      <w:r>
        <w:t>Security &amp; access control</w:t>
      </w:r>
    </w:p>
    <w:p>
      <w:r>
        <w:rPr>
          <w:rFonts w:ascii="Calibri" w:hAnsi="Calibri"/>
          <w:color w:val="1A1A1A"/>
        </w:rPr>
        <w:t>The absorb decision moves cost and margin data inside the same database, the same API and the same AI assistant that Analysts already query. These requirements are what pay for that decision. They are not optional hardening.</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439"/>
        <w:gridCol w:w="3439"/>
        <w:gridCol w:w="3439"/>
      </w:tblGrid>
      <w:tr>
        <w:trPr>
          <w:tblHeader w:val="true"/>
        </w:trPr>
        <w:tc>
          <w:tcPr>
            <w:tcW w:type="dxa" w:w="1361"/>
            <w:shd w:val="clear" w:color="auto" w:fill="E8EDF2"/>
          </w:tcPr>
          <w:p>
            <w:pPr>
              <w:spacing w:after="0"/>
              <w:jc w:val="left"/>
            </w:pPr>
            <w:r>
              <w:rPr>
                <w:rFonts w:ascii="Calibri" w:hAnsi="Calibri"/>
                <w:b/>
                <w:color w:val="1A1A1A"/>
                <w:sz w:val="18"/>
              </w:rPr>
              <w:t>ID</w:t>
            </w:r>
          </w:p>
        </w:tc>
        <w:tc>
          <w:tcPr>
            <w:tcW w:type="dxa" w:w="4535"/>
            <w:shd w:val="clear" w:color="auto" w:fill="E8EDF2"/>
          </w:tcPr>
          <w:p>
            <w:pPr>
              <w:spacing w:after="0"/>
              <w:jc w:val="left"/>
            </w:pPr>
            <w:r>
              <w:rPr>
                <w:rFonts w:ascii="Calibri" w:hAnsi="Calibri"/>
                <w:b/>
                <w:color w:val="1A1A1A"/>
                <w:sz w:val="18"/>
              </w:rPr>
              <w:t>Requirement</w:t>
            </w:r>
          </w:p>
        </w:tc>
        <w:tc>
          <w:tcPr>
            <w:tcW w:type="dxa" w:w="4422"/>
            <w:shd w:val="clear" w:color="auto" w:fill="E8EDF2"/>
          </w:tcPr>
          <w:p>
            <w:pPr>
              <w:spacing w:after="0"/>
              <w:jc w:val="left"/>
            </w:pPr>
            <w:r>
              <w:rPr>
                <w:rFonts w:ascii="Calibri" w:hAnsi="Calibri"/>
                <w:b/>
                <w:color w:val="1A1A1A"/>
                <w:sz w:val="18"/>
              </w:rPr>
              <w:t>Measure</w:t>
            </w:r>
          </w:p>
        </w:tc>
      </w:tr>
      <w:tr>
        <w:tc>
          <w:tcPr>
            <w:tcW w:type="dxa" w:w="1361"/>
          </w:tcPr>
          <w:p>
            <w:pPr>
              <w:spacing w:after="0" w:line="252" w:lineRule="auto"/>
              <w:jc w:val="left"/>
            </w:pPr>
            <w:r>
              <w:rPr>
                <w:rFonts w:ascii="Calibri" w:hAnsi="Calibri"/>
                <w:color w:val="1A1A1A"/>
                <w:sz w:val="18"/>
              </w:rPr>
              <w:t>NFR-SEC-01</w:t>
            </w:r>
          </w:p>
        </w:tc>
        <w:tc>
          <w:tcPr>
            <w:tcW w:type="dxa" w:w="4535"/>
          </w:tcPr>
          <w:p>
            <w:pPr>
              <w:spacing w:after="0" w:line="252" w:lineRule="auto"/>
              <w:jc w:val="left"/>
            </w:pPr>
            <w:r>
              <w:rPr>
                <w:rFonts w:ascii="Calibri" w:hAnsi="Calibri"/>
                <w:color w:val="1A1A1A"/>
                <w:sz w:val="18"/>
              </w:rPr>
              <w:t>All traffic over TLS; no credential, token or cost figure in a URL or a log line</w:t>
            </w:r>
          </w:p>
        </w:tc>
        <w:tc>
          <w:tcPr>
            <w:tcW w:type="dxa" w:w="4422"/>
          </w:tcPr>
          <w:p>
            <w:pPr>
              <w:spacing w:after="0" w:line="252" w:lineRule="auto"/>
              <w:jc w:val="left"/>
            </w:pPr>
            <w:r>
              <w:rPr>
                <w:rFonts w:ascii="Calibri" w:hAnsi="Calibri"/>
                <w:color w:val="1A1A1A"/>
                <w:sz w:val="18"/>
              </w:rPr>
              <w:t>Verified by log inspection and header audit</w:t>
            </w:r>
          </w:p>
        </w:tc>
      </w:tr>
      <w:tr>
        <w:tc>
          <w:tcPr>
            <w:tcW w:type="dxa" w:w="1361"/>
            <w:shd w:val="clear" w:color="auto" w:fill="FAFBFC"/>
          </w:tcPr>
          <w:p>
            <w:pPr>
              <w:spacing w:after="0" w:line="252" w:lineRule="auto"/>
              <w:jc w:val="left"/>
            </w:pPr>
            <w:r>
              <w:rPr>
                <w:rFonts w:ascii="Calibri" w:hAnsi="Calibri"/>
                <w:color w:val="1A1A1A"/>
                <w:sz w:val="18"/>
              </w:rPr>
              <w:t>NFR-SEC-02</w:t>
            </w:r>
          </w:p>
        </w:tc>
        <w:tc>
          <w:tcPr>
            <w:tcW w:type="dxa" w:w="4535"/>
            <w:shd w:val="clear" w:color="auto" w:fill="FAFBFC"/>
          </w:tcPr>
          <w:p>
            <w:pPr>
              <w:spacing w:after="0" w:line="252" w:lineRule="auto"/>
              <w:jc w:val="left"/>
            </w:pPr>
            <w:r>
              <w:rPr>
                <w:rFonts w:ascii="Calibri" w:hAnsi="Calibri"/>
                <w:color w:val="1A1A1A"/>
                <w:sz w:val="18"/>
              </w:rPr>
              <w:t>Passwords hashed with bcrypt at the configured cost factor; API tokens stored as SHA-256 with plaintext shown once</w:t>
            </w:r>
          </w:p>
        </w:tc>
        <w:tc>
          <w:tcPr>
            <w:tcW w:type="dxa" w:w="4422"/>
            <w:shd w:val="clear" w:color="auto" w:fill="FAFBFC"/>
          </w:tcPr>
          <w:p>
            <w:pPr>
              <w:spacing w:after="0" w:line="252" w:lineRule="auto"/>
              <w:jc w:val="left"/>
            </w:pPr>
            <w:r>
              <w:rPr>
                <w:rFonts w:ascii="Calibri" w:hAnsi="Calibri"/>
                <w:color w:val="1A1A1A"/>
                <w:sz w:val="18"/>
              </w:rPr>
              <w:t xml:space="preserve">Verified in </w:t>
            </w:r>
            <w:r>
              <w:rPr>
                <w:rFonts w:ascii="Calibri" w:hAnsi="Calibri"/>
                <w:color w:val="1F4E79"/>
                <w:sz w:val="18"/>
                <w:u w:val="single"/>
              </w:rPr>
              <w:t>api-token.service.ts</w:t>
            </w:r>
            <w:r>
              <w:rPr>
                <w:rFonts w:ascii="Calibri" w:hAnsi="Calibri"/>
                <w:color w:val="1A1A1A"/>
                <w:sz w:val="18"/>
              </w:rPr>
              <w:t xml:space="preserve"> and the auth layer</w:t>
            </w:r>
          </w:p>
        </w:tc>
      </w:tr>
      <w:tr>
        <w:tc>
          <w:tcPr>
            <w:tcW w:type="dxa" w:w="1361"/>
          </w:tcPr>
          <w:p>
            <w:pPr>
              <w:spacing w:after="0" w:line="252" w:lineRule="auto"/>
              <w:jc w:val="left"/>
            </w:pPr>
            <w:r>
              <w:rPr>
                <w:rFonts w:ascii="Calibri" w:hAnsi="Calibri"/>
                <w:color w:val="1A1A1A"/>
                <w:sz w:val="18"/>
              </w:rPr>
              <w:t>NFR-SEC-03</w:t>
            </w:r>
          </w:p>
        </w:tc>
        <w:tc>
          <w:tcPr>
            <w:tcW w:type="dxa" w:w="4535"/>
          </w:tcPr>
          <w:p>
            <w:pPr>
              <w:spacing w:after="0" w:line="252" w:lineRule="auto"/>
              <w:jc w:val="left"/>
            </w:pPr>
            <w:r>
              <w:rPr>
                <w:rFonts w:ascii="Calibri" w:hAnsi="Calibri"/>
                <w:color w:val="1A1A1A"/>
                <w:sz w:val="18"/>
              </w:rPr>
              <w:t>Authorization enforced server-side in the API layer, never by hiding UI</w:t>
            </w:r>
          </w:p>
        </w:tc>
        <w:tc>
          <w:tcPr>
            <w:tcW w:type="dxa" w:w="4422"/>
          </w:tcPr>
          <w:p>
            <w:pPr>
              <w:spacing w:after="0" w:line="252" w:lineRule="auto"/>
              <w:jc w:val="left"/>
            </w:pPr>
            <w:r>
              <w:rPr>
                <w:rFonts w:ascii="Calibri" w:hAnsi="Calibri"/>
                <w:color w:val="1A1A1A"/>
                <w:sz w:val="18"/>
              </w:rPr>
              <w:t>Every restricted procedure rejects an unauthorized caller even when invoked directly</w:t>
            </w:r>
          </w:p>
        </w:tc>
      </w:tr>
      <w:tr>
        <w:tc>
          <w:tcPr>
            <w:tcW w:type="dxa" w:w="1361"/>
            <w:shd w:val="clear" w:color="auto" w:fill="FAFBFC"/>
          </w:tcPr>
          <w:p>
            <w:pPr>
              <w:spacing w:after="0" w:line="252" w:lineRule="auto"/>
              <w:jc w:val="left"/>
            </w:pPr>
            <w:r>
              <w:rPr>
                <w:rFonts w:ascii="Calibri" w:hAnsi="Calibri"/>
                <w:color w:val="1A1A1A"/>
                <w:sz w:val="18"/>
              </w:rPr>
              <w:t>NFR-SEC-04</w:t>
            </w:r>
          </w:p>
        </w:tc>
        <w:tc>
          <w:tcPr>
            <w:tcW w:type="dxa" w:w="4535"/>
            <w:shd w:val="clear" w:color="auto" w:fill="FAFBFC"/>
          </w:tcPr>
          <w:p>
            <w:pPr>
              <w:spacing w:after="0" w:line="252" w:lineRule="auto"/>
              <w:jc w:val="left"/>
            </w:pPr>
            <w:r>
              <w:rPr>
                <w:rFonts w:ascii="Calibri" w:hAnsi="Calibri"/>
                <w:b/>
                <w:color w:val="1A1A1A"/>
                <w:sz w:val="18"/>
              </w:rPr>
              <w:t>Cost rates, delivery cost, margin and collections data are readable only by the cost entitlement</w:t>
            </w:r>
            <w:r>
              <w:rPr>
                <w:rFonts w:ascii="Calibri" w:hAnsi="Calibri"/>
                <w:color w:val="1A1A1A"/>
                <w:sz w:val="18"/>
              </w:rPr>
              <w:t>, enforced in a single redaction helper applied at the service boundary</w:t>
            </w:r>
          </w:p>
        </w:tc>
        <w:tc>
          <w:tcPr>
            <w:tcW w:type="dxa" w:w="4422"/>
            <w:shd w:val="clear" w:color="auto" w:fill="FAFBFC"/>
          </w:tcPr>
          <w:p>
            <w:pPr>
              <w:spacing w:after="0" w:line="252" w:lineRule="auto"/>
              <w:jc w:val="left"/>
            </w:pPr>
            <w:r>
              <w:rPr>
                <w:rFonts w:ascii="Calibri" w:hAnsi="Calibri"/>
                <w:color w:val="1A1A1A"/>
                <w:sz w:val="18"/>
              </w:rPr>
              <w:t>A non-entitled user receives the redacted shape from every surface: UI, tRPC, REST metrics API, CSV/XLSX/PDF export, scheduled digest, and AI assistant</w:t>
            </w:r>
          </w:p>
        </w:tc>
      </w:tr>
      <w:tr>
        <w:tc>
          <w:tcPr>
            <w:tcW w:type="dxa" w:w="1361"/>
          </w:tcPr>
          <w:p>
            <w:pPr>
              <w:spacing w:after="0" w:line="252" w:lineRule="auto"/>
              <w:jc w:val="left"/>
            </w:pPr>
            <w:r>
              <w:rPr>
                <w:rFonts w:ascii="Calibri" w:hAnsi="Calibri"/>
                <w:color w:val="1A1A1A"/>
                <w:sz w:val="18"/>
              </w:rPr>
              <w:t>NFR-SEC-05</w:t>
            </w:r>
          </w:p>
        </w:tc>
        <w:tc>
          <w:tcPr>
            <w:tcW w:type="dxa" w:w="4535"/>
          </w:tcPr>
          <w:p>
            <w:pPr>
              <w:spacing w:after="0" w:line="252" w:lineRule="auto"/>
              <w:jc w:val="left"/>
            </w:pPr>
            <w:r>
              <w:rPr>
                <w:rFonts w:ascii="Calibri" w:hAnsi="Calibri"/>
                <w:color w:val="1A1A1A"/>
                <w:sz w:val="18"/>
              </w:rPr>
              <w:t>The SQL safety layer must blocklist cost, rate, margin and overhead columns in addition to the existing financial columns</w:t>
            </w:r>
          </w:p>
        </w:tc>
        <w:tc>
          <w:tcPr>
            <w:tcW w:type="dxa" w:w="4422"/>
          </w:tcPr>
          <w:p>
            <w:pPr>
              <w:spacing w:after="0" w:line="252" w:lineRule="auto"/>
              <w:jc w:val="left"/>
            </w:pPr>
            <w:r>
              <w:rPr>
                <w:rFonts w:ascii="Calibri" w:hAnsi="Calibri"/>
                <w:color w:val="1A1A1A"/>
                <w:sz w:val="18"/>
              </w:rPr>
              <w:t xml:space="preserve">A generated query referencing </w:t>
            </w:r>
            <w:r>
              <w:rPr>
                <w:rFonts w:ascii="Consolas" w:hAnsi="Consolas"/>
                <w:color w:val="8B2E2E"/>
                <w:sz w:val="18"/>
              </w:rPr>
              <w:t>role_cost_rates</w:t>
            </w:r>
            <w:r>
              <w:rPr>
                <w:rFonts w:ascii="Calibri" w:hAnsi="Calibri"/>
                <w:color w:val="1A1A1A"/>
                <w:sz w:val="18"/>
              </w:rPr>
              <w:t xml:space="preserve"> or any margin column is rejected before execution, for every role that lacks the entitlement</w:t>
            </w:r>
          </w:p>
        </w:tc>
      </w:tr>
      <w:tr>
        <w:tc>
          <w:tcPr>
            <w:tcW w:type="dxa" w:w="1361"/>
            <w:shd w:val="clear" w:color="auto" w:fill="FAFBFC"/>
          </w:tcPr>
          <w:p>
            <w:pPr>
              <w:spacing w:after="0" w:line="252" w:lineRule="auto"/>
              <w:jc w:val="left"/>
            </w:pPr>
            <w:r>
              <w:rPr>
                <w:rFonts w:ascii="Calibri" w:hAnsi="Calibri"/>
                <w:color w:val="1A1A1A"/>
                <w:sz w:val="18"/>
              </w:rPr>
              <w:t>NFR-SEC-06</w:t>
            </w:r>
          </w:p>
        </w:tc>
        <w:tc>
          <w:tcPr>
            <w:tcW w:type="dxa" w:w="4535"/>
            <w:shd w:val="clear" w:color="auto" w:fill="FAFBFC"/>
          </w:tcPr>
          <w:p>
            <w:pPr>
              <w:spacing w:after="0" w:line="252" w:lineRule="auto"/>
              <w:jc w:val="left"/>
            </w:pPr>
            <w:r>
              <w:rPr>
                <w:rFonts w:ascii="Calibri" w:hAnsi="Calibri"/>
                <w:color w:val="1A1A1A"/>
                <w:sz w:val="18"/>
              </w:rPr>
              <w:t>AI assistant typed tools must never return cost or margin to a non-entitled asker, and must not be able to infer it from a permitted aggregate</w:t>
            </w:r>
          </w:p>
        </w:tc>
        <w:tc>
          <w:tcPr>
            <w:tcW w:type="dxa" w:w="4422"/>
            <w:shd w:val="clear" w:color="auto" w:fill="FAFBFC"/>
          </w:tcPr>
          <w:p>
            <w:pPr>
              <w:spacing w:after="0" w:line="252" w:lineRule="auto"/>
              <w:jc w:val="left"/>
            </w:pPr>
            <w:r>
              <w:rPr>
                <w:rFonts w:ascii="Calibri" w:hAnsi="Calibri"/>
                <w:color w:val="1A1A1A"/>
                <w:sz w:val="18"/>
              </w:rPr>
              <w:t>Reviewed per tool; tested with adversarial prompts</w:t>
            </w:r>
          </w:p>
        </w:tc>
      </w:tr>
      <w:tr>
        <w:tc>
          <w:tcPr>
            <w:tcW w:type="dxa" w:w="1361"/>
          </w:tcPr>
          <w:p>
            <w:pPr>
              <w:spacing w:after="0" w:line="252" w:lineRule="auto"/>
              <w:jc w:val="left"/>
            </w:pPr>
            <w:r>
              <w:rPr>
                <w:rFonts w:ascii="Calibri" w:hAnsi="Calibri"/>
                <w:color w:val="1A1A1A"/>
                <w:sz w:val="18"/>
              </w:rPr>
              <w:t>NFR-SEC-07</w:t>
            </w:r>
          </w:p>
        </w:tc>
        <w:tc>
          <w:tcPr>
            <w:tcW w:type="dxa" w:w="4535"/>
          </w:tcPr>
          <w:p>
            <w:pPr>
              <w:spacing w:after="0" w:line="252" w:lineRule="auto"/>
              <w:jc w:val="left"/>
            </w:pPr>
            <w:r>
              <w:rPr>
                <w:rFonts w:ascii="Calibri" w:hAnsi="Calibri"/>
                <w:color w:val="1A1A1A"/>
                <w:sz w:val="18"/>
              </w:rPr>
              <w:t>Every read of an individual cost rate writes an audit entry naming the actor and the record</w:t>
            </w:r>
          </w:p>
        </w:tc>
        <w:tc>
          <w:tcPr>
            <w:tcW w:type="dxa" w:w="4422"/>
          </w:tcPr>
          <w:p>
            <w:pPr>
              <w:spacing w:after="0" w:line="252" w:lineRule="auto"/>
              <w:jc w:val="left"/>
            </w:pPr>
            <w:r>
              <w:rPr>
                <w:rFonts w:ascii="Calibri" w:hAnsi="Calibri"/>
                <w:color w:val="1A1A1A"/>
                <w:sz w:val="18"/>
              </w:rPr>
              <w:t>Cost rate access is queryable in the audit log</w:t>
            </w:r>
          </w:p>
        </w:tc>
      </w:tr>
      <w:tr>
        <w:tc>
          <w:tcPr>
            <w:tcW w:type="dxa" w:w="1361"/>
            <w:shd w:val="clear" w:color="auto" w:fill="FAFBFC"/>
          </w:tcPr>
          <w:p>
            <w:pPr>
              <w:spacing w:after="0" w:line="252" w:lineRule="auto"/>
              <w:jc w:val="left"/>
            </w:pPr>
            <w:r>
              <w:rPr>
                <w:rFonts w:ascii="Calibri" w:hAnsi="Calibri"/>
                <w:color w:val="1A1A1A"/>
                <w:sz w:val="18"/>
              </w:rPr>
              <w:t>NFR-SEC-08</w:t>
            </w:r>
          </w:p>
        </w:tc>
        <w:tc>
          <w:tcPr>
            <w:tcW w:type="dxa" w:w="4535"/>
            <w:shd w:val="clear" w:color="auto" w:fill="FAFBFC"/>
          </w:tcPr>
          <w:p>
            <w:pPr>
              <w:spacing w:after="0" w:line="252" w:lineRule="auto"/>
              <w:jc w:val="left"/>
            </w:pPr>
            <w:r>
              <w:rPr>
                <w:rFonts w:ascii="Calibri" w:hAnsi="Calibri"/>
                <w:color w:val="1A1A1A"/>
                <w:sz w:val="18"/>
              </w:rPr>
              <w:t>Redaction is default-deny: a newly added field returning money is redacted until explicitly permitted</w:t>
            </w:r>
          </w:p>
        </w:tc>
        <w:tc>
          <w:tcPr>
            <w:tcW w:type="dxa" w:w="4422"/>
            <w:shd w:val="clear" w:color="auto" w:fill="FAFBFC"/>
          </w:tcPr>
          <w:p>
            <w:pPr>
              <w:spacing w:after="0" w:line="252" w:lineRule="auto"/>
              <w:jc w:val="left"/>
            </w:pPr>
            <w:r>
              <w:rPr>
                <w:rFonts w:ascii="Calibri" w:hAnsi="Calibri"/>
                <w:color w:val="1A1A1A"/>
                <w:sz w:val="18"/>
              </w:rPr>
              <w:t>Enforced by the shape of the redaction helper, not by convention</w:t>
            </w:r>
          </w:p>
        </w:tc>
      </w:tr>
      <w:tr>
        <w:tc>
          <w:tcPr>
            <w:tcW w:type="dxa" w:w="1361"/>
          </w:tcPr>
          <w:p>
            <w:pPr>
              <w:spacing w:after="0" w:line="252" w:lineRule="auto"/>
              <w:jc w:val="left"/>
            </w:pPr>
            <w:r>
              <w:rPr>
                <w:rFonts w:ascii="Calibri" w:hAnsi="Calibri"/>
                <w:color w:val="1A1A1A"/>
                <w:sz w:val="18"/>
              </w:rPr>
              <w:t>NFR-SEC-09</w:t>
            </w:r>
          </w:p>
        </w:tc>
        <w:tc>
          <w:tcPr>
            <w:tcW w:type="dxa" w:w="4535"/>
          </w:tcPr>
          <w:p>
            <w:pPr>
              <w:spacing w:after="0" w:line="252" w:lineRule="auto"/>
              <w:jc w:val="left"/>
            </w:pPr>
            <w:r>
              <w:rPr>
                <w:rFonts w:ascii="Calibri" w:hAnsi="Calibri"/>
                <w:color w:val="1A1A1A"/>
                <w:sz w:val="18"/>
              </w:rPr>
              <w:t>Adding a new surface that exposes money requires no new redaction code</w:t>
            </w:r>
          </w:p>
        </w:tc>
        <w:tc>
          <w:tcPr>
            <w:tcW w:type="dxa" w:w="4422"/>
          </w:tcPr>
          <w:p>
            <w:pPr>
              <w:spacing w:after="0" w:line="252" w:lineRule="auto"/>
              <w:jc w:val="left"/>
            </w:pPr>
            <w:r>
              <w:rPr>
                <w:rFonts w:ascii="Calibri" w:hAnsi="Calibri"/>
                <w:color w:val="1A1A1A"/>
                <w:sz w:val="18"/>
              </w:rPr>
              <w:t>Demonstrated by adding one surface and confirming inherited behaviour</w:t>
            </w:r>
          </w:p>
        </w:tc>
      </w:tr>
      <w:tr>
        <w:tc>
          <w:tcPr>
            <w:tcW w:type="dxa" w:w="1361"/>
            <w:shd w:val="clear" w:color="auto" w:fill="FAFBFC"/>
          </w:tcPr>
          <w:p>
            <w:pPr>
              <w:spacing w:after="0" w:line="252" w:lineRule="auto"/>
              <w:jc w:val="left"/>
            </w:pPr>
            <w:r>
              <w:rPr>
                <w:rFonts w:ascii="Calibri" w:hAnsi="Calibri"/>
                <w:color w:val="1A1A1A"/>
                <w:sz w:val="18"/>
              </w:rPr>
              <w:t>NFR-SEC-10</w:t>
            </w:r>
          </w:p>
        </w:tc>
        <w:tc>
          <w:tcPr>
            <w:tcW w:type="dxa" w:w="4535"/>
            <w:shd w:val="clear" w:color="auto" w:fill="FAFBFC"/>
          </w:tcPr>
          <w:p>
            <w:pPr>
              <w:spacing w:after="0" w:line="252" w:lineRule="auto"/>
              <w:jc w:val="left"/>
            </w:pPr>
            <w:r>
              <w:rPr>
                <w:rFonts w:ascii="Calibri" w:hAnsi="Calibri"/>
                <w:color w:val="1A1A1A"/>
                <w:sz w:val="18"/>
              </w:rPr>
              <w:t>Cost, margin and collections data are excluded from any publicly shared dashboard token</w:t>
            </w:r>
          </w:p>
        </w:tc>
        <w:tc>
          <w:tcPr>
            <w:tcW w:type="dxa" w:w="4422"/>
            <w:shd w:val="clear" w:color="auto" w:fill="FAFBFC"/>
          </w:tcPr>
          <w:p>
            <w:pPr>
              <w:spacing w:after="0" w:line="252" w:lineRule="auto"/>
              <w:jc w:val="left"/>
            </w:pPr>
            <w:r>
              <w:rPr>
                <w:rFonts w:ascii="Calibri" w:hAnsi="Calibri"/>
                <w:color w:val="1A1A1A"/>
                <w:sz w:val="18"/>
              </w:rPr>
              <w:t>A published dashboard containing a restricted widget either refuses to publish or omits the widget</w:t>
            </w:r>
          </w:p>
        </w:tc>
      </w:tr>
      <w:tr>
        <w:tc>
          <w:tcPr>
            <w:tcW w:type="dxa" w:w="1361"/>
          </w:tcPr>
          <w:p>
            <w:pPr>
              <w:spacing w:after="0" w:line="252" w:lineRule="auto"/>
              <w:jc w:val="left"/>
            </w:pPr>
            <w:r>
              <w:rPr>
                <w:rFonts w:ascii="Calibri" w:hAnsi="Calibri"/>
                <w:color w:val="1A1A1A"/>
                <w:sz w:val="18"/>
              </w:rPr>
              <w:t>NFR-SEC-11</w:t>
            </w:r>
          </w:p>
        </w:tc>
        <w:tc>
          <w:tcPr>
            <w:tcW w:type="dxa" w:w="4535"/>
          </w:tcPr>
          <w:p>
            <w:pPr>
              <w:spacing w:after="0" w:line="252" w:lineRule="auto"/>
              <w:jc w:val="left"/>
            </w:pPr>
            <w:r>
              <w:rPr>
                <w:rFonts w:ascii="Calibri" w:hAnsi="Calibri"/>
                <w:color w:val="1A1A1A"/>
                <w:sz w:val="18"/>
              </w:rPr>
              <w:t>Session expiry, forced logout on role change, and re-authentication for entitlement changes</w:t>
            </w:r>
          </w:p>
        </w:tc>
        <w:tc>
          <w:tcPr>
            <w:tcW w:type="dxa" w:w="4422"/>
          </w:tcPr>
          <w:p>
            <w:pPr>
              <w:spacing w:after="0" w:line="252" w:lineRule="auto"/>
              <w:jc w:val="left"/>
            </w:pPr>
            <w:r>
              <w:rPr>
                <w:rFonts w:ascii="Calibri" w:hAnsi="Calibri"/>
                <w:color w:val="1A1A1A"/>
                <w:sz w:val="18"/>
              </w:rPr>
              <w:t>Verified by test</w:t>
            </w:r>
          </w:p>
        </w:tc>
      </w:tr>
    </w:tbl>
    <w:p>
      <w:pPr>
        <w:spacing w:after="80"/>
      </w:pPr>
    </w:p>
    <w:p>
      <w:pPr>
        <w:spacing w:before="120" w:after="160"/>
        <w:ind w:left="198"/>
        <w:pBdr>
          <w:left w:val="single" w:sz="18" w:space="8" w:color="B08D57"/>
        </w:pBdr>
        <w:shd w:val="clear" w:color="auto" w:fill="F4F1E8"/>
      </w:pPr>
      <w:r>
        <w:rPr>
          <w:rFonts w:ascii="Calibri" w:hAnsi="Calibri"/>
          <w:b/>
          <w:color w:val="1A1A1A"/>
          <w:sz w:val="19"/>
        </w:rPr>
        <w:t>RISK STATEMENT</w:t>
      </w:r>
      <w:r>
        <w:rPr>
          <w:rFonts w:ascii="Calibri" w:hAnsi="Calibri"/>
          <w:color w:val="1A1A1A"/>
          <w:sz w:val="19"/>
        </w:rPr>
        <w:t xml:space="preserve">  Role-based money restriction is currently reimplemented in seven separate files — </w:t>
      </w:r>
      <w:r>
        <w:rPr>
          <w:rFonts w:ascii="Consolas" w:hAnsi="Consolas"/>
          <w:color w:val="8B2E2E"/>
          <w:sz w:val="19"/>
        </w:rPr>
        <w:t>crm-read.tools.ts</w:t>
      </w:r>
      <w:r>
        <w:rPr>
          <w:rFonts w:ascii="Calibri" w:hAnsi="Calibri"/>
          <w:color w:val="1A1A1A"/>
          <w:sz w:val="19"/>
        </w:rPr>
        <w:t xml:space="preserve">, </w:t>
      </w:r>
      <w:r>
        <w:rPr>
          <w:rFonts w:ascii="Consolas" w:hAnsi="Consolas"/>
          <w:color w:val="8B2E2E"/>
          <w:sz w:val="19"/>
        </w:rPr>
        <w:t>reporting.tools.ts</w:t>
      </w:r>
      <w:r>
        <w:rPr>
          <w:rFonts w:ascii="Calibri" w:hAnsi="Calibri"/>
          <w:color w:val="1A1A1A"/>
          <w:sz w:val="19"/>
        </w:rPr>
        <w:t xml:space="preserve">, </w:t>
      </w:r>
      <w:r>
        <w:rPr>
          <w:rFonts w:ascii="Consolas" w:hAnsi="Consolas"/>
          <w:color w:val="8B2E2E"/>
          <w:sz w:val="19"/>
        </w:rPr>
        <w:t>activity.tools.ts</w:t>
      </w:r>
      <w:r>
        <w:rPr>
          <w:rFonts w:ascii="Calibri" w:hAnsi="Calibri"/>
          <w:color w:val="1A1A1A"/>
          <w:sz w:val="19"/>
        </w:rPr>
        <w:t xml:space="preserve">, </w:t>
      </w:r>
      <w:r>
        <w:rPr>
          <w:rFonts w:ascii="Consolas" w:hAnsi="Consolas"/>
          <w:color w:val="8B2E2E"/>
          <w:sz w:val="19"/>
        </w:rPr>
        <w:t>escape-hatch.tools.ts</w:t>
      </w:r>
      <w:r>
        <w:rPr>
          <w:rFonts w:ascii="Calibri" w:hAnsi="Calibri"/>
          <w:color w:val="1A1A1A"/>
          <w:sz w:val="19"/>
        </w:rPr>
        <w:t xml:space="preserve">, </w:t>
      </w:r>
      <w:r>
        <w:rPr>
          <w:rFonts w:ascii="Consolas" w:hAnsi="Consolas"/>
          <w:color w:val="8B2E2E"/>
          <w:sz w:val="19"/>
        </w:rPr>
        <w:t>reports.router.ts</w:t>
      </w:r>
      <w:r>
        <w:rPr>
          <w:rFonts w:ascii="Calibri" w:hAnsi="Calibri"/>
          <w:color w:val="1A1A1A"/>
          <w:sz w:val="19"/>
        </w:rPr>
        <w:t xml:space="preserve">, </w:t>
      </w:r>
      <w:r>
        <w:rPr>
          <w:rFonts w:ascii="Consolas" w:hAnsi="Consolas"/>
          <w:color w:val="8B2E2E"/>
          <w:sz w:val="19"/>
        </w:rPr>
        <w:t>search.router.ts</w:t>
      </w:r>
      <w:r>
        <w:rPr>
          <w:rFonts w:ascii="Calibri" w:hAnsi="Calibri"/>
          <w:color w:val="1A1A1A"/>
          <w:sz w:val="19"/>
        </w:rPr>
        <w:t xml:space="preserve"> and </w:t>
      </w:r>
      <w:r>
        <w:rPr>
          <w:rFonts w:ascii="Consolas" w:hAnsi="Consolas"/>
          <w:color w:val="8B2E2E"/>
          <w:sz w:val="19"/>
        </w:rPr>
        <w:t>partner.router.ts</w:t>
      </w:r>
      <w:r>
        <w:rPr>
          <w:rFonts w:ascii="Calibri" w:hAnsi="Calibri"/>
          <w:color w:val="1A1A1A"/>
          <w:sz w:val="19"/>
        </w:rPr>
        <w:t xml:space="preserve"> — with an eighth rule, the financial-column blocklist, inside </w:t>
      </w:r>
      <w:r>
        <w:rPr>
          <w:rFonts w:ascii="Calibri" w:hAnsi="Calibri"/>
          <w:color w:val="1F4E79"/>
          <w:sz w:val="19"/>
          <w:u w:val="single"/>
        </w:rPr>
        <w:t>sql-safety.service.ts</w:t>
      </w:r>
      <w:r>
        <w:rPr>
          <w:rFonts w:ascii="Calibri" w:hAnsi="Calibri"/>
          <w:color w:val="1A1A1A"/>
          <w:sz w:val="19"/>
        </w:rPr>
        <w:t>. That pattern is already fragile at seven copies. Extending it to cost rates and margin without first consolidating it (FR-X-06) is the single largest security risk introduced by Decision D-1.</w:t>
      </w:r>
    </w:p>
    <w:p>
      <w:pPr>
        <w:pStyle w:val="Heading2"/>
      </w:pPr>
      <w:r>
        <w:t>Privacy and data protection</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439"/>
        <w:gridCol w:w="3439"/>
        <w:gridCol w:w="3439"/>
      </w:tblGrid>
      <w:tr>
        <w:trPr>
          <w:tblHeader w:val="true"/>
        </w:trPr>
        <w:tc>
          <w:tcPr>
            <w:tcW w:type="dxa" w:w="1361"/>
            <w:shd w:val="clear" w:color="auto" w:fill="E8EDF2"/>
          </w:tcPr>
          <w:p>
            <w:pPr>
              <w:spacing w:after="0"/>
              <w:jc w:val="left"/>
            </w:pPr>
            <w:r>
              <w:rPr>
                <w:rFonts w:ascii="Calibri" w:hAnsi="Calibri"/>
                <w:b/>
                <w:color w:val="1A1A1A"/>
                <w:sz w:val="18"/>
              </w:rPr>
              <w:t>ID</w:t>
            </w:r>
          </w:p>
        </w:tc>
        <w:tc>
          <w:tcPr>
            <w:tcW w:type="dxa" w:w="4535"/>
            <w:shd w:val="clear" w:color="auto" w:fill="E8EDF2"/>
          </w:tcPr>
          <w:p>
            <w:pPr>
              <w:spacing w:after="0"/>
              <w:jc w:val="left"/>
            </w:pPr>
            <w:r>
              <w:rPr>
                <w:rFonts w:ascii="Calibri" w:hAnsi="Calibri"/>
                <w:b/>
                <w:color w:val="1A1A1A"/>
                <w:sz w:val="18"/>
              </w:rPr>
              <w:t>Requirement</w:t>
            </w:r>
          </w:p>
        </w:tc>
        <w:tc>
          <w:tcPr>
            <w:tcW w:type="dxa" w:w="4422"/>
            <w:shd w:val="clear" w:color="auto" w:fill="E8EDF2"/>
          </w:tcPr>
          <w:p>
            <w:pPr>
              <w:spacing w:after="0"/>
              <w:jc w:val="left"/>
            </w:pPr>
            <w:r>
              <w:rPr>
                <w:rFonts w:ascii="Calibri" w:hAnsi="Calibri"/>
                <w:b/>
                <w:color w:val="1A1A1A"/>
                <w:sz w:val="18"/>
              </w:rPr>
              <w:t>Measure</w:t>
            </w:r>
          </w:p>
        </w:tc>
      </w:tr>
      <w:tr>
        <w:tc>
          <w:tcPr>
            <w:tcW w:type="dxa" w:w="1361"/>
          </w:tcPr>
          <w:p>
            <w:pPr>
              <w:spacing w:after="0" w:line="252" w:lineRule="auto"/>
              <w:jc w:val="left"/>
            </w:pPr>
            <w:r>
              <w:rPr>
                <w:rFonts w:ascii="Calibri" w:hAnsi="Calibri"/>
                <w:color w:val="1A1A1A"/>
                <w:sz w:val="18"/>
              </w:rPr>
              <w:t>NFR-PRIV-01</w:t>
            </w:r>
          </w:p>
        </w:tc>
        <w:tc>
          <w:tcPr>
            <w:tcW w:type="dxa" w:w="4535"/>
          </w:tcPr>
          <w:p>
            <w:pPr>
              <w:spacing w:after="0" w:line="252" w:lineRule="auto"/>
              <w:jc w:val="left"/>
            </w:pPr>
            <w:r>
              <w:rPr>
                <w:rFonts w:ascii="Calibri" w:hAnsi="Calibri"/>
                <w:color w:val="1A1A1A"/>
                <w:sz w:val="18"/>
              </w:rPr>
              <w:t>Personal data handling meets DPDP Act obligations for notice, purpose limitation, and data-principal rights</w:t>
            </w:r>
          </w:p>
        </w:tc>
        <w:tc>
          <w:tcPr>
            <w:tcW w:type="dxa" w:w="4422"/>
          </w:tcPr>
          <w:p>
            <w:pPr>
              <w:spacing w:after="0" w:line="252" w:lineRule="auto"/>
              <w:jc w:val="left"/>
            </w:pPr>
            <w:r>
              <w:rPr>
                <w:rFonts w:ascii="Calibri" w:hAnsi="Calibri"/>
                <w:color w:val="1A1A1A"/>
                <w:sz w:val="18"/>
              </w:rPr>
              <w:t>Reviewed against the Act; a data-principal request can be fulfilled</w:t>
            </w:r>
          </w:p>
        </w:tc>
      </w:tr>
      <w:tr>
        <w:tc>
          <w:tcPr>
            <w:tcW w:type="dxa" w:w="1361"/>
            <w:shd w:val="clear" w:color="auto" w:fill="FAFBFC"/>
          </w:tcPr>
          <w:p>
            <w:pPr>
              <w:spacing w:after="0" w:line="252" w:lineRule="auto"/>
              <w:jc w:val="left"/>
            </w:pPr>
            <w:r>
              <w:rPr>
                <w:rFonts w:ascii="Calibri" w:hAnsi="Calibri"/>
                <w:color w:val="1A1A1A"/>
                <w:sz w:val="18"/>
              </w:rPr>
              <w:t>NFR-PRIV-02</w:t>
            </w:r>
          </w:p>
        </w:tc>
        <w:tc>
          <w:tcPr>
            <w:tcW w:type="dxa" w:w="4535"/>
            <w:shd w:val="clear" w:color="auto" w:fill="FAFBFC"/>
          </w:tcPr>
          <w:p>
            <w:pPr>
              <w:spacing w:after="0" w:line="252" w:lineRule="auto"/>
              <w:jc w:val="left"/>
            </w:pPr>
            <w:r>
              <w:rPr>
                <w:rFonts w:ascii="Calibri" w:hAnsi="Calibri"/>
                <w:color w:val="1A1A1A"/>
                <w:sz w:val="18"/>
              </w:rPr>
              <w:t>Pricing, margin and collections data are accessed by purpose as well as by role</w:t>
            </w:r>
          </w:p>
        </w:tc>
        <w:tc>
          <w:tcPr>
            <w:tcW w:type="dxa" w:w="4422"/>
            <w:shd w:val="clear" w:color="auto" w:fill="FAFBFC"/>
          </w:tcPr>
          <w:p>
            <w:pPr>
              <w:spacing w:after="0" w:line="252" w:lineRule="auto"/>
              <w:jc w:val="left"/>
            </w:pPr>
            <w:r>
              <w:rPr>
                <w:rFonts w:ascii="Calibri" w:hAnsi="Calibri"/>
                <w:color w:val="1A1A1A"/>
                <w:sz w:val="18"/>
              </w:rPr>
              <w:t>Purpose is recorded on access to the most sensitive classes</w:t>
            </w:r>
          </w:p>
        </w:tc>
      </w:tr>
      <w:tr>
        <w:tc>
          <w:tcPr>
            <w:tcW w:type="dxa" w:w="1361"/>
          </w:tcPr>
          <w:p>
            <w:pPr>
              <w:spacing w:after="0" w:line="252" w:lineRule="auto"/>
              <w:jc w:val="left"/>
            </w:pPr>
            <w:r>
              <w:rPr>
                <w:rFonts w:ascii="Calibri" w:hAnsi="Calibri"/>
                <w:color w:val="1A1A1A"/>
                <w:sz w:val="18"/>
              </w:rPr>
              <w:t>NFR-PRIV-03</w:t>
            </w:r>
          </w:p>
        </w:tc>
        <w:tc>
          <w:tcPr>
            <w:tcW w:type="dxa" w:w="4535"/>
          </w:tcPr>
          <w:p>
            <w:pPr>
              <w:spacing w:after="0" w:line="252" w:lineRule="auto"/>
              <w:jc w:val="left"/>
            </w:pPr>
            <w:r>
              <w:rPr>
                <w:rFonts w:ascii="Calibri" w:hAnsi="Calibri"/>
                <w:color w:val="1A1A1A"/>
                <w:sz w:val="18"/>
              </w:rPr>
              <w:t>Stated retention periods for activity, audit, chat message logs and AI chat history, with enforced deletion</w:t>
            </w:r>
          </w:p>
        </w:tc>
        <w:tc>
          <w:tcPr>
            <w:tcW w:type="dxa" w:w="4422"/>
          </w:tcPr>
          <w:p>
            <w:pPr>
              <w:spacing w:after="0" w:line="252" w:lineRule="auto"/>
              <w:jc w:val="left"/>
            </w:pPr>
            <w:r>
              <w:rPr>
                <w:rFonts w:ascii="Calibri" w:hAnsi="Calibri"/>
                <w:color w:val="1A1A1A"/>
                <w:sz w:val="18"/>
              </w:rPr>
              <w:t>Retention job runs and is verifiable</w:t>
            </w:r>
          </w:p>
        </w:tc>
      </w:tr>
      <w:tr>
        <w:tc>
          <w:tcPr>
            <w:tcW w:type="dxa" w:w="1361"/>
            <w:shd w:val="clear" w:color="auto" w:fill="FAFBFC"/>
          </w:tcPr>
          <w:p>
            <w:pPr>
              <w:spacing w:after="0" w:line="252" w:lineRule="auto"/>
              <w:jc w:val="left"/>
            </w:pPr>
            <w:r>
              <w:rPr>
                <w:rFonts w:ascii="Calibri" w:hAnsi="Calibri"/>
                <w:color w:val="1A1A1A"/>
                <w:sz w:val="18"/>
              </w:rPr>
              <w:t>NFR-PRIV-04</w:t>
            </w:r>
          </w:p>
        </w:tc>
        <w:tc>
          <w:tcPr>
            <w:tcW w:type="dxa" w:w="4535"/>
            <w:shd w:val="clear" w:color="auto" w:fill="FAFBFC"/>
          </w:tcPr>
          <w:p>
            <w:pPr>
              <w:spacing w:after="0" w:line="252" w:lineRule="auto"/>
              <w:jc w:val="left"/>
            </w:pPr>
            <w:r>
              <w:rPr>
                <w:rFonts w:ascii="Calibri" w:hAnsi="Calibri"/>
                <w:color w:val="1A1A1A"/>
                <w:sz w:val="18"/>
              </w:rPr>
              <w:t>Contact and account data can be exported and erased on request, with erasure recorded</w:t>
            </w:r>
          </w:p>
        </w:tc>
        <w:tc>
          <w:tcPr>
            <w:tcW w:type="dxa" w:w="4422"/>
            <w:shd w:val="clear" w:color="auto" w:fill="FAFBFC"/>
          </w:tcPr>
          <w:p>
            <w:pPr>
              <w:spacing w:after="0" w:line="252" w:lineRule="auto"/>
              <w:jc w:val="left"/>
            </w:pPr>
            <w:r>
              <w:rPr>
                <w:rFonts w:ascii="Calibri" w:hAnsi="Calibri"/>
                <w:color w:val="1A1A1A"/>
                <w:sz w:val="18"/>
              </w:rPr>
              <w:t>Verified end-to-end</w:t>
            </w:r>
          </w:p>
        </w:tc>
      </w:tr>
    </w:tbl>
    <w:p>
      <w:pPr>
        <w:spacing w:after="80"/>
      </w:pPr>
    </w:p>
    <w:p>
      <w:pPr>
        <w:pStyle w:val="Heading2"/>
      </w:pPr>
      <w:r>
        <w:t>Auditability and immutability</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439"/>
        <w:gridCol w:w="3439"/>
        <w:gridCol w:w="3439"/>
      </w:tblGrid>
      <w:tr>
        <w:trPr>
          <w:tblHeader w:val="true"/>
        </w:trPr>
        <w:tc>
          <w:tcPr>
            <w:tcW w:type="dxa" w:w="1361"/>
            <w:shd w:val="clear" w:color="auto" w:fill="E8EDF2"/>
          </w:tcPr>
          <w:p>
            <w:pPr>
              <w:spacing w:after="0"/>
              <w:jc w:val="left"/>
            </w:pPr>
            <w:r>
              <w:rPr>
                <w:rFonts w:ascii="Calibri" w:hAnsi="Calibri"/>
                <w:b/>
                <w:color w:val="1A1A1A"/>
                <w:sz w:val="18"/>
              </w:rPr>
              <w:t>ID</w:t>
            </w:r>
          </w:p>
        </w:tc>
        <w:tc>
          <w:tcPr>
            <w:tcW w:type="dxa" w:w="4535"/>
            <w:shd w:val="clear" w:color="auto" w:fill="E8EDF2"/>
          </w:tcPr>
          <w:p>
            <w:pPr>
              <w:spacing w:after="0"/>
              <w:jc w:val="left"/>
            </w:pPr>
            <w:r>
              <w:rPr>
                <w:rFonts w:ascii="Calibri" w:hAnsi="Calibri"/>
                <w:b/>
                <w:color w:val="1A1A1A"/>
                <w:sz w:val="18"/>
              </w:rPr>
              <w:t>Requirement</w:t>
            </w:r>
          </w:p>
        </w:tc>
        <w:tc>
          <w:tcPr>
            <w:tcW w:type="dxa" w:w="4422"/>
            <w:shd w:val="clear" w:color="auto" w:fill="E8EDF2"/>
          </w:tcPr>
          <w:p>
            <w:pPr>
              <w:spacing w:after="0"/>
              <w:jc w:val="left"/>
            </w:pPr>
            <w:r>
              <w:rPr>
                <w:rFonts w:ascii="Calibri" w:hAnsi="Calibri"/>
                <w:b/>
                <w:color w:val="1A1A1A"/>
                <w:sz w:val="18"/>
              </w:rPr>
              <w:t>Measure</w:t>
            </w:r>
          </w:p>
        </w:tc>
      </w:tr>
      <w:tr>
        <w:tc>
          <w:tcPr>
            <w:tcW w:type="dxa" w:w="1361"/>
          </w:tcPr>
          <w:p>
            <w:pPr>
              <w:spacing w:after="0" w:line="252" w:lineRule="auto"/>
              <w:jc w:val="left"/>
            </w:pPr>
            <w:r>
              <w:rPr>
                <w:rFonts w:ascii="Calibri" w:hAnsi="Calibri"/>
                <w:color w:val="1A1A1A"/>
                <w:sz w:val="18"/>
              </w:rPr>
              <w:t>NFR-AUD-01</w:t>
            </w:r>
          </w:p>
        </w:tc>
        <w:tc>
          <w:tcPr>
            <w:tcW w:type="dxa" w:w="4535"/>
          </w:tcPr>
          <w:p>
            <w:pPr>
              <w:spacing w:after="0" w:line="252" w:lineRule="auto"/>
              <w:jc w:val="left"/>
            </w:pPr>
            <w:r>
              <w:rPr>
                <w:rFonts w:ascii="Calibri" w:hAnsi="Calibri"/>
                <w:color w:val="1A1A1A"/>
                <w:sz w:val="18"/>
              </w:rPr>
              <w:t>Every mutation to a core record produces an audit entry with actor, IP, timestamp and JSON diff</w:t>
            </w:r>
          </w:p>
        </w:tc>
        <w:tc>
          <w:tcPr>
            <w:tcW w:type="dxa" w:w="4422"/>
          </w:tcPr>
          <w:p>
            <w:pPr>
              <w:spacing w:after="0" w:line="252" w:lineRule="auto"/>
              <w:jc w:val="left"/>
            </w:pPr>
            <w:r>
              <w:rPr>
                <w:rFonts w:ascii="Calibri" w:hAnsi="Calibri"/>
                <w:color w:val="1A1A1A"/>
                <w:sz w:val="18"/>
              </w:rPr>
              <w:t>Verified by inspection of the audit log after a change</w:t>
            </w:r>
          </w:p>
        </w:tc>
      </w:tr>
      <w:tr>
        <w:tc>
          <w:tcPr>
            <w:tcW w:type="dxa" w:w="1361"/>
            <w:shd w:val="clear" w:color="auto" w:fill="FAFBFC"/>
          </w:tcPr>
          <w:p>
            <w:pPr>
              <w:spacing w:after="0" w:line="252" w:lineRule="auto"/>
              <w:jc w:val="left"/>
            </w:pPr>
            <w:r>
              <w:rPr>
                <w:rFonts w:ascii="Calibri" w:hAnsi="Calibri"/>
                <w:color w:val="1A1A1A"/>
                <w:sz w:val="18"/>
              </w:rPr>
              <w:t>NFR-AUD-02</w:t>
            </w:r>
          </w:p>
        </w:tc>
        <w:tc>
          <w:tcPr>
            <w:tcW w:type="dxa" w:w="4535"/>
            <w:shd w:val="clear" w:color="auto" w:fill="FAFBFC"/>
          </w:tcPr>
          <w:p>
            <w:pPr>
              <w:spacing w:after="0" w:line="252" w:lineRule="auto"/>
              <w:jc w:val="left"/>
            </w:pPr>
            <w:r>
              <w:rPr>
                <w:rFonts w:ascii="Consolas" w:hAnsi="Consolas"/>
                <w:color w:val="8B2E2E"/>
                <w:sz w:val="18"/>
              </w:rPr>
              <w:t>createdBy</w:t>
            </w:r>
            <w:r>
              <w:rPr>
                <w:rFonts w:ascii="Calibri" w:hAnsi="Calibri"/>
                <w:color w:val="1A1A1A"/>
                <w:sz w:val="18"/>
              </w:rPr>
              <w:t xml:space="preserve"> is immutable on every core record, even when ownership is reassigned</w:t>
            </w:r>
          </w:p>
        </w:tc>
        <w:tc>
          <w:tcPr>
            <w:tcW w:type="dxa" w:w="4422"/>
            <w:shd w:val="clear" w:color="auto" w:fill="FAFBFC"/>
          </w:tcPr>
          <w:p>
            <w:pPr>
              <w:spacing w:after="0" w:line="252" w:lineRule="auto"/>
              <w:jc w:val="left"/>
            </w:pPr>
            <w:r>
              <w:rPr>
                <w:rFonts w:ascii="Calibri" w:hAnsi="Calibri"/>
                <w:color w:val="1A1A1A"/>
                <w:sz w:val="18"/>
              </w:rPr>
              <w:t>Enforced at the service layer</w:t>
            </w:r>
          </w:p>
        </w:tc>
      </w:tr>
      <w:tr>
        <w:tc>
          <w:tcPr>
            <w:tcW w:type="dxa" w:w="1361"/>
          </w:tcPr>
          <w:p>
            <w:pPr>
              <w:spacing w:after="0" w:line="252" w:lineRule="auto"/>
              <w:jc w:val="left"/>
            </w:pPr>
            <w:r>
              <w:rPr>
                <w:rFonts w:ascii="Calibri" w:hAnsi="Calibri"/>
                <w:color w:val="1A1A1A"/>
                <w:sz w:val="18"/>
              </w:rPr>
              <w:t>NFR-AUD-03</w:t>
            </w:r>
          </w:p>
        </w:tc>
        <w:tc>
          <w:tcPr>
            <w:tcW w:type="dxa" w:w="4535"/>
          </w:tcPr>
          <w:p>
            <w:pPr>
              <w:spacing w:after="0" w:line="252" w:lineRule="auto"/>
              <w:jc w:val="left"/>
            </w:pPr>
            <w:r>
              <w:rPr>
                <w:rFonts w:ascii="Calibri" w:hAnsi="Calibri"/>
                <w:color w:val="1A1A1A"/>
                <w:sz w:val="18"/>
              </w:rPr>
              <w:t>Stage history on opportunities, contracts and engagements is append-only</w:t>
            </w:r>
          </w:p>
        </w:tc>
        <w:tc>
          <w:tcPr>
            <w:tcW w:type="dxa" w:w="4422"/>
          </w:tcPr>
          <w:p>
            <w:pPr>
              <w:spacing w:after="0" w:line="252" w:lineRule="auto"/>
              <w:jc w:val="left"/>
            </w:pPr>
            <w:r>
              <w:rPr>
                <w:rFonts w:ascii="Calibri" w:hAnsi="Calibri"/>
                <w:color w:val="1A1A1A"/>
                <w:sz w:val="18"/>
              </w:rPr>
              <w:t>No update or delete path exists on history tables</w:t>
            </w:r>
          </w:p>
        </w:tc>
      </w:tr>
      <w:tr>
        <w:tc>
          <w:tcPr>
            <w:tcW w:type="dxa" w:w="1361"/>
            <w:shd w:val="clear" w:color="auto" w:fill="FAFBFC"/>
          </w:tcPr>
          <w:p>
            <w:pPr>
              <w:spacing w:after="0" w:line="252" w:lineRule="auto"/>
              <w:jc w:val="left"/>
            </w:pPr>
            <w:r>
              <w:rPr>
                <w:rFonts w:ascii="Calibri" w:hAnsi="Calibri"/>
                <w:color w:val="1A1A1A"/>
                <w:sz w:val="18"/>
              </w:rPr>
              <w:t>NFR-AUD-04</w:t>
            </w:r>
          </w:p>
        </w:tc>
        <w:tc>
          <w:tcPr>
            <w:tcW w:type="dxa" w:w="4535"/>
            <w:shd w:val="clear" w:color="auto" w:fill="FAFBFC"/>
          </w:tcPr>
          <w:p>
            <w:pPr>
              <w:spacing w:after="0" w:line="252" w:lineRule="auto"/>
              <w:jc w:val="left"/>
            </w:pPr>
            <w:r>
              <w:rPr>
                <w:rFonts w:ascii="Calibri" w:hAnsi="Calibri"/>
                <w:color w:val="1A1A1A"/>
                <w:sz w:val="18"/>
              </w:rPr>
              <w:t>An approved estimate is immutable; a change creates a new revision</w:t>
            </w:r>
          </w:p>
        </w:tc>
        <w:tc>
          <w:tcPr>
            <w:tcW w:type="dxa" w:w="4422"/>
            <w:shd w:val="clear" w:color="auto" w:fill="FAFBFC"/>
          </w:tcPr>
          <w:p>
            <w:pPr>
              <w:spacing w:after="0" w:line="252" w:lineRule="auto"/>
              <w:jc w:val="left"/>
            </w:pPr>
            <w:r>
              <w:rPr>
                <w:rFonts w:ascii="Calibri" w:hAnsi="Calibri"/>
                <w:color w:val="1A1A1A"/>
                <w:sz w:val="18"/>
              </w:rPr>
              <w:t>Enforced by database constraint, not by convention</w:t>
            </w:r>
          </w:p>
        </w:tc>
      </w:tr>
      <w:tr>
        <w:tc>
          <w:tcPr>
            <w:tcW w:type="dxa" w:w="1361"/>
          </w:tcPr>
          <w:p>
            <w:pPr>
              <w:spacing w:after="0" w:line="252" w:lineRule="auto"/>
              <w:jc w:val="left"/>
            </w:pPr>
            <w:r>
              <w:rPr>
                <w:rFonts w:ascii="Calibri" w:hAnsi="Calibri"/>
                <w:color w:val="1A1A1A"/>
                <w:sz w:val="18"/>
              </w:rPr>
              <w:t>NFR-AUD-05</w:t>
            </w:r>
          </w:p>
        </w:tc>
        <w:tc>
          <w:tcPr>
            <w:tcW w:type="dxa" w:w="4535"/>
          </w:tcPr>
          <w:p>
            <w:pPr>
              <w:spacing w:after="0" w:line="252" w:lineRule="auto"/>
              <w:jc w:val="left"/>
            </w:pPr>
            <w:r>
              <w:rPr>
                <w:rFonts w:ascii="Calibri" w:hAnsi="Calibri"/>
                <w:color w:val="1A1A1A"/>
                <w:sz w:val="18"/>
              </w:rPr>
              <w:t>Quoted, contracted, invoiced, recognized and collected values are each retained; none overwrites another</w:t>
            </w:r>
          </w:p>
        </w:tc>
        <w:tc>
          <w:tcPr>
            <w:tcW w:type="dxa" w:w="4422"/>
          </w:tcPr>
          <w:p>
            <w:pPr>
              <w:spacing w:after="0" w:line="252" w:lineRule="auto"/>
              <w:jc w:val="left"/>
            </w:pPr>
            <w:r>
              <w:rPr>
                <w:rFonts w:ascii="Calibri" w:hAnsi="Calibri"/>
                <w:color w:val="1A1A1A"/>
                <w:sz w:val="18"/>
              </w:rPr>
              <w:t>Verified by querying all five for a completed engagement</w:t>
            </w:r>
          </w:p>
        </w:tc>
      </w:tr>
      <w:tr>
        <w:tc>
          <w:tcPr>
            <w:tcW w:type="dxa" w:w="1361"/>
            <w:shd w:val="clear" w:color="auto" w:fill="FAFBFC"/>
          </w:tcPr>
          <w:p>
            <w:pPr>
              <w:spacing w:after="0" w:line="252" w:lineRule="auto"/>
              <w:jc w:val="left"/>
            </w:pPr>
            <w:r>
              <w:rPr>
                <w:rFonts w:ascii="Calibri" w:hAnsi="Calibri"/>
                <w:color w:val="1A1A1A"/>
                <w:sz w:val="18"/>
              </w:rPr>
              <w:t>NFR-AUD-06</w:t>
            </w:r>
          </w:p>
        </w:tc>
        <w:tc>
          <w:tcPr>
            <w:tcW w:type="dxa" w:w="4535"/>
            <w:shd w:val="clear" w:color="auto" w:fill="FAFBFC"/>
          </w:tcPr>
          <w:p>
            <w:pPr>
              <w:spacing w:after="0" w:line="252" w:lineRule="auto"/>
              <w:jc w:val="left"/>
            </w:pPr>
            <w:r>
              <w:rPr>
                <w:rFonts w:ascii="Calibri" w:hAnsi="Calibri"/>
                <w:color w:val="1A1A1A"/>
                <w:sz w:val="18"/>
              </w:rPr>
              <w:t>Every approval, override and floor breach records who, when and why</w:t>
            </w:r>
          </w:p>
        </w:tc>
        <w:tc>
          <w:tcPr>
            <w:tcW w:type="dxa" w:w="4422"/>
            <w:shd w:val="clear" w:color="auto" w:fill="FAFBFC"/>
          </w:tcPr>
          <w:p>
            <w:pPr>
              <w:spacing w:after="0" w:line="252" w:lineRule="auto"/>
              <w:jc w:val="left"/>
            </w:pPr>
            <w:r>
              <w:rPr>
                <w:rFonts w:ascii="Calibri" w:hAnsi="Calibri"/>
                <w:color w:val="1A1A1A"/>
                <w:sz w:val="18"/>
              </w:rPr>
              <w:t>No approval path allows an empty reason</w:t>
            </w:r>
          </w:p>
        </w:tc>
      </w:tr>
    </w:tbl>
    <w:p>
      <w:pPr>
        <w:spacing w:after="80"/>
      </w:pPr>
    </w:p>
    <w:p>
      <w:pPr>
        <w:pStyle w:val="Heading2"/>
      </w:pPr>
      <w:r>
        <w:t>Reproducibility</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439"/>
        <w:gridCol w:w="3439"/>
        <w:gridCol w:w="3439"/>
      </w:tblGrid>
      <w:tr>
        <w:trPr>
          <w:tblHeader w:val="true"/>
        </w:trPr>
        <w:tc>
          <w:tcPr>
            <w:tcW w:type="dxa" w:w="1361"/>
            <w:shd w:val="clear" w:color="auto" w:fill="E8EDF2"/>
          </w:tcPr>
          <w:p>
            <w:pPr>
              <w:spacing w:after="0"/>
              <w:jc w:val="left"/>
            </w:pPr>
            <w:r>
              <w:rPr>
                <w:rFonts w:ascii="Calibri" w:hAnsi="Calibri"/>
                <w:b/>
                <w:color w:val="1A1A1A"/>
                <w:sz w:val="18"/>
              </w:rPr>
              <w:t>ID</w:t>
            </w:r>
          </w:p>
        </w:tc>
        <w:tc>
          <w:tcPr>
            <w:tcW w:type="dxa" w:w="4535"/>
            <w:shd w:val="clear" w:color="auto" w:fill="E8EDF2"/>
          </w:tcPr>
          <w:p>
            <w:pPr>
              <w:spacing w:after="0"/>
              <w:jc w:val="left"/>
            </w:pPr>
            <w:r>
              <w:rPr>
                <w:rFonts w:ascii="Calibri" w:hAnsi="Calibri"/>
                <w:b/>
                <w:color w:val="1A1A1A"/>
                <w:sz w:val="18"/>
              </w:rPr>
              <w:t>Requirement</w:t>
            </w:r>
          </w:p>
        </w:tc>
        <w:tc>
          <w:tcPr>
            <w:tcW w:type="dxa" w:w="4422"/>
            <w:shd w:val="clear" w:color="auto" w:fill="E8EDF2"/>
          </w:tcPr>
          <w:p>
            <w:pPr>
              <w:spacing w:after="0"/>
              <w:jc w:val="left"/>
            </w:pPr>
            <w:r>
              <w:rPr>
                <w:rFonts w:ascii="Calibri" w:hAnsi="Calibri"/>
                <w:b/>
                <w:color w:val="1A1A1A"/>
                <w:sz w:val="18"/>
              </w:rPr>
              <w:t>Measure</w:t>
            </w:r>
          </w:p>
        </w:tc>
      </w:tr>
      <w:tr>
        <w:tc>
          <w:tcPr>
            <w:tcW w:type="dxa" w:w="1361"/>
          </w:tcPr>
          <w:p>
            <w:pPr>
              <w:spacing w:after="0" w:line="252" w:lineRule="auto"/>
              <w:jc w:val="left"/>
            </w:pPr>
            <w:r>
              <w:rPr>
                <w:rFonts w:ascii="Calibri" w:hAnsi="Calibri"/>
                <w:color w:val="1A1A1A"/>
                <w:sz w:val="18"/>
              </w:rPr>
              <w:t>NFR-REP-01</w:t>
            </w:r>
          </w:p>
        </w:tc>
        <w:tc>
          <w:tcPr>
            <w:tcW w:type="dxa" w:w="4535"/>
          </w:tcPr>
          <w:p>
            <w:pPr>
              <w:spacing w:after="0" w:line="252" w:lineRule="auto"/>
              <w:jc w:val="left"/>
            </w:pPr>
            <w:r>
              <w:rPr>
                <w:rFonts w:ascii="Calibri" w:hAnsi="Calibri"/>
                <w:color w:val="1A1A1A"/>
                <w:sz w:val="18"/>
              </w:rPr>
              <w:t>Any estimate from any past date can be reproduced exactly, with the catalog version, sizing drivers, cost rates and overhead policy it used</w:t>
            </w:r>
          </w:p>
        </w:tc>
        <w:tc>
          <w:tcPr>
            <w:tcW w:type="dxa" w:w="4422"/>
          </w:tcPr>
          <w:p>
            <w:pPr>
              <w:spacing w:after="0" w:line="252" w:lineRule="auto"/>
              <w:jc w:val="left"/>
            </w:pPr>
            <w:r>
              <w:rPr>
                <w:rFonts w:ascii="Calibri" w:hAnsi="Calibri"/>
                <w:color w:val="1A1A1A"/>
                <w:sz w:val="18"/>
              </w:rPr>
              <w:t>Recomputing a six-month-old estimate returns the identical figure</w:t>
            </w:r>
          </w:p>
        </w:tc>
      </w:tr>
      <w:tr>
        <w:tc>
          <w:tcPr>
            <w:tcW w:type="dxa" w:w="1361"/>
            <w:shd w:val="clear" w:color="auto" w:fill="FAFBFC"/>
          </w:tcPr>
          <w:p>
            <w:pPr>
              <w:spacing w:after="0" w:line="252" w:lineRule="auto"/>
              <w:jc w:val="left"/>
            </w:pPr>
            <w:r>
              <w:rPr>
                <w:rFonts w:ascii="Calibri" w:hAnsi="Calibri"/>
                <w:color w:val="1A1A1A"/>
                <w:sz w:val="18"/>
              </w:rPr>
              <w:t>NFR-REP-02</w:t>
            </w:r>
          </w:p>
        </w:tc>
        <w:tc>
          <w:tcPr>
            <w:tcW w:type="dxa" w:w="4535"/>
            <w:shd w:val="clear" w:color="auto" w:fill="FAFBFC"/>
          </w:tcPr>
          <w:p>
            <w:pPr>
              <w:spacing w:after="0" w:line="252" w:lineRule="auto"/>
              <w:jc w:val="left"/>
            </w:pPr>
            <w:r>
              <w:rPr>
                <w:rFonts w:ascii="Calibri" w:hAnsi="Calibri"/>
                <w:color w:val="1A1A1A"/>
                <w:sz w:val="18"/>
              </w:rPr>
              <w:t>Effective-dated records are never hard-updated; a rate change creates a new dated row</w:t>
            </w:r>
          </w:p>
        </w:tc>
        <w:tc>
          <w:tcPr>
            <w:tcW w:type="dxa" w:w="4422"/>
            <w:shd w:val="clear" w:color="auto" w:fill="FAFBFC"/>
          </w:tcPr>
          <w:p>
            <w:pPr>
              <w:spacing w:after="0" w:line="252" w:lineRule="auto"/>
              <w:jc w:val="left"/>
            </w:pPr>
            <w:r>
              <w:rPr>
                <w:rFonts w:ascii="Calibri" w:hAnsi="Calibri"/>
                <w:color w:val="1A1A1A"/>
                <w:sz w:val="18"/>
              </w:rPr>
              <w:t>Verified by schema design</w:t>
            </w:r>
          </w:p>
        </w:tc>
      </w:tr>
      <w:tr>
        <w:tc>
          <w:tcPr>
            <w:tcW w:type="dxa" w:w="1361"/>
          </w:tcPr>
          <w:p>
            <w:pPr>
              <w:spacing w:after="0" w:line="252" w:lineRule="auto"/>
              <w:jc w:val="left"/>
            </w:pPr>
            <w:r>
              <w:rPr>
                <w:rFonts w:ascii="Calibri" w:hAnsi="Calibri"/>
                <w:color w:val="1A1A1A"/>
                <w:sz w:val="18"/>
              </w:rPr>
              <w:t>NFR-REP-03</w:t>
            </w:r>
          </w:p>
        </w:tc>
        <w:tc>
          <w:tcPr>
            <w:tcW w:type="dxa" w:w="4535"/>
          </w:tcPr>
          <w:p>
            <w:pPr>
              <w:spacing w:after="0" w:line="252" w:lineRule="auto"/>
              <w:jc w:val="left"/>
            </w:pPr>
            <w:r>
              <w:rPr>
                <w:rFonts w:ascii="Calibri" w:hAnsi="Calibri"/>
                <w:color w:val="1A1A1A"/>
                <w:sz w:val="18"/>
              </w:rPr>
              <w:t>Reports over a closed period return the same numbers when re-run</w:t>
            </w:r>
          </w:p>
        </w:tc>
        <w:tc>
          <w:tcPr>
            <w:tcW w:type="dxa" w:w="4422"/>
          </w:tcPr>
          <w:p>
            <w:pPr>
              <w:spacing w:after="0" w:line="252" w:lineRule="auto"/>
              <w:jc w:val="left"/>
            </w:pPr>
            <w:r>
              <w:rPr>
                <w:rFonts w:ascii="Calibri" w:hAnsi="Calibri"/>
                <w:color w:val="1A1A1A"/>
                <w:sz w:val="18"/>
              </w:rPr>
              <w:t>Verified by snapshot comparison</w:t>
            </w:r>
          </w:p>
        </w:tc>
      </w:tr>
    </w:tbl>
    <w:p>
      <w:pPr>
        <w:spacing w:after="80"/>
      </w:pPr>
    </w:p>
    <w:p>
      <w:pPr>
        <w:pStyle w:val="Heading2"/>
      </w:pPr>
      <w:r>
        <w:t>Performance and scale</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439"/>
        <w:gridCol w:w="3439"/>
        <w:gridCol w:w="3439"/>
      </w:tblGrid>
      <w:tr>
        <w:trPr>
          <w:tblHeader w:val="true"/>
        </w:trPr>
        <w:tc>
          <w:tcPr>
            <w:tcW w:type="dxa" w:w="1361"/>
            <w:shd w:val="clear" w:color="auto" w:fill="E8EDF2"/>
          </w:tcPr>
          <w:p>
            <w:pPr>
              <w:spacing w:after="0"/>
              <w:jc w:val="left"/>
            </w:pPr>
            <w:r>
              <w:rPr>
                <w:rFonts w:ascii="Calibri" w:hAnsi="Calibri"/>
                <w:b/>
                <w:color w:val="1A1A1A"/>
                <w:sz w:val="18"/>
              </w:rPr>
              <w:t>ID</w:t>
            </w:r>
          </w:p>
        </w:tc>
        <w:tc>
          <w:tcPr>
            <w:tcW w:type="dxa" w:w="4535"/>
            <w:shd w:val="clear" w:color="auto" w:fill="E8EDF2"/>
          </w:tcPr>
          <w:p>
            <w:pPr>
              <w:spacing w:after="0"/>
              <w:jc w:val="left"/>
            </w:pPr>
            <w:r>
              <w:rPr>
                <w:rFonts w:ascii="Calibri" w:hAnsi="Calibri"/>
                <w:b/>
                <w:color w:val="1A1A1A"/>
                <w:sz w:val="18"/>
              </w:rPr>
              <w:t>Requirement</w:t>
            </w:r>
          </w:p>
        </w:tc>
        <w:tc>
          <w:tcPr>
            <w:tcW w:type="dxa" w:w="4422"/>
            <w:shd w:val="clear" w:color="auto" w:fill="E8EDF2"/>
          </w:tcPr>
          <w:p>
            <w:pPr>
              <w:spacing w:after="0"/>
              <w:jc w:val="left"/>
            </w:pPr>
            <w:r>
              <w:rPr>
                <w:rFonts w:ascii="Calibri" w:hAnsi="Calibri"/>
                <w:b/>
                <w:color w:val="1A1A1A"/>
                <w:sz w:val="18"/>
              </w:rPr>
              <w:t>Measure</w:t>
            </w:r>
          </w:p>
        </w:tc>
      </w:tr>
      <w:tr>
        <w:tc>
          <w:tcPr>
            <w:tcW w:type="dxa" w:w="1361"/>
          </w:tcPr>
          <w:p>
            <w:pPr>
              <w:spacing w:after="0" w:line="252" w:lineRule="auto"/>
              <w:jc w:val="left"/>
            </w:pPr>
            <w:r>
              <w:rPr>
                <w:rFonts w:ascii="Calibri" w:hAnsi="Calibri"/>
                <w:color w:val="1A1A1A"/>
                <w:sz w:val="18"/>
              </w:rPr>
              <w:t>NFR-PERF-01</w:t>
            </w:r>
          </w:p>
        </w:tc>
        <w:tc>
          <w:tcPr>
            <w:tcW w:type="dxa" w:w="4535"/>
          </w:tcPr>
          <w:p>
            <w:pPr>
              <w:spacing w:after="0" w:line="252" w:lineRule="auto"/>
              <w:jc w:val="left"/>
            </w:pPr>
            <w:r>
              <w:rPr>
                <w:rFonts w:ascii="Calibri" w:hAnsi="Calibri"/>
                <w:color w:val="1A1A1A"/>
                <w:sz w:val="18"/>
              </w:rPr>
              <w:t>List views return within 500 ms at the 95th percentile for 100,000 contacts, 20,000 accounts and 20,000 opportunities</w:t>
            </w:r>
          </w:p>
        </w:tc>
        <w:tc>
          <w:tcPr>
            <w:tcW w:type="dxa" w:w="4422"/>
          </w:tcPr>
          <w:p>
            <w:pPr>
              <w:spacing w:after="0" w:line="252" w:lineRule="auto"/>
              <w:jc w:val="left"/>
            </w:pPr>
            <w:r>
              <w:rPr>
                <w:rFonts w:ascii="Calibri" w:hAnsi="Calibri"/>
                <w:color w:val="1A1A1A"/>
                <w:sz w:val="18"/>
              </w:rPr>
              <w:t>Load-tested</w:t>
            </w:r>
          </w:p>
        </w:tc>
      </w:tr>
      <w:tr>
        <w:tc>
          <w:tcPr>
            <w:tcW w:type="dxa" w:w="1361"/>
            <w:shd w:val="clear" w:color="auto" w:fill="FAFBFC"/>
          </w:tcPr>
          <w:p>
            <w:pPr>
              <w:spacing w:after="0" w:line="252" w:lineRule="auto"/>
              <w:jc w:val="left"/>
            </w:pPr>
            <w:r>
              <w:rPr>
                <w:rFonts w:ascii="Calibri" w:hAnsi="Calibri"/>
                <w:color w:val="1A1A1A"/>
                <w:sz w:val="18"/>
              </w:rPr>
              <w:t>NFR-PERF-02</w:t>
            </w:r>
          </w:p>
        </w:tc>
        <w:tc>
          <w:tcPr>
            <w:tcW w:type="dxa" w:w="4535"/>
            <w:shd w:val="clear" w:color="auto" w:fill="FAFBFC"/>
          </w:tcPr>
          <w:p>
            <w:pPr>
              <w:spacing w:after="0" w:line="252" w:lineRule="auto"/>
              <w:jc w:val="left"/>
            </w:pPr>
            <w:r>
              <w:rPr>
                <w:rFonts w:ascii="Calibri" w:hAnsi="Calibri"/>
                <w:color w:val="1A1A1A"/>
                <w:sz w:val="18"/>
              </w:rPr>
              <w:t>Dashboard widgets render within 2 s at the 95th percentile; a scheduled digest renders within 30 s</w:t>
            </w:r>
          </w:p>
        </w:tc>
        <w:tc>
          <w:tcPr>
            <w:tcW w:type="dxa" w:w="4422"/>
            <w:shd w:val="clear" w:color="auto" w:fill="FAFBFC"/>
          </w:tcPr>
          <w:p>
            <w:pPr>
              <w:spacing w:after="0" w:line="252" w:lineRule="auto"/>
              <w:jc w:val="left"/>
            </w:pPr>
            <w:r>
              <w:rPr>
                <w:rFonts w:ascii="Calibri" w:hAnsi="Calibri"/>
                <w:color w:val="1A1A1A"/>
                <w:sz w:val="18"/>
              </w:rPr>
              <w:t>Measured</w:t>
            </w:r>
          </w:p>
        </w:tc>
      </w:tr>
      <w:tr>
        <w:tc>
          <w:tcPr>
            <w:tcW w:type="dxa" w:w="1361"/>
          </w:tcPr>
          <w:p>
            <w:pPr>
              <w:spacing w:after="0" w:line="252" w:lineRule="auto"/>
              <w:jc w:val="left"/>
            </w:pPr>
            <w:r>
              <w:rPr>
                <w:rFonts w:ascii="Calibri" w:hAnsi="Calibri"/>
                <w:color w:val="1A1A1A"/>
                <w:sz w:val="18"/>
              </w:rPr>
              <w:t>NFR-PERF-03</w:t>
            </w:r>
          </w:p>
        </w:tc>
        <w:tc>
          <w:tcPr>
            <w:tcW w:type="dxa" w:w="4535"/>
          </w:tcPr>
          <w:p>
            <w:pPr>
              <w:spacing w:after="0" w:line="252" w:lineRule="auto"/>
              <w:jc w:val="left"/>
            </w:pPr>
            <w:r>
              <w:rPr>
                <w:rFonts w:ascii="Calibri" w:hAnsi="Calibri"/>
                <w:color w:val="1A1A1A"/>
                <w:sz w:val="18"/>
              </w:rPr>
              <w:t>An estimate recalculation returns within 1 s; a feasibility check within 3 s</w:t>
            </w:r>
          </w:p>
        </w:tc>
        <w:tc>
          <w:tcPr>
            <w:tcW w:type="dxa" w:w="4422"/>
          </w:tcPr>
          <w:p>
            <w:pPr>
              <w:spacing w:after="0" w:line="252" w:lineRule="auto"/>
              <w:jc w:val="left"/>
            </w:pPr>
            <w:r>
              <w:rPr>
                <w:rFonts w:ascii="Calibri" w:hAnsi="Calibri"/>
                <w:color w:val="1A1A1A"/>
                <w:sz w:val="18"/>
              </w:rPr>
              <w:t>Measured</w:t>
            </w:r>
          </w:p>
        </w:tc>
      </w:tr>
      <w:tr>
        <w:tc>
          <w:tcPr>
            <w:tcW w:type="dxa" w:w="1361"/>
            <w:shd w:val="clear" w:color="auto" w:fill="FAFBFC"/>
          </w:tcPr>
          <w:p>
            <w:pPr>
              <w:spacing w:after="0" w:line="252" w:lineRule="auto"/>
              <w:jc w:val="left"/>
            </w:pPr>
            <w:r>
              <w:rPr>
                <w:rFonts w:ascii="Calibri" w:hAnsi="Calibri"/>
                <w:color w:val="1A1A1A"/>
                <w:sz w:val="18"/>
              </w:rPr>
              <w:t>NFR-PERF-04</w:t>
            </w:r>
          </w:p>
        </w:tc>
        <w:tc>
          <w:tcPr>
            <w:tcW w:type="dxa" w:w="4535"/>
            <w:shd w:val="clear" w:color="auto" w:fill="FAFBFC"/>
          </w:tcPr>
          <w:p>
            <w:pPr>
              <w:spacing w:after="0" w:line="252" w:lineRule="auto"/>
              <w:jc w:val="left"/>
            </w:pPr>
            <w:r>
              <w:rPr>
                <w:rFonts w:ascii="Calibri" w:hAnsi="Calibri"/>
                <w:color w:val="1A1A1A"/>
                <w:sz w:val="18"/>
              </w:rPr>
              <w:t>AI assistant SQL queries are capped at 500 rows and 5 seconds</w:t>
            </w:r>
          </w:p>
        </w:tc>
        <w:tc>
          <w:tcPr>
            <w:tcW w:type="dxa" w:w="4422"/>
            <w:shd w:val="clear" w:color="auto" w:fill="FAFBFC"/>
          </w:tcPr>
          <w:p>
            <w:pPr>
              <w:spacing w:after="0" w:line="252" w:lineRule="auto"/>
              <w:jc w:val="left"/>
            </w:pPr>
            <w:r>
              <w:rPr>
                <w:rFonts w:ascii="Calibri" w:hAnsi="Calibri"/>
                <w:b/>
                <w:color w:val="1E6B33"/>
                <w:sz w:val="18"/>
              </w:rPr>
              <w:t>EXISTS</w:t>
            </w:r>
            <w:r>
              <w:rPr>
                <w:rFonts w:ascii="Calibri" w:hAnsi="Calibri"/>
                <w:color w:val="1E6B33"/>
                <w:sz w:val="18"/>
              </w:rPr>
              <w:t xml:space="preserve"> — enforced in </w:t>
            </w:r>
            <w:r>
              <w:rPr>
                <w:rFonts w:ascii="Calibri" w:hAnsi="Calibri"/>
                <w:color w:val="1F4E79"/>
                <w:sz w:val="18"/>
                <w:u w:val="single"/>
              </w:rPr>
              <w:t>sql-safety.service.ts</w:t>
            </w:r>
          </w:p>
        </w:tc>
      </w:tr>
      <w:tr>
        <w:tc>
          <w:tcPr>
            <w:tcW w:type="dxa" w:w="1361"/>
          </w:tcPr>
          <w:p>
            <w:pPr>
              <w:spacing w:after="0" w:line="252" w:lineRule="auto"/>
              <w:jc w:val="left"/>
            </w:pPr>
            <w:r>
              <w:rPr>
                <w:rFonts w:ascii="Calibri" w:hAnsi="Calibri"/>
                <w:color w:val="1A1A1A"/>
                <w:sz w:val="18"/>
              </w:rPr>
              <w:t>NFR-PERF-05</w:t>
            </w:r>
          </w:p>
        </w:tc>
        <w:tc>
          <w:tcPr>
            <w:tcW w:type="dxa" w:w="4535"/>
          </w:tcPr>
          <w:p>
            <w:pPr>
              <w:spacing w:after="0" w:line="252" w:lineRule="auto"/>
              <w:jc w:val="left"/>
            </w:pPr>
            <w:r>
              <w:rPr>
                <w:rFonts w:ascii="Calibri" w:hAnsi="Calibri"/>
                <w:color w:val="1A1A1A"/>
                <w:sz w:val="18"/>
              </w:rPr>
              <w:t>Exports are bounded — 5,000 contacts, 10,000 activity rows — and the bound is stated in the output</w:t>
            </w:r>
          </w:p>
        </w:tc>
        <w:tc>
          <w:tcPr>
            <w:tcW w:type="dxa" w:w="4422"/>
          </w:tcPr>
          <w:p>
            <w:pPr>
              <w:spacing w:after="0" w:line="252" w:lineRule="auto"/>
              <w:jc w:val="left"/>
            </w:pPr>
            <w:r>
              <w:rPr>
                <w:rFonts w:ascii="Calibri" w:hAnsi="Calibri"/>
                <w:b/>
                <w:color w:val="1E6B33"/>
                <w:sz w:val="18"/>
              </w:rPr>
              <w:t>EXISTS</w:t>
            </w:r>
          </w:p>
        </w:tc>
      </w:tr>
      <w:tr>
        <w:tc>
          <w:tcPr>
            <w:tcW w:type="dxa" w:w="1361"/>
            <w:shd w:val="clear" w:color="auto" w:fill="FAFBFC"/>
          </w:tcPr>
          <w:p>
            <w:pPr>
              <w:spacing w:after="0" w:line="252" w:lineRule="auto"/>
              <w:jc w:val="left"/>
            </w:pPr>
            <w:r>
              <w:rPr>
                <w:rFonts w:ascii="Calibri" w:hAnsi="Calibri"/>
                <w:color w:val="1A1A1A"/>
                <w:sz w:val="18"/>
              </w:rPr>
              <w:t>NFR-PERF-06</w:t>
            </w:r>
          </w:p>
        </w:tc>
        <w:tc>
          <w:tcPr>
            <w:tcW w:type="dxa" w:w="4535"/>
            <w:shd w:val="clear" w:color="auto" w:fill="FAFBFC"/>
          </w:tcPr>
          <w:p>
            <w:pPr>
              <w:spacing w:after="0" w:line="252" w:lineRule="auto"/>
              <w:jc w:val="left"/>
            </w:pPr>
            <w:r>
              <w:rPr>
                <w:rFonts w:ascii="Calibri" w:hAnsi="Calibri"/>
                <w:color w:val="1A1A1A"/>
                <w:sz w:val="18"/>
              </w:rPr>
              <w:t>Every predicate used for filtering, soft-delete exclusion and visibility scoping is indexed</w:t>
            </w:r>
          </w:p>
        </w:tc>
        <w:tc>
          <w:tcPr>
            <w:tcW w:type="dxa" w:w="4422"/>
            <w:shd w:val="clear" w:color="auto" w:fill="FAFBFC"/>
          </w:tcPr>
          <w:p>
            <w:pPr>
              <w:spacing w:after="0" w:line="252" w:lineRule="auto"/>
              <w:jc w:val="left"/>
            </w:pPr>
            <w:r>
              <w:rPr>
                <w:rFonts w:ascii="Calibri" w:hAnsi="Calibri"/>
                <w:color w:val="1A1A1A"/>
                <w:sz w:val="18"/>
              </w:rPr>
              <w:t>Verified by query plan review</w:t>
            </w:r>
          </w:p>
        </w:tc>
      </w:tr>
    </w:tbl>
    <w:p>
      <w:pPr>
        <w:spacing w:after="80"/>
      </w:pPr>
    </w:p>
    <w:p>
      <w:pPr>
        <w:pStyle w:val="Heading2"/>
      </w:pPr>
      <w:r>
        <w:t>Availability and resilience</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439"/>
        <w:gridCol w:w="3439"/>
        <w:gridCol w:w="3439"/>
      </w:tblGrid>
      <w:tr>
        <w:trPr>
          <w:tblHeader w:val="true"/>
        </w:trPr>
        <w:tc>
          <w:tcPr>
            <w:tcW w:type="dxa" w:w="1361"/>
            <w:shd w:val="clear" w:color="auto" w:fill="E8EDF2"/>
          </w:tcPr>
          <w:p>
            <w:pPr>
              <w:spacing w:after="0"/>
              <w:jc w:val="left"/>
            </w:pPr>
            <w:r>
              <w:rPr>
                <w:rFonts w:ascii="Calibri" w:hAnsi="Calibri"/>
                <w:b/>
                <w:color w:val="1A1A1A"/>
                <w:sz w:val="18"/>
              </w:rPr>
              <w:t>ID</w:t>
            </w:r>
          </w:p>
        </w:tc>
        <w:tc>
          <w:tcPr>
            <w:tcW w:type="dxa" w:w="4535"/>
            <w:shd w:val="clear" w:color="auto" w:fill="E8EDF2"/>
          </w:tcPr>
          <w:p>
            <w:pPr>
              <w:spacing w:after="0"/>
              <w:jc w:val="left"/>
            </w:pPr>
            <w:r>
              <w:rPr>
                <w:rFonts w:ascii="Calibri" w:hAnsi="Calibri"/>
                <w:b/>
                <w:color w:val="1A1A1A"/>
                <w:sz w:val="18"/>
              </w:rPr>
              <w:t>Requirement</w:t>
            </w:r>
          </w:p>
        </w:tc>
        <w:tc>
          <w:tcPr>
            <w:tcW w:type="dxa" w:w="4422"/>
            <w:shd w:val="clear" w:color="auto" w:fill="E8EDF2"/>
          </w:tcPr>
          <w:p>
            <w:pPr>
              <w:spacing w:after="0"/>
              <w:jc w:val="left"/>
            </w:pPr>
            <w:r>
              <w:rPr>
                <w:rFonts w:ascii="Calibri" w:hAnsi="Calibri"/>
                <w:b/>
                <w:color w:val="1A1A1A"/>
                <w:sz w:val="18"/>
              </w:rPr>
              <w:t>Measure</w:t>
            </w:r>
          </w:p>
        </w:tc>
      </w:tr>
      <w:tr>
        <w:tc>
          <w:tcPr>
            <w:tcW w:type="dxa" w:w="1361"/>
          </w:tcPr>
          <w:p>
            <w:pPr>
              <w:spacing w:after="0" w:line="252" w:lineRule="auto"/>
              <w:jc w:val="left"/>
            </w:pPr>
            <w:r>
              <w:rPr>
                <w:rFonts w:ascii="Calibri" w:hAnsi="Calibri"/>
                <w:color w:val="1A1A1A"/>
                <w:sz w:val="18"/>
              </w:rPr>
              <w:t>NFR-AVL-01</w:t>
            </w:r>
          </w:p>
        </w:tc>
        <w:tc>
          <w:tcPr>
            <w:tcW w:type="dxa" w:w="4535"/>
          </w:tcPr>
          <w:p>
            <w:pPr>
              <w:spacing w:after="0" w:line="252" w:lineRule="auto"/>
              <w:jc w:val="left"/>
            </w:pPr>
            <w:r>
              <w:rPr>
                <w:rFonts w:ascii="Calibri" w:hAnsi="Calibri"/>
                <w:color w:val="1A1A1A"/>
                <w:sz w:val="18"/>
              </w:rPr>
              <w:t>Target 99.5% monthly availability for the application</w:t>
            </w:r>
          </w:p>
        </w:tc>
        <w:tc>
          <w:tcPr>
            <w:tcW w:type="dxa" w:w="4422"/>
          </w:tcPr>
          <w:p>
            <w:pPr>
              <w:spacing w:after="0" w:line="252" w:lineRule="auto"/>
              <w:jc w:val="left"/>
            </w:pPr>
            <w:r>
              <w:rPr>
                <w:rFonts w:ascii="Calibri" w:hAnsi="Calibri"/>
                <w:color w:val="1A1A1A"/>
                <w:sz w:val="18"/>
              </w:rPr>
              <w:t xml:space="preserve">Measured against the </w:t>
            </w:r>
            <w:r>
              <w:rPr>
                <w:rFonts w:ascii="Consolas" w:hAnsi="Consolas"/>
                <w:color w:val="8B2E2E"/>
                <w:sz w:val="18"/>
              </w:rPr>
              <w:t>/api/health</w:t>
            </w:r>
            <w:r>
              <w:rPr>
                <w:rFonts w:ascii="Calibri" w:hAnsi="Calibri"/>
                <w:color w:val="1A1A1A"/>
                <w:sz w:val="18"/>
              </w:rPr>
              <w:t xml:space="preserve"> endpoint</w:t>
            </w:r>
          </w:p>
        </w:tc>
      </w:tr>
      <w:tr>
        <w:tc>
          <w:tcPr>
            <w:tcW w:type="dxa" w:w="1361"/>
            <w:shd w:val="clear" w:color="auto" w:fill="FAFBFC"/>
          </w:tcPr>
          <w:p>
            <w:pPr>
              <w:spacing w:after="0" w:line="252" w:lineRule="auto"/>
              <w:jc w:val="left"/>
            </w:pPr>
            <w:r>
              <w:rPr>
                <w:rFonts w:ascii="Calibri" w:hAnsi="Calibri"/>
                <w:color w:val="1A1A1A"/>
                <w:sz w:val="18"/>
              </w:rPr>
              <w:t>NFR-AVL-02</w:t>
            </w:r>
          </w:p>
        </w:tc>
        <w:tc>
          <w:tcPr>
            <w:tcW w:type="dxa" w:w="4535"/>
            <w:shd w:val="clear" w:color="auto" w:fill="FAFBFC"/>
          </w:tcPr>
          <w:p>
            <w:pPr>
              <w:spacing w:after="0" w:line="252" w:lineRule="auto"/>
              <w:jc w:val="left"/>
            </w:pPr>
            <w:r>
              <w:rPr>
                <w:rFonts w:ascii="Calibri" w:hAnsi="Calibri"/>
                <w:color w:val="1A1A1A"/>
                <w:sz w:val="18"/>
              </w:rPr>
              <w:t>Email delivery fails over from primary to secondary provider automatically, with one retry and no retry on rate limit</w:t>
            </w:r>
          </w:p>
        </w:tc>
        <w:tc>
          <w:tcPr>
            <w:tcW w:type="dxa" w:w="4422"/>
            <w:shd w:val="clear" w:color="auto" w:fill="FAFBFC"/>
          </w:tcPr>
          <w:p>
            <w:pPr>
              <w:spacing w:after="0" w:line="252" w:lineRule="auto"/>
              <w:jc w:val="left"/>
            </w:pPr>
            <w:r>
              <w:rPr>
                <w:rFonts w:ascii="Calibri" w:hAnsi="Calibri"/>
                <w:b/>
                <w:color w:val="1E6B33"/>
                <w:sz w:val="18"/>
              </w:rPr>
              <w:t>EXISTS</w:t>
            </w:r>
            <w:r>
              <w:rPr>
                <w:rFonts w:ascii="Calibri" w:hAnsi="Calibri"/>
                <w:color w:val="1E6B33"/>
                <w:sz w:val="18"/>
              </w:rPr>
              <w:t xml:space="preserve"> — </w:t>
            </w:r>
            <w:r>
              <w:rPr>
                <w:rFonts w:ascii="Calibri" w:hAnsi="Calibri"/>
                <w:color w:val="1F4E79"/>
                <w:sz w:val="18"/>
                <w:u w:val="single"/>
              </w:rPr>
              <w:t>mailer.ts</w:t>
            </w:r>
          </w:p>
        </w:tc>
      </w:tr>
      <w:tr>
        <w:tc>
          <w:tcPr>
            <w:tcW w:type="dxa" w:w="1361"/>
          </w:tcPr>
          <w:p>
            <w:pPr>
              <w:spacing w:after="0" w:line="252" w:lineRule="auto"/>
              <w:jc w:val="left"/>
            </w:pPr>
            <w:r>
              <w:rPr>
                <w:rFonts w:ascii="Calibri" w:hAnsi="Calibri"/>
                <w:color w:val="1A1A1A"/>
                <w:sz w:val="18"/>
              </w:rPr>
              <w:t>NFR-AVL-03</w:t>
            </w:r>
          </w:p>
        </w:tc>
        <w:tc>
          <w:tcPr>
            <w:tcW w:type="dxa" w:w="4535"/>
          </w:tcPr>
          <w:p>
            <w:pPr>
              <w:spacing w:after="0" w:line="252" w:lineRule="auto"/>
              <w:jc w:val="left"/>
            </w:pPr>
            <w:r>
              <w:rPr>
                <w:rFonts w:ascii="Calibri" w:hAnsi="Calibri"/>
                <w:color w:val="1A1A1A"/>
                <w:sz w:val="18"/>
              </w:rPr>
              <w:t>Scheduled jobs are idempotent and guarded against double-registration and double-firing on manual run</w:t>
            </w:r>
          </w:p>
        </w:tc>
        <w:tc>
          <w:tcPr>
            <w:tcW w:type="dxa" w:w="4422"/>
          </w:tcPr>
          <w:p>
            <w:pPr>
              <w:spacing w:after="0" w:line="252" w:lineRule="auto"/>
              <w:jc w:val="left"/>
            </w:pPr>
            <w:r>
              <w:rPr>
                <w:rFonts w:ascii="Calibri" w:hAnsi="Calibri"/>
                <w:b/>
                <w:color w:val="1E6B33"/>
                <w:sz w:val="18"/>
              </w:rPr>
              <w:t>EXISTS</w:t>
            </w:r>
            <w:r>
              <w:rPr>
                <w:rFonts w:ascii="Calibri" w:hAnsi="Calibri"/>
                <w:color w:val="1E6B33"/>
                <w:sz w:val="18"/>
              </w:rPr>
              <w:t xml:space="preserve"> — </w:t>
            </w:r>
            <w:r>
              <w:rPr>
                <w:rFonts w:ascii="Calibri" w:hAnsi="Calibri"/>
                <w:color w:val="1F4E79"/>
                <w:sz w:val="18"/>
                <w:u w:val="single"/>
              </w:rPr>
              <w:t>cron.ts</w:t>
            </w:r>
            <w:r>
              <w:rPr>
                <w:rFonts w:ascii="Calibri" w:hAnsi="Calibri"/>
                <w:color w:val="1E6B33"/>
                <w:sz w:val="18"/>
              </w:rPr>
              <w:t xml:space="preserve">, </w:t>
            </w:r>
            <w:r>
              <w:rPr>
                <w:rFonts w:ascii="Consolas" w:hAnsi="Consolas"/>
                <w:color w:val="8B2E2E"/>
                <w:sz w:val="18"/>
              </w:rPr>
              <w:t>automation_config</w:t>
            </w:r>
          </w:p>
        </w:tc>
      </w:tr>
      <w:tr>
        <w:tc>
          <w:tcPr>
            <w:tcW w:type="dxa" w:w="1361"/>
            <w:shd w:val="clear" w:color="auto" w:fill="FAFBFC"/>
          </w:tcPr>
          <w:p>
            <w:pPr>
              <w:spacing w:after="0" w:line="252" w:lineRule="auto"/>
              <w:jc w:val="left"/>
            </w:pPr>
            <w:r>
              <w:rPr>
                <w:rFonts w:ascii="Calibri" w:hAnsi="Calibri"/>
                <w:color w:val="1A1A1A"/>
                <w:sz w:val="18"/>
              </w:rPr>
              <w:t>NFR-AVL-04</w:t>
            </w:r>
          </w:p>
        </w:tc>
        <w:tc>
          <w:tcPr>
            <w:tcW w:type="dxa" w:w="4535"/>
            <w:shd w:val="clear" w:color="auto" w:fill="FAFBFC"/>
          </w:tcPr>
          <w:p>
            <w:pPr>
              <w:spacing w:after="0" w:line="252" w:lineRule="auto"/>
              <w:jc w:val="left"/>
            </w:pPr>
            <w:r>
              <w:rPr>
                <w:rFonts w:ascii="Calibri" w:hAnsi="Calibri"/>
                <w:color w:val="1A1A1A"/>
                <w:sz w:val="18"/>
              </w:rPr>
              <w:t xml:space="preserve">API responses must remain unbuffered and uncompressed on </w:t>
            </w:r>
            <w:r>
              <w:rPr>
                <w:rFonts w:ascii="Consolas" w:hAnsi="Consolas"/>
                <w:color w:val="8B2E2E"/>
                <w:sz w:val="18"/>
              </w:rPr>
              <w:t>/api/*</w:t>
            </w:r>
          </w:p>
        </w:tc>
        <w:tc>
          <w:tcPr>
            <w:tcW w:type="dxa" w:w="4422"/>
            <w:shd w:val="clear" w:color="auto" w:fill="FAFBFC"/>
          </w:tcPr>
          <w:p>
            <w:pPr>
              <w:spacing w:after="0" w:line="252" w:lineRule="auto"/>
              <w:jc w:val="left"/>
            </w:pPr>
            <w:r>
              <w:rPr>
                <w:rFonts w:ascii="Calibri" w:hAnsi="Calibri"/>
                <w:b/>
                <w:color w:val="1A1A1A"/>
                <w:sz w:val="18"/>
              </w:rPr>
              <w:t>EXISTS and must be preserved.</w:t>
            </w:r>
            <w:r>
              <w:rPr>
                <w:rFonts w:ascii="Calibri" w:hAnsi="Calibri"/>
                <w:color w:val="1A1A1A"/>
                <w:sz w:val="18"/>
              </w:rPr>
              <w:t xml:space="preserve"> </w:t>
            </w:r>
            <w:r>
              <w:rPr>
                <w:rFonts w:ascii="Consolas" w:hAnsi="Consolas"/>
                <w:color w:val="8B2E2E"/>
                <w:sz w:val="18"/>
              </w:rPr>
              <w:t>Cache-Control: no-store</w:t>
            </w:r>
            <w:r>
              <w:rPr>
                <w:rFonts w:ascii="Calibri" w:hAnsi="Calibri"/>
                <w:color w:val="1A1A1A"/>
                <w:sz w:val="18"/>
              </w:rPr>
              <w:t xml:space="preserve">, </w:t>
            </w:r>
            <w:r>
              <w:rPr>
                <w:rFonts w:ascii="Consolas" w:hAnsi="Consolas"/>
                <w:color w:val="8B2E2E"/>
                <w:sz w:val="18"/>
              </w:rPr>
              <w:t>X-Accel-Buffering: no</w:t>
            </w:r>
            <w:r>
              <w:rPr>
                <w:rFonts w:ascii="Calibri" w:hAnsi="Calibri"/>
                <w:color w:val="1A1A1A"/>
                <w:sz w:val="18"/>
              </w:rPr>
              <w:t xml:space="preserve">, </w:t>
            </w:r>
            <w:r>
              <w:rPr>
                <w:rFonts w:ascii="Consolas" w:hAnsi="Consolas"/>
                <w:color w:val="8B2E2E"/>
                <w:sz w:val="18"/>
              </w:rPr>
              <w:t>compress: false</w:t>
            </w:r>
            <w:r>
              <w:rPr>
                <w:rFonts w:ascii="Calibri" w:hAnsi="Calibri"/>
                <w:color w:val="1A1A1A"/>
                <w:sz w:val="18"/>
              </w:rPr>
              <w:t xml:space="preserve"> are a deliberate workaround for transparent proxies at Indian carriers mangling compressed and buffered responses. See </w:t>
            </w:r>
            <w:r>
              <w:rPr>
                <w:rFonts w:ascii="Calibri" w:hAnsi="Calibri"/>
                <w:color w:val="1F4E79"/>
                <w:sz w:val="18"/>
                <w:u w:val="single"/>
              </w:rPr>
              <w:t>src/proxy.ts</w:t>
            </w:r>
            <w:r>
              <w:rPr>
                <w:rFonts w:ascii="Calibri" w:hAnsi="Calibri"/>
                <w:color w:val="1A1A1A"/>
                <w:sz w:val="18"/>
              </w:rPr>
              <w:t xml:space="preserve"> and </w:t>
            </w:r>
            <w:r>
              <w:rPr>
                <w:rFonts w:ascii="Calibri" w:hAnsi="Calibri"/>
                <w:color w:val="1F4E79"/>
                <w:sz w:val="18"/>
                <w:u w:val="single"/>
              </w:rPr>
              <w:t>next.config.ts</w:t>
            </w:r>
            <w:r>
              <w:rPr>
                <w:rFonts w:ascii="Calibri" w:hAnsi="Calibri"/>
                <w:color w:val="1A1A1A"/>
                <w:sz w:val="18"/>
              </w:rPr>
              <w:t>. This is a requirement, not cruft</w:t>
            </w:r>
          </w:p>
        </w:tc>
      </w:tr>
      <w:tr>
        <w:tc>
          <w:tcPr>
            <w:tcW w:type="dxa" w:w="1361"/>
          </w:tcPr>
          <w:p>
            <w:pPr>
              <w:spacing w:after="0" w:line="252" w:lineRule="auto"/>
              <w:jc w:val="left"/>
            </w:pPr>
            <w:r>
              <w:rPr>
                <w:rFonts w:ascii="Calibri" w:hAnsi="Calibri"/>
                <w:color w:val="1A1A1A"/>
                <w:sz w:val="18"/>
              </w:rPr>
              <w:t>NFR-AVL-05</w:t>
            </w:r>
          </w:p>
        </w:tc>
        <w:tc>
          <w:tcPr>
            <w:tcW w:type="dxa" w:w="4535"/>
          </w:tcPr>
          <w:p>
            <w:pPr>
              <w:spacing w:after="0" w:line="252" w:lineRule="auto"/>
              <w:jc w:val="left"/>
            </w:pPr>
            <w:r>
              <w:rPr>
                <w:rFonts w:ascii="Calibri" w:hAnsi="Calibri"/>
                <w:color w:val="1A1A1A"/>
                <w:sz w:val="18"/>
              </w:rPr>
              <w:t>Database migrations apply automatically on deploy and are forward-only</w:t>
            </w:r>
          </w:p>
        </w:tc>
        <w:tc>
          <w:tcPr>
            <w:tcW w:type="dxa" w:w="4422"/>
          </w:tcPr>
          <w:p>
            <w:pPr>
              <w:spacing w:after="0" w:line="252" w:lineRule="auto"/>
              <w:jc w:val="left"/>
            </w:pPr>
            <w:r>
              <w:rPr>
                <w:rFonts w:ascii="Calibri" w:hAnsi="Calibri"/>
                <w:b/>
                <w:color w:val="1E6B33"/>
                <w:sz w:val="18"/>
              </w:rPr>
              <w:t>EXISTS</w:t>
            </w:r>
            <w:r>
              <w:rPr>
                <w:rFonts w:ascii="Calibri" w:hAnsi="Calibri"/>
                <w:color w:val="1E6B33"/>
                <w:sz w:val="18"/>
              </w:rPr>
              <w:t xml:space="preserve"> — </w:t>
            </w:r>
            <w:r>
              <w:rPr>
                <w:rFonts w:ascii="Consolas" w:hAnsi="Consolas"/>
                <w:color w:val="8B2E2E"/>
                <w:sz w:val="18"/>
              </w:rPr>
              <w:t>npm run db:migrate &amp;&amp; npm start</w:t>
            </w:r>
          </w:p>
        </w:tc>
      </w:tr>
      <w:tr>
        <w:tc>
          <w:tcPr>
            <w:tcW w:type="dxa" w:w="1361"/>
            <w:shd w:val="clear" w:color="auto" w:fill="FAFBFC"/>
          </w:tcPr>
          <w:p>
            <w:pPr>
              <w:spacing w:after="0" w:line="252" w:lineRule="auto"/>
              <w:jc w:val="left"/>
            </w:pPr>
            <w:r>
              <w:rPr>
                <w:rFonts w:ascii="Calibri" w:hAnsi="Calibri"/>
                <w:color w:val="1A1A1A"/>
                <w:sz w:val="18"/>
              </w:rPr>
              <w:t>NFR-AVL-06</w:t>
            </w:r>
          </w:p>
        </w:tc>
        <w:tc>
          <w:tcPr>
            <w:tcW w:type="dxa" w:w="4535"/>
            <w:shd w:val="clear" w:color="auto" w:fill="FAFBFC"/>
          </w:tcPr>
          <w:p>
            <w:pPr>
              <w:spacing w:after="0" w:line="252" w:lineRule="auto"/>
              <w:jc w:val="left"/>
            </w:pPr>
            <w:r>
              <w:rPr>
                <w:rFonts w:ascii="Calibri" w:hAnsi="Calibri"/>
                <w:color w:val="1A1A1A"/>
                <w:sz w:val="18"/>
              </w:rPr>
              <w:t>Backup with a stated recovery point and recovery time objective</w:t>
            </w:r>
          </w:p>
        </w:tc>
        <w:tc>
          <w:tcPr>
            <w:tcW w:type="dxa" w:w="4422"/>
            <w:shd w:val="clear" w:color="auto" w:fill="FAFBFC"/>
          </w:tcPr>
          <w:p>
            <w:pPr>
              <w:spacing w:after="0" w:line="252" w:lineRule="auto"/>
              <w:jc w:val="left"/>
            </w:pPr>
            <w:r>
              <w:rPr>
                <w:rFonts w:ascii="Calibri" w:hAnsi="Calibri"/>
                <w:color w:val="1A1A1A"/>
                <w:sz w:val="18"/>
              </w:rPr>
              <w:t>Documented and tested by restore</w:t>
            </w:r>
          </w:p>
        </w:tc>
      </w:tr>
    </w:tbl>
    <w:p>
      <w:pPr>
        <w:spacing w:after="80"/>
      </w:pPr>
    </w:p>
    <w:p>
      <w:pPr>
        <w:pStyle w:val="Heading2"/>
      </w:pPr>
      <w:r>
        <w:t>Data quality and integrity</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439"/>
        <w:gridCol w:w="3439"/>
        <w:gridCol w:w="3439"/>
      </w:tblGrid>
      <w:tr>
        <w:trPr>
          <w:tblHeader w:val="true"/>
        </w:trPr>
        <w:tc>
          <w:tcPr>
            <w:tcW w:type="dxa" w:w="1361"/>
            <w:shd w:val="clear" w:color="auto" w:fill="E8EDF2"/>
          </w:tcPr>
          <w:p>
            <w:pPr>
              <w:spacing w:after="0"/>
              <w:jc w:val="left"/>
            </w:pPr>
            <w:r>
              <w:rPr>
                <w:rFonts w:ascii="Calibri" w:hAnsi="Calibri"/>
                <w:b/>
                <w:color w:val="1A1A1A"/>
                <w:sz w:val="18"/>
              </w:rPr>
              <w:t>ID</w:t>
            </w:r>
          </w:p>
        </w:tc>
        <w:tc>
          <w:tcPr>
            <w:tcW w:type="dxa" w:w="4535"/>
            <w:shd w:val="clear" w:color="auto" w:fill="E8EDF2"/>
          </w:tcPr>
          <w:p>
            <w:pPr>
              <w:spacing w:after="0"/>
              <w:jc w:val="left"/>
            </w:pPr>
            <w:r>
              <w:rPr>
                <w:rFonts w:ascii="Calibri" w:hAnsi="Calibri"/>
                <w:b/>
                <w:color w:val="1A1A1A"/>
                <w:sz w:val="18"/>
              </w:rPr>
              <w:t>Requirement</w:t>
            </w:r>
          </w:p>
        </w:tc>
        <w:tc>
          <w:tcPr>
            <w:tcW w:type="dxa" w:w="4422"/>
            <w:shd w:val="clear" w:color="auto" w:fill="E8EDF2"/>
          </w:tcPr>
          <w:p>
            <w:pPr>
              <w:spacing w:after="0"/>
              <w:jc w:val="left"/>
            </w:pPr>
            <w:r>
              <w:rPr>
                <w:rFonts w:ascii="Calibri" w:hAnsi="Calibri"/>
                <w:b/>
                <w:color w:val="1A1A1A"/>
                <w:sz w:val="18"/>
              </w:rPr>
              <w:t>Measure</w:t>
            </w:r>
          </w:p>
        </w:tc>
      </w:tr>
      <w:tr>
        <w:tc>
          <w:tcPr>
            <w:tcW w:type="dxa" w:w="1361"/>
          </w:tcPr>
          <w:p>
            <w:pPr>
              <w:spacing w:after="0" w:line="252" w:lineRule="auto"/>
              <w:jc w:val="left"/>
            </w:pPr>
            <w:r>
              <w:rPr>
                <w:rFonts w:ascii="Calibri" w:hAnsi="Calibri"/>
                <w:color w:val="1A1A1A"/>
                <w:sz w:val="18"/>
              </w:rPr>
              <w:t>NFR-DQ-01</w:t>
            </w:r>
          </w:p>
        </w:tc>
        <w:tc>
          <w:tcPr>
            <w:tcW w:type="dxa" w:w="4535"/>
          </w:tcPr>
          <w:p>
            <w:pPr>
              <w:spacing w:after="0" w:line="252" w:lineRule="auto"/>
              <w:jc w:val="left"/>
            </w:pPr>
            <w:r>
              <w:rPr>
                <w:rFonts w:ascii="Calibri" w:hAnsi="Calibri"/>
                <w:color w:val="1A1A1A"/>
                <w:sz w:val="18"/>
              </w:rPr>
              <w:t>Constrained value sets are enforced by the database, not only by the application</w:t>
            </w:r>
          </w:p>
        </w:tc>
        <w:tc>
          <w:tcPr>
            <w:tcW w:type="dxa" w:w="4422"/>
          </w:tcPr>
          <w:p>
            <w:pPr>
              <w:spacing w:after="0" w:line="252" w:lineRule="auto"/>
              <w:jc w:val="left"/>
            </w:pPr>
            <w:r>
              <w:rPr>
                <w:rFonts w:ascii="Calibri" w:hAnsi="Calibri"/>
                <w:b/>
                <w:color w:val="1A1A1A"/>
                <w:sz w:val="18"/>
              </w:rPr>
              <w:t>Currently not met.</w:t>
            </w:r>
            <w:r>
              <w:rPr>
                <w:rFonts w:ascii="Calibri" w:hAnsi="Calibri"/>
                <w:color w:val="1A1A1A"/>
                <w:sz w:val="18"/>
              </w:rPr>
              <w:t xml:space="preserve"> Almost every enum-like column is a plain </w:t>
            </w:r>
            <w:r>
              <w:rPr>
                <w:rFonts w:ascii="Consolas" w:hAnsi="Consolas"/>
                <w:color w:val="8B2E2E"/>
                <w:sz w:val="18"/>
              </w:rPr>
              <w:t>varchar</w:t>
            </w:r>
            <w:r>
              <w:rPr>
                <w:rFonts w:ascii="Calibri" w:hAnsi="Calibri"/>
                <w:color w:val="1A1A1A"/>
                <w:sz w:val="18"/>
              </w:rPr>
              <w:t xml:space="preserve"> with a TypeScript union over it; only five columns carry </w:t>
            </w:r>
            <w:r>
              <w:rPr>
                <w:rFonts w:ascii="Consolas" w:hAnsi="Consolas"/>
                <w:color w:val="8B2E2E"/>
                <w:sz w:val="18"/>
              </w:rPr>
              <w:t>CHECK</w:t>
            </w:r>
            <w:r>
              <w:rPr>
                <w:rFonts w:ascii="Calibri" w:hAnsi="Calibri"/>
                <w:color w:val="1A1A1A"/>
                <w:sz w:val="18"/>
              </w:rPr>
              <w:t xml:space="preserve"> constraints. Any write outside the app can store an arbitrary string. Pillar 4 and 7 tables must not repeat this</w:t>
            </w:r>
          </w:p>
        </w:tc>
      </w:tr>
      <w:tr>
        <w:tc>
          <w:tcPr>
            <w:tcW w:type="dxa" w:w="1361"/>
            <w:shd w:val="clear" w:color="auto" w:fill="FAFBFC"/>
          </w:tcPr>
          <w:p>
            <w:pPr>
              <w:spacing w:after="0" w:line="252" w:lineRule="auto"/>
              <w:jc w:val="left"/>
            </w:pPr>
            <w:r>
              <w:rPr>
                <w:rFonts w:ascii="Calibri" w:hAnsi="Calibri"/>
                <w:color w:val="1A1A1A"/>
                <w:sz w:val="18"/>
              </w:rPr>
              <w:t>NFR-DQ-02</w:t>
            </w:r>
          </w:p>
        </w:tc>
        <w:tc>
          <w:tcPr>
            <w:tcW w:type="dxa" w:w="4535"/>
            <w:shd w:val="clear" w:color="auto" w:fill="FAFBFC"/>
          </w:tcPr>
          <w:p>
            <w:pPr>
              <w:spacing w:after="0" w:line="252" w:lineRule="auto"/>
              <w:jc w:val="left"/>
            </w:pPr>
            <w:r>
              <w:rPr>
                <w:rFonts w:ascii="Calibri" w:hAnsi="Calibri"/>
                <w:color w:val="1A1A1A"/>
                <w:sz w:val="18"/>
              </w:rPr>
              <w:t>Money is stored as a fixed-precision decimal, never a float, with an explicit currency on every amount</w:t>
            </w:r>
          </w:p>
        </w:tc>
        <w:tc>
          <w:tcPr>
            <w:tcW w:type="dxa" w:w="4422"/>
            <w:shd w:val="clear" w:color="auto" w:fill="FAFBFC"/>
          </w:tcPr>
          <w:p>
            <w:pPr>
              <w:spacing w:after="0" w:line="252" w:lineRule="auto"/>
              <w:jc w:val="left"/>
            </w:pPr>
            <w:r>
              <w:rPr>
                <w:rFonts w:ascii="Calibri" w:hAnsi="Calibri"/>
                <w:color w:val="1A1A1A"/>
                <w:sz w:val="18"/>
              </w:rPr>
              <w:t>Verified by schema review</w:t>
            </w:r>
          </w:p>
        </w:tc>
      </w:tr>
      <w:tr>
        <w:tc>
          <w:tcPr>
            <w:tcW w:type="dxa" w:w="1361"/>
          </w:tcPr>
          <w:p>
            <w:pPr>
              <w:spacing w:after="0" w:line="252" w:lineRule="auto"/>
              <w:jc w:val="left"/>
            </w:pPr>
            <w:r>
              <w:rPr>
                <w:rFonts w:ascii="Calibri" w:hAnsi="Calibri"/>
                <w:color w:val="1A1A1A"/>
                <w:sz w:val="18"/>
              </w:rPr>
              <w:t>NFR-DQ-03</w:t>
            </w:r>
          </w:p>
        </w:tc>
        <w:tc>
          <w:tcPr>
            <w:tcW w:type="dxa" w:w="4535"/>
          </w:tcPr>
          <w:p>
            <w:pPr>
              <w:spacing w:after="0" w:line="252" w:lineRule="auto"/>
              <w:jc w:val="left"/>
            </w:pPr>
            <w:r>
              <w:rPr>
                <w:rFonts w:ascii="Calibri" w:hAnsi="Calibri"/>
                <w:color w:val="1A1A1A"/>
                <w:sz w:val="18"/>
              </w:rPr>
              <w:t>Soft delete is applied consistently and cheaply</w:t>
            </w:r>
          </w:p>
        </w:tc>
        <w:tc>
          <w:tcPr>
            <w:tcW w:type="dxa" w:w="4422"/>
          </w:tcPr>
          <w:p>
            <w:pPr>
              <w:spacing w:after="0" w:line="252" w:lineRule="auto"/>
              <w:jc w:val="left"/>
            </w:pPr>
            <w:r>
              <w:rPr>
                <w:rFonts w:ascii="Calibri" w:hAnsi="Calibri"/>
                <w:b/>
                <w:color w:val="9A5B00"/>
                <w:sz w:val="18"/>
              </w:rPr>
              <w:t>PARTIAL</w:t>
            </w:r>
            <w:r>
              <w:rPr>
                <w:rFonts w:ascii="Calibri" w:hAnsi="Calibri"/>
                <w:color w:val="9A5B00"/>
                <w:sz w:val="18"/>
              </w:rPr>
              <w:t xml:space="preserve"> — </w:t>
            </w:r>
            <w:r>
              <w:rPr>
                <w:rFonts w:ascii="Consolas" w:hAnsi="Consolas"/>
                <w:color w:val="8B2E2E"/>
                <w:sz w:val="18"/>
              </w:rPr>
              <w:t>deletedAt</w:t>
            </w:r>
            <w:r>
              <w:rPr>
                <w:rFonts w:ascii="Calibri" w:hAnsi="Calibri"/>
                <w:color w:val="9A5B00"/>
                <w:sz w:val="18"/>
              </w:rPr>
              <w:t xml:space="preserve"> exists on five tables and is enforced by convention; each has a partial index. New tables must state their policy explicitly</w:t>
            </w:r>
          </w:p>
        </w:tc>
      </w:tr>
      <w:tr>
        <w:tc>
          <w:tcPr>
            <w:tcW w:type="dxa" w:w="1361"/>
            <w:shd w:val="clear" w:color="auto" w:fill="FAFBFC"/>
          </w:tcPr>
          <w:p>
            <w:pPr>
              <w:spacing w:after="0" w:line="252" w:lineRule="auto"/>
              <w:jc w:val="left"/>
            </w:pPr>
            <w:r>
              <w:rPr>
                <w:rFonts w:ascii="Calibri" w:hAnsi="Calibri"/>
                <w:color w:val="1A1A1A"/>
                <w:sz w:val="18"/>
              </w:rPr>
              <w:t>NFR-DQ-04</w:t>
            </w:r>
          </w:p>
        </w:tc>
        <w:tc>
          <w:tcPr>
            <w:tcW w:type="dxa" w:w="4535"/>
            <w:shd w:val="clear" w:color="auto" w:fill="FAFBFC"/>
          </w:tcPr>
          <w:p>
            <w:pPr>
              <w:spacing w:after="0" w:line="252" w:lineRule="auto"/>
              <w:jc w:val="left"/>
            </w:pPr>
            <w:r>
              <w:rPr>
                <w:rFonts w:ascii="Calibri" w:hAnsi="Calibri"/>
                <w:color w:val="1A1A1A"/>
                <w:sz w:val="18"/>
              </w:rPr>
              <w:t>Referential integrity is enforced by foreign keys with an explicit delete policy per relationship</w:t>
            </w:r>
          </w:p>
        </w:tc>
        <w:tc>
          <w:tcPr>
            <w:tcW w:type="dxa" w:w="4422"/>
            <w:shd w:val="clear" w:color="auto" w:fill="FAFBFC"/>
          </w:tcPr>
          <w:p>
            <w:pPr>
              <w:spacing w:after="0" w:line="252" w:lineRule="auto"/>
              <w:jc w:val="left"/>
            </w:pPr>
            <w:r>
              <w:rPr>
                <w:rFonts w:ascii="Calibri" w:hAnsi="Calibri"/>
                <w:color w:val="1A1A1A"/>
                <w:sz w:val="18"/>
              </w:rPr>
              <w:t>Verified by schema review; cascade is used only where the child cannot outlive the parent</w:t>
            </w:r>
          </w:p>
        </w:tc>
      </w:tr>
      <w:tr>
        <w:tc>
          <w:tcPr>
            <w:tcW w:type="dxa" w:w="1361"/>
          </w:tcPr>
          <w:p>
            <w:pPr>
              <w:spacing w:after="0" w:line="252" w:lineRule="auto"/>
              <w:jc w:val="left"/>
            </w:pPr>
            <w:r>
              <w:rPr>
                <w:rFonts w:ascii="Calibri" w:hAnsi="Calibri"/>
                <w:color w:val="1A1A1A"/>
                <w:sz w:val="18"/>
              </w:rPr>
              <w:t>NFR-DQ-05</w:t>
            </w:r>
          </w:p>
        </w:tc>
        <w:tc>
          <w:tcPr>
            <w:tcW w:type="dxa" w:w="4535"/>
          </w:tcPr>
          <w:p>
            <w:pPr>
              <w:spacing w:after="0" w:line="252" w:lineRule="auto"/>
              <w:jc w:val="left"/>
            </w:pPr>
            <w:r>
              <w:rPr>
                <w:rFonts w:ascii="Calibri" w:hAnsi="Calibri"/>
                <w:color w:val="1A1A1A"/>
                <w:sz w:val="18"/>
              </w:rPr>
              <w:t>Import rejects invalid values rather than storing them</w:t>
            </w:r>
          </w:p>
        </w:tc>
        <w:tc>
          <w:tcPr>
            <w:tcW w:type="dxa" w:w="4422"/>
          </w:tcPr>
          <w:p>
            <w:pPr>
              <w:spacing w:after="0" w:line="252" w:lineRule="auto"/>
              <w:jc w:val="left"/>
            </w:pPr>
            <w:r>
              <w:rPr>
                <w:rFonts w:ascii="Calibri" w:hAnsi="Calibri"/>
                <w:b/>
                <w:color w:val="1E6B33"/>
                <w:sz w:val="18"/>
              </w:rPr>
              <w:t>EXISTS</w:t>
            </w:r>
            <w:r>
              <w:rPr>
                <w:rFonts w:ascii="Calibri" w:hAnsi="Calibri"/>
                <w:color w:val="1E6B33"/>
                <w:sz w:val="18"/>
              </w:rPr>
              <w:t xml:space="preserve"> — Zod validation in the import path</w:t>
            </w:r>
          </w:p>
        </w:tc>
      </w:tr>
      <w:tr>
        <w:tc>
          <w:tcPr>
            <w:tcW w:type="dxa" w:w="1361"/>
            <w:shd w:val="clear" w:color="auto" w:fill="FAFBFC"/>
          </w:tcPr>
          <w:p>
            <w:pPr>
              <w:spacing w:after="0" w:line="252" w:lineRule="auto"/>
              <w:jc w:val="left"/>
            </w:pPr>
            <w:r>
              <w:rPr>
                <w:rFonts w:ascii="Calibri" w:hAnsi="Calibri"/>
                <w:color w:val="1A1A1A"/>
                <w:sz w:val="18"/>
              </w:rPr>
              <w:t>NFR-DQ-06</w:t>
            </w:r>
          </w:p>
        </w:tc>
        <w:tc>
          <w:tcPr>
            <w:tcW w:type="dxa" w:w="4535"/>
            <w:shd w:val="clear" w:color="auto" w:fill="FAFBFC"/>
          </w:tcPr>
          <w:p>
            <w:pPr>
              <w:spacing w:after="0" w:line="252" w:lineRule="auto"/>
              <w:jc w:val="left"/>
            </w:pPr>
            <w:r>
              <w:rPr>
                <w:rFonts w:ascii="Calibri" w:hAnsi="Calibri"/>
                <w:color w:val="1A1A1A"/>
                <w:sz w:val="18"/>
              </w:rPr>
              <w:t>Data-quality exceptions are measured and reported, not merely detectable</w:t>
            </w:r>
          </w:p>
        </w:tc>
        <w:tc>
          <w:tcPr>
            <w:tcW w:type="dxa" w:w="4422"/>
            <w:shd w:val="clear" w:color="auto" w:fill="FAFBFC"/>
          </w:tcPr>
          <w:p>
            <w:pPr>
              <w:spacing w:after="0" w:line="252" w:lineRule="auto"/>
              <w:jc w:val="left"/>
            </w:pPr>
            <w:r>
              <w:rPr>
                <w:rFonts w:ascii="Calibri" w:hAnsi="Calibri"/>
                <w:color w:val="1A1A1A"/>
                <w:sz w:val="18"/>
              </w:rPr>
              <w:t>Data-quality panel with counts and trend</w:t>
            </w:r>
          </w:p>
        </w:tc>
      </w:tr>
    </w:tbl>
    <w:p>
      <w:pPr>
        <w:spacing w:after="80"/>
      </w:pPr>
    </w:p>
    <w:p>
      <w:pPr>
        <w:pStyle w:val="Heading2"/>
      </w:pPr>
      <w:r>
        <w:t>Usability, accessibility and localization</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439"/>
        <w:gridCol w:w="3439"/>
        <w:gridCol w:w="3439"/>
      </w:tblGrid>
      <w:tr>
        <w:trPr>
          <w:tblHeader w:val="true"/>
        </w:trPr>
        <w:tc>
          <w:tcPr>
            <w:tcW w:type="dxa" w:w="1361"/>
            <w:shd w:val="clear" w:color="auto" w:fill="E8EDF2"/>
          </w:tcPr>
          <w:p>
            <w:pPr>
              <w:spacing w:after="0"/>
              <w:jc w:val="left"/>
            </w:pPr>
            <w:r>
              <w:rPr>
                <w:rFonts w:ascii="Calibri" w:hAnsi="Calibri"/>
                <w:b/>
                <w:color w:val="1A1A1A"/>
                <w:sz w:val="18"/>
              </w:rPr>
              <w:t>ID</w:t>
            </w:r>
          </w:p>
        </w:tc>
        <w:tc>
          <w:tcPr>
            <w:tcW w:type="dxa" w:w="4535"/>
            <w:shd w:val="clear" w:color="auto" w:fill="E8EDF2"/>
          </w:tcPr>
          <w:p>
            <w:pPr>
              <w:spacing w:after="0"/>
              <w:jc w:val="left"/>
            </w:pPr>
            <w:r>
              <w:rPr>
                <w:rFonts w:ascii="Calibri" w:hAnsi="Calibri"/>
                <w:b/>
                <w:color w:val="1A1A1A"/>
                <w:sz w:val="18"/>
              </w:rPr>
              <w:t>Requirement</w:t>
            </w:r>
          </w:p>
        </w:tc>
        <w:tc>
          <w:tcPr>
            <w:tcW w:type="dxa" w:w="4422"/>
            <w:shd w:val="clear" w:color="auto" w:fill="E8EDF2"/>
          </w:tcPr>
          <w:p>
            <w:pPr>
              <w:spacing w:after="0"/>
              <w:jc w:val="left"/>
            </w:pPr>
            <w:r>
              <w:rPr>
                <w:rFonts w:ascii="Calibri" w:hAnsi="Calibri"/>
                <w:b/>
                <w:color w:val="1A1A1A"/>
                <w:sz w:val="18"/>
              </w:rPr>
              <w:t>Measure</w:t>
            </w:r>
          </w:p>
        </w:tc>
      </w:tr>
      <w:tr>
        <w:tc>
          <w:tcPr>
            <w:tcW w:type="dxa" w:w="1361"/>
          </w:tcPr>
          <w:p>
            <w:pPr>
              <w:spacing w:after="0" w:line="252" w:lineRule="auto"/>
              <w:jc w:val="left"/>
            </w:pPr>
            <w:r>
              <w:rPr>
                <w:rFonts w:ascii="Calibri" w:hAnsi="Calibri"/>
                <w:color w:val="1A1A1A"/>
                <w:sz w:val="18"/>
              </w:rPr>
              <w:t>NFR-UX-01</w:t>
            </w:r>
          </w:p>
        </w:tc>
        <w:tc>
          <w:tcPr>
            <w:tcW w:type="dxa" w:w="4535"/>
          </w:tcPr>
          <w:p>
            <w:pPr>
              <w:spacing w:after="0" w:line="252" w:lineRule="auto"/>
              <w:jc w:val="left"/>
            </w:pPr>
            <w:r>
              <w:rPr>
                <w:rFonts w:ascii="Calibri" w:hAnsi="Calibri"/>
                <w:color w:val="1A1A1A"/>
                <w:sz w:val="18"/>
              </w:rPr>
              <w:t>Currency defaults to INR and formats in lakh and crore conventions</w:t>
            </w:r>
          </w:p>
        </w:tc>
        <w:tc>
          <w:tcPr>
            <w:tcW w:type="dxa" w:w="4422"/>
          </w:tcPr>
          <w:p>
            <w:pPr>
              <w:spacing w:after="0" w:line="252" w:lineRule="auto"/>
              <w:jc w:val="left"/>
            </w:pPr>
            <w:r>
              <w:rPr>
                <w:rFonts w:ascii="Calibri" w:hAnsi="Calibri"/>
                <w:b/>
                <w:color w:val="1E6B33"/>
                <w:sz w:val="18"/>
              </w:rPr>
              <w:t>EXISTS</w:t>
            </w:r>
          </w:p>
        </w:tc>
      </w:tr>
      <w:tr>
        <w:tc>
          <w:tcPr>
            <w:tcW w:type="dxa" w:w="1361"/>
            <w:shd w:val="clear" w:color="auto" w:fill="FAFBFC"/>
          </w:tcPr>
          <w:p>
            <w:pPr>
              <w:spacing w:after="0" w:line="252" w:lineRule="auto"/>
              <w:jc w:val="left"/>
            </w:pPr>
            <w:r>
              <w:rPr>
                <w:rFonts w:ascii="Calibri" w:hAnsi="Calibri"/>
                <w:color w:val="1A1A1A"/>
                <w:sz w:val="18"/>
              </w:rPr>
              <w:t>NFR-UX-02</w:t>
            </w:r>
          </w:p>
        </w:tc>
        <w:tc>
          <w:tcPr>
            <w:tcW w:type="dxa" w:w="4535"/>
            <w:shd w:val="clear" w:color="auto" w:fill="FAFBFC"/>
          </w:tcPr>
          <w:p>
            <w:pPr>
              <w:spacing w:after="0" w:line="252" w:lineRule="auto"/>
              <w:jc w:val="left"/>
            </w:pPr>
            <w:r>
              <w:rPr>
                <w:rFonts w:ascii="Calibri" w:hAnsi="Calibri"/>
                <w:color w:val="1A1A1A"/>
                <w:sz w:val="18"/>
              </w:rPr>
              <w:t xml:space="preserve">Timezone defaults to </w:t>
            </w:r>
            <w:r>
              <w:rPr>
                <w:rFonts w:ascii="Consolas" w:hAnsi="Consolas"/>
                <w:color w:val="8B2E2E"/>
                <w:sz w:val="18"/>
              </w:rPr>
              <w:t>Asia/Kolkata</w:t>
            </w:r>
            <w:r>
              <w:rPr>
                <w:rFonts w:ascii="Calibri" w:hAnsi="Calibri"/>
                <w:color w:val="1A1A1A"/>
                <w:sz w:val="18"/>
              </w:rPr>
              <w:t>; all scheduled jobs are defined in UTC and displayed in IST</w:t>
            </w:r>
          </w:p>
        </w:tc>
        <w:tc>
          <w:tcPr>
            <w:tcW w:type="dxa" w:w="4422"/>
            <w:shd w:val="clear" w:color="auto" w:fill="FAFBFC"/>
          </w:tcPr>
          <w:p>
            <w:pPr>
              <w:spacing w:after="0" w:line="252" w:lineRule="auto"/>
              <w:jc w:val="left"/>
            </w:pPr>
            <w:r>
              <w:rPr>
                <w:rFonts w:ascii="Calibri" w:hAnsi="Calibri"/>
                <w:b/>
                <w:color w:val="1E6B33"/>
                <w:sz w:val="18"/>
              </w:rPr>
              <w:t>EXISTS</w:t>
            </w:r>
            <w:r>
              <w:rPr>
                <w:rFonts w:ascii="Calibri" w:hAnsi="Calibri"/>
                <w:color w:val="1E6B33"/>
                <w:sz w:val="18"/>
              </w:rPr>
              <w:t xml:space="preserve"> — cron is UTC, digests convert to IST</w:t>
            </w:r>
          </w:p>
        </w:tc>
      </w:tr>
      <w:tr>
        <w:tc>
          <w:tcPr>
            <w:tcW w:type="dxa" w:w="1361"/>
          </w:tcPr>
          <w:p>
            <w:pPr>
              <w:spacing w:after="0" w:line="252" w:lineRule="auto"/>
              <w:jc w:val="left"/>
            </w:pPr>
            <w:r>
              <w:rPr>
                <w:rFonts w:ascii="Calibri" w:hAnsi="Calibri"/>
                <w:color w:val="1A1A1A"/>
                <w:sz w:val="18"/>
              </w:rPr>
              <w:t>NFR-UX-03</w:t>
            </w:r>
          </w:p>
        </w:tc>
        <w:tc>
          <w:tcPr>
            <w:tcW w:type="dxa" w:w="4535"/>
          </w:tcPr>
          <w:p>
            <w:pPr>
              <w:spacing w:after="0" w:line="252" w:lineRule="auto"/>
              <w:jc w:val="left"/>
            </w:pPr>
            <w:r>
              <w:rPr>
                <w:rFonts w:ascii="Calibri" w:hAnsi="Calibri"/>
                <w:color w:val="1A1A1A"/>
                <w:sz w:val="18"/>
              </w:rPr>
              <w:t>Every list supports saved views with filters, columns and sort, shareable at private, team or global scope</w:t>
            </w:r>
          </w:p>
        </w:tc>
        <w:tc>
          <w:tcPr>
            <w:tcW w:type="dxa" w:w="4422"/>
          </w:tcPr>
          <w:p>
            <w:pPr>
              <w:spacing w:after="0" w:line="252" w:lineRule="auto"/>
              <w:jc w:val="left"/>
            </w:pPr>
            <w:r>
              <w:rPr>
                <w:rFonts w:ascii="Calibri" w:hAnsi="Calibri"/>
                <w:b/>
                <w:color w:val="1E6B33"/>
                <w:sz w:val="18"/>
              </w:rPr>
              <w:t>EXISTS</w:t>
            </w:r>
          </w:p>
        </w:tc>
      </w:tr>
      <w:tr>
        <w:tc>
          <w:tcPr>
            <w:tcW w:type="dxa" w:w="1361"/>
            <w:shd w:val="clear" w:color="auto" w:fill="FAFBFC"/>
          </w:tcPr>
          <w:p>
            <w:pPr>
              <w:spacing w:after="0" w:line="252" w:lineRule="auto"/>
              <w:jc w:val="left"/>
            </w:pPr>
            <w:r>
              <w:rPr>
                <w:rFonts w:ascii="Calibri" w:hAnsi="Calibri"/>
                <w:color w:val="1A1A1A"/>
                <w:sz w:val="18"/>
              </w:rPr>
              <w:t>NFR-UX-04</w:t>
            </w:r>
          </w:p>
        </w:tc>
        <w:tc>
          <w:tcPr>
            <w:tcW w:type="dxa" w:w="4535"/>
            <w:shd w:val="clear" w:color="auto" w:fill="FAFBFC"/>
          </w:tcPr>
          <w:p>
            <w:pPr>
              <w:spacing w:after="0" w:line="252" w:lineRule="auto"/>
              <w:jc w:val="left"/>
            </w:pPr>
            <w:r>
              <w:rPr>
                <w:rFonts w:ascii="Calibri" w:hAnsi="Calibri"/>
                <w:color w:val="1A1A1A"/>
                <w:sz w:val="18"/>
              </w:rPr>
              <w:t>Core workflows are usable on mobile</w:t>
            </w:r>
          </w:p>
        </w:tc>
        <w:tc>
          <w:tcPr>
            <w:tcW w:type="dxa" w:w="4422"/>
            <w:shd w:val="clear" w:color="auto" w:fill="FAFBFC"/>
          </w:tcPr>
          <w:p>
            <w:pPr>
              <w:spacing w:after="0" w:line="252" w:lineRule="auto"/>
              <w:jc w:val="left"/>
            </w:pPr>
            <w:r>
              <w:rPr>
                <w:rFonts w:ascii="Calibri" w:hAnsi="Calibri"/>
                <w:b/>
                <w:color w:val="9A5B00"/>
                <w:sz w:val="18"/>
              </w:rPr>
              <w:t>PARTIAL</w:t>
            </w:r>
            <w:r>
              <w:rPr>
                <w:rFonts w:ascii="Calibri" w:hAnsi="Calibri"/>
                <w:color w:val="9A5B00"/>
                <w:sz w:val="18"/>
              </w:rPr>
              <w:t xml:space="preserve"> — mobile bottom navigation covers seven modules; the new pricing and revenue surfaces need a mobile position</w:t>
            </w:r>
          </w:p>
        </w:tc>
      </w:tr>
      <w:tr>
        <w:tc>
          <w:tcPr>
            <w:tcW w:type="dxa" w:w="1361"/>
          </w:tcPr>
          <w:p>
            <w:pPr>
              <w:spacing w:after="0" w:line="252" w:lineRule="auto"/>
              <w:jc w:val="left"/>
            </w:pPr>
            <w:r>
              <w:rPr>
                <w:rFonts w:ascii="Calibri" w:hAnsi="Calibri"/>
                <w:color w:val="1A1A1A"/>
                <w:sz w:val="18"/>
              </w:rPr>
              <w:t>NFR-UX-05</w:t>
            </w:r>
          </w:p>
        </w:tc>
        <w:tc>
          <w:tcPr>
            <w:tcW w:type="dxa" w:w="4535"/>
          </w:tcPr>
          <w:p>
            <w:pPr>
              <w:spacing w:after="0" w:line="252" w:lineRule="auto"/>
              <w:jc w:val="left"/>
            </w:pPr>
            <w:r>
              <w:rPr>
                <w:rFonts w:ascii="Calibri" w:hAnsi="Calibri"/>
                <w:color w:val="1A1A1A"/>
                <w:sz w:val="18"/>
              </w:rPr>
              <w:t>WCAG 2.1 AA for colour contrast, keyboard navigation and screen-reader labelling</w:t>
            </w:r>
          </w:p>
        </w:tc>
        <w:tc>
          <w:tcPr>
            <w:tcW w:type="dxa" w:w="4422"/>
          </w:tcPr>
          <w:p>
            <w:pPr>
              <w:spacing w:after="0" w:line="252" w:lineRule="auto"/>
              <w:jc w:val="left"/>
            </w:pPr>
            <w:r>
              <w:rPr>
                <w:rFonts w:ascii="Calibri" w:hAnsi="Calibri"/>
                <w:color w:val="1A1A1A"/>
                <w:sz w:val="18"/>
              </w:rPr>
              <w:t>Audited</w:t>
            </w:r>
          </w:p>
        </w:tc>
      </w:tr>
      <w:tr>
        <w:tc>
          <w:tcPr>
            <w:tcW w:type="dxa" w:w="1361"/>
            <w:shd w:val="clear" w:color="auto" w:fill="FAFBFC"/>
          </w:tcPr>
          <w:p>
            <w:pPr>
              <w:spacing w:after="0" w:line="252" w:lineRule="auto"/>
              <w:jc w:val="left"/>
            </w:pPr>
            <w:r>
              <w:rPr>
                <w:rFonts w:ascii="Calibri" w:hAnsi="Calibri"/>
                <w:color w:val="1A1A1A"/>
                <w:sz w:val="18"/>
              </w:rPr>
              <w:t>NFR-UX-06</w:t>
            </w:r>
          </w:p>
        </w:tc>
        <w:tc>
          <w:tcPr>
            <w:tcW w:type="dxa" w:w="4535"/>
            <w:shd w:val="clear" w:color="auto" w:fill="FAFBFC"/>
          </w:tcPr>
          <w:p>
            <w:pPr>
              <w:spacing w:after="0" w:line="252" w:lineRule="auto"/>
              <w:jc w:val="left"/>
            </w:pPr>
            <w:r>
              <w:rPr>
                <w:rFonts w:ascii="Calibri" w:hAnsi="Calibri"/>
                <w:color w:val="1A1A1A"/>
                <w:sz w:val="18"/>
              </w:rPr>
              <w:t>Global search and command palette reachable by keyboard from anywhere</w:t>
            </w:r>
          </w:p>
        </w:tc>
        <w:tc>
          <w:tcPr>
            <w:tcW w:type="dxa" w:w="4422"/>
            <w:shd w:val="clear" w:color="auto" w:fill="FAFBFC"/>
          </w:tcPr>
          <w:p>
            <w:pPr>
              <w:spacing w:after="0" w:line="252" w:lineRule="auto"/>
              <w:jc w:val="left"/>
            </w:pPr>
            <w:r>
              <w:rPr>
                <w:rFonts w:ascii="Calibri" w:hAnsi="Calibri"/>
                <w:b/>
                <w:color w:val="1E6B33"/>
                <w:sz w:val="18"/>
              </w:rPr>
              <w:t>EXISTS</w:t>
            </w:r>
          </w:p>
        </w:tc>
      </w:tr>
      <w:tr>
        <w:tc>
          <w:tcPr>
            <w:tcW w:type="dxa" w:w="1361"/>
          </w:tcPr>
          <w:p>
            <w:pPr>
              <w:spacing w:after="0" w:line="252" w:lineRule="auto"/>
              <w:jc w:val="left"/>
            </w:pPr>
            <w:r>
              <w:rPr>
                <w:rFonts w:ascii="Calibri" w:hAnsi="Calibri"/>
                <w:color w:val="1A1A1A"/>
                <w:sz w:val="18"/>
              </w:rPr>
              <w:t>NFR-UX-07</w:t>
            </w:r>
          </w:p>
        </w:tc>
        <w:tc>
          <w:tcPr>
            <w:tcW w:type="dxa" w:w="4535"/>
          </w:tcPr>
          <w:p>
            <w:pPr>
              <w:spacing w:after="0" w:line="252" w:lineRule="auto"/>
              <w:jc w:val="left"/>
            </w:pPr>
            <w:r>
              <w:rPr>
                <w:rFonts w:ascii="Calibri" w:hAnsi="Calibri"/>
                <w:color w:val="1A1A1A"/>
                <w:sz w:val="18"/>
              </w:rPr>
              <w:t>Any figure a user is shown, they can explain — every score, health rating and forecast exposes its inputs</w:t>
            </w:r>
          </w:p>
        </w:tc>
        <w:tc>
          <w:tcPr>
            <w:tcW w:type="dxa" w:w="4422"/>
          </w:tcPr>
          <w:p>
            <w:pPr>
              <w:spacing w:after="0" w:line="252" w:lineRule="auto"/>
              <w:jc w:val="left"/>
            </w:pPr>
            <w:r>
              <w:rPr>
                <w:rFonts w:ascii="Calibri" w:hAnsi="Calibri"/>
                <w:color w:val="1A1A1A"/>
                <w:sz w:val="18"/>
              </w:rPr>
              <w:t>No black-box number reaches a user</w:t>
            </w:r>
          </w:p>
        </w:tc>
      </w:tr>
    </w:tbl>
    <w:p>
      <w:pPr>
        <w:spacing w:after="80"/>
      </w:pPr>
    </w:p>
    <w:p>
      <w:pPr>
        <w:pStyle w:val="Heading2"/>
      </w:pPr>
      <w:r>
        <w:t>Observability, maintainability and deployment</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439"/>
        <w:gridCol w:w="3439"/>
        <w:gridCol w:w="3439"/>
      </w:tblGrid>
      <w:tr>
        <w:trPr>
          <w:tblHeader w:val="true"/>
        </w:trPr>
        <w:tc>
          <w:tcPr>
            <w:tcW w:type="dxa" w:w="1361"/>
            <w:shd w:val="clear" w:color="auto" w:fill="E8EDF2"/>
          </w:tcPr>
          <w:p>
            <w:pPr>
              <w:spacing w:after="0"/>
              <w:jc w:val="left"/>
            </w:pPr>
            <w:r>
              <w:rPr>
                <w:rFonts w:ascii="Calibri" w:hAnsi="Calibri"/>
                <w:b/>
                <w:color w:val="1A1A1A"/>
                <w:sz w:val="18"/>
              </w:rPr>
              <w:t>ID</w:t>
            </w:r>
          </w:p>
        </w:tc>
        <w:tc>
          <w:tcPr>
            <w:tcW w:type="dxa" w:w="4535"/>
            <w:shd w:val="clear" w:color="auto" w:fill="E8EDF2"/>
          </w:tcPr>
          <w:p>
            <w:pPr>
              <w:spacing w:after="0"/>
              <w:jc w:val="left"/>
            </w:pPr>
            <w:r>
              <w:rPr>
                <w:rFonts w:ascii="Calibri" w:hAnsi="Calibri"/>
                <w:b/>
                <w:color w:val="1A1A1A"/>
                <w:sz w:val="18"/>
              </w:rPr>
              <w:t>Requirement</w:t>
            </w:r>
          </w:p>
        </w:tc>
        <w:tc>
          <w:tcPr>
            <w:tcW w:type="dxa" w:w="4422"/>
            <w:shd w:val="clear" w:color="auto" w:fill="E8EDF2"/>
          </w:tcPr>
          <w:p>
            <w:pPr>
              <w:spacing w:after="0"/>
              <w:jc w:val="left"/>
            </w:pPr>
            <w:r>
              <w:rPr>
                <w:rFonts w:ascii="Calibri" w:hAnsi="Calibri"/>
                <w:b/>
                <w:color w:val="1A1A1A"/>
                <w:sz w:val="18"/>
              </w:rPr>
              <w:t>Measure</w:t>
            </w:r>
          </w:p>
        </w:tc>
      </w:tr>
      <w:tr>
        <w:tc>
          <w:tcPr>
            <w:tcW w:type="dxa" w:w="1361"/>
          </w:tcPr>
          <w:p>
            <w:pPr>
              <w:spacing w:after="0" w:line="252" w:lineRule="auto"/>
              <w:jc w:val="left"/>
            </w:pPr>
            <w:r>
              <w:rPr>
                <w:rFonts w:ascii="Calibri" w:hAnsi="Calibri"/>
                <w:color w:val="1A1A1A"/>
                <w:sz w:val="18"/>
              </w:rPr>
              <w:t>NFR-OPS-01</w:t>
            </w:r>
          </w:p>
        </w:tc>
        <w:tc>
          <w:tcPr>
            <w:tcW w:type="dxa" w:w="4535"/>
          </w:tcPr>
          <w:p>
            <w:pPr>
              <w:spacing w:after="0" w:line="252" w:lineRule="auto"/>
              <w:jc w:val="left"/>
            </w:pPr>
            <w:r>
              <w:rPr>
                <w:rFonts w:ascii="Calibri" w:hAnsi="Calibri"/>
                <w:color w:val="1A1A1A"/>
                <w:sz w:val="18"/>
              </w:rPr>
              <w:t>Structured application logging with correlation across a request</w:t>
            </w:r>
          </w:p>
        </w:tc>
        <w:tc>
          <w:tcPr>
            <w:tcW w:type="dxa" w:w="4422"/>
          </w:tcPr>
          <w:p>
            <w:pPr>
              <w:spacing w:after="0" w:line="252" w:lineRule="auto"/>
              <w:jc w:val="left"/>
            </w:pPr>
            <w:r>
              <w:rPr>
                <w:rFonts w:ascii="Calibri" w:hAnsi="Calibri"/>
                <w:color w:val="1A1A1A"/>
                <w:sz w:val="18"/>
              </w:rPr>
              <w:t>Verified</w:t>
            </w:r>
          </w:p>
        </w:tc>
      </w:tr>
      <w:tr>
        <w:tc>
          <w:tcPr>
            <w:tcW w:type="dxa" w:w="1361"/>
            <w:shd w:val="clear" w:color="auto" w:fill="FAFBFC"/>
          </w:tcPr>
          <w:p>
            <w:pPr>
              <w:spacing w:after="0" w:line="252" w:lineRule="auto"/>
              <w:jc w:val="left"/>
            </w:pPr>
            <w:r>
              <w:rPr>
                <w:rFonts w:ascii="Calibri" w:hAnsi="Calibri"/>
                <w:color w:val="1A1A1A"/>
                <w:sz w:val="18"/>
              </w:rPr>
              <w:t>NFR-OPS-02</w:t>
            </w:r>
          </w:p>
        </w:tc>
        <w:tc>
          <w:tcPr>
            <w:tcW w:type="dxa" w:w="4535"/>
            <w:shd w:val="clear" w:color="auto" w:fill="FAFBFC"/>
          </w:tcPr>
          <w:p>
            <w:pPr>
              <w:spacing w:after="0" w:line="252" w:lineRule="auto"/>
              <w:jc w:val="left"/>
            </w:pPr>
            <w:r>
              <w:rPr>
                <w:rFonts w:ascii="Calibri" w:hAnsi="Calibri"/>
                <w:color w:val="1A1A1A"/>
                <w:sz w:val="18"/>
              </w:rPr>
              <w:t>Scheduled job runs record last-run time, duration and result</w:t>
            </w:r>
          </w:p>
        </w:tc>
        <w:tc>
          <w:tcPr>
            <w:tcW w:type="dxa" w:w="4422"/>
            <w:shd w:val="clear" w:color="auto" w:fill="FAFBFC"/>
          </w:tcPr>
          <w:p>
            <w:pPr>
              <w:spacing w:after="0" w:line="252" w:lineRule="auto"/>
              <w:jc w:val="left"/>
            </w:pPr>
            <w:r>
              <w:rPr>
                <w:rFonts w:ascii="Calibri" w:hAnsi="Calibri"/>
                <w:b/>
                <w:color w:val="1E6B33"/>
                <w:sz w:val="18"/>
              </w:rPr>
              <w:t>EXISTS</w:t>
            </w:r>
            <w:r>
              <w:rPr>
                <w:rFonts w:ascii="Calibri" w:hAnsi="Calibri"/>
                <w:color w:val="1E6B33"/>
                <w:sz w:val="18"/>
              </w:rPr>
              <w:t xml:space="preserve"> — </w:t>
            </w:r>
            <w:r>
              <w:rPr>
                <w:rFonts w:ascii="Consolas" w:hAnsi="Consolas"/>
                <w:color w:val="8B2E2E"/>
                <w:sz w:val="18"/>
              </w:rPr>
              <w:t>automation_config</w:t>
            </w:r>
          </w:p>
        </w:tc>
      </w:tr>
      <w:tr>
        <w:tc>
          <w:tcPr>
            <w:tcW w:type="dxa" w:w="1361"/>
          </w:tcPr>
          <w:p>
            <w:pPr>
              <w:spacing w:after="0" w:line="252" w:lineRule="auto"/>
              <w:jc w:val="left"/>
            </w:pPr>
            <w:r>
              <w:rPr>
                <w:rFonts w:ascii="Calibri" w:hAnsi="Calibri"/>
                <w:color w:val="1A1A1A"/>
                <w:sz w:val="18"/>
              </w:rPr>
              <w:t>NFR-OPS-03</w:t>
            </w:r>
          </w:p>
        </w:tc>
        <w:tc>
          <w:tcPr>
            <w:tcW w:type="dxa" w:w="4535"/>
          </w:tcPr>
          <w:p>
            <w:pPr>
              <w:spacing w:after="0" w:line="252" w:lineRule="auto"/>
              <w:jc w:val="left"/>
            </w:pPr>
            <w:r>
              <w:rPr>
                <w:rFonts w:ascii="Calibri" w:hAnsi="Calibri"/>
                <w:color w:val="1A1A1A"/>
                <w:sz w:val="18"/>
              </w:rPr>
              <w:t>Health endpoint suitable for a platform healthcheck</w:t>
            </w:r>
          </w:p>
        </w:tc>
        <w:tc>
          <w:tcPr>
            <w:tcW w:type="dxa" w:w="4422"/>
          </w:tcPr>
          <w:p>
            <w:pPr>
              <w:spacing w:after="0" w:line="252" w:lineRule="auto"/>
              <w:jc w:val="left"/>
            </w:pPr>
            <w:r>
              <w:rPr>
                <w:rFonts w:ascii="Calibri" w:hAnsi="Calibri"/>
                <w:b/>
                <w:color w:val="1E6B33"/>
                <w:sz w:val="18"/>
              </w:rPr>
              <w:t>EXISTS</w:t>
            </w:r>
            <w:r>
              <w:rPr>
                <w:rFonts w:ascii="Calibri" w:hAnsi="Calibri"/>
                <w:color w:val="1E6B33"/>
                <w:sz w:val="18"/>
              </w:rPr>
              <w:t xml:space="preserve"> — </w:t>
            </w:r>
            <w:r>
              <w:rPr>
                <w:rFonts w:ascii="Consolas" w:hAnsi="Consolas"/>
                <w:color w:val="8B2E2E"/>
                <w:sz w:val="18"/>
              </w:rPr>
              <w:t>/api/health</w:t>
            </w:r>
          </w:p>
        </w:tc>
      </w:tr>
      <w:tr>
        <w:tc>
          <w:tcPr>
            <w:tcW w:type="dxa" w:w="1361"/>
            <w:shd w:val="clear" w:color="auto" w:fill="FAFBFC"/>
          </w:tcPr>
          <w:p>
            <w:pPr>
              <w:spacing w:after="0" w:line="252" w:lineRule="auto"/>
              <w:jc w:val="left"/>
            </w:pPr>
            <w:r>
              <w:rPr>
                <w:rFonts w:ascii="Calibri" w:hAnsi="Calibri"/>
                <w:color w:val="1A1A1A"/>
                <w:sz w:val="18"/>
              </w:rPr>
              <w:t>NFR-OPS-04</w:t>
            </w:r>
          </w:p>
        </w:tc>
        <w:tc>
          <w:tcPr>
            <w:tcW w:type="dxa" w:w="4535"/>
            <w:shd w:val="clear" w:color="auto" w:fill="FAFBFC"/>
          </w:tcPr>
          <w:p>
            <w:pPr>
              <w:spacing w:after="0" w:line="252" w:lineRule="auto"/>
              <w:jc w:val="left"/>
            </w:pPr>
            <w:r>
              <w:rPr>
                <w:rFonts w:ascii="Calibri" w:hAnsi="Calibri"/>
                <w:color w:val="1A1A1A"/>
                <w:sz w:val="18"/>
              </w:rPr>
              <w:t>Error tracking with alerting on rate</w:t>
            </w:r>
          </w:p>
        </w:tc>
        <w:tc>
          <w:tcPr>
            <w:tcW w:type="dxa" w:w="4422"/>
            <w:shd w:val="clear" w:color="auto" w:fill="FAFBFC"/>
          </w:tcPr>
          <w:p>
            <w:pPr>
              <w:spacing w:after="0" w:line="252" w:lineRule="auto"/>
              <w:jc w:val="left"/>
            </w:pPr>
            <w:r>
              <w:rPr>
                <w:rFonts w:ascii="Calibri" w:hAnsi="Calibri"/>
                <w:color w:val="1A1A1A"/>
                <w:sz w:val="18"/>
              </w:rPr>
              <w:t>To be added</w:t>
            </w:r>
          </w:p>
        </w:tc>
      </w:tr>
      <w:tr>
        <w:tc>
          <w:tcPr>
            <w:tcW w:type="dxa" w:w="1361"/>
          </w:tcPr>
          <w:p>
            <w:pPr>
              <w:spacing w:after="0" w:line="252" w:lineRule="auto"/>
              <w:jc w:val="left"/>
            </w:pPr>
            <w:r>
              <w:rPr>
                <w:rFonts w:ascii="Calibri" w:hAnsi="Calibri"/>
                <w:color w:val="1A1A1A"/>
                <w:sz w:val="18"/>
              </w:rPr>
              <w:t>NFR-OPS-05</w:t>
            </w:r>
          </w:p>
        </w:tc>
        <w:tc>
          <w:tcPr>
            <w:tcW w:type="dxa" w:w="4535"/>
          </w:tcPr>
          <w:p>
            <w:pPr>
              <w:spacing w:after="0" w:line="252" w:lineRule="auto"/>
              <w:jc w:val="left"/>
            </w:pPr>
            <w:r>
              <w:rPr>
                <w:rFonts w:ascii="Calibri" w:hAnsi="Calibri"/>
                <w:color w:val="1A1A1A"/>
                <w:sz w:val="18"/>
              </w:rPr>
              <w:t>Business logic lives in services, not in routers or components, and is unit-testable independently</w:t>
            </w:r>
          </w:p>
        </w:tc>
        <w:tc>
          <w:tcPr>
            <w:tcW w:type="dxa" w:w="4422"/>
          </w:tcPr>
          <w:p>
            <w:pPr>
              <w:spacing w:after="0" w:line="252" w:lineRule="auto"/>
              <w:jc w:val="left"/>
            </w:pPr>
            <w:r>
              <w:rPr>
                <w:rFonts w:ascii="Calibri" w:hAnsi="Calibri"/>
                <w:b/>
                <w:color w:val="9A5B00"/>
                <w:sz w:val="18"/>
              </w:rPr>
              <w:t>PARTIAL</w:t>
            </w:r>
            <w:r>
              <w:rPr>
                <w:rFonts w:ascii="Calibri" w:hAnsi="Calibri"/>
                <w:color w:val="9A5B00"/>
                <w:sz w:val="18"/>
              </w:rPr>
              <w:t xml:space="preserve"> — the service layer is consistent; test coverage is limited to the SQL safety service</w:t>
            </w:r>
          </w:p>
        </w:tc>
      </w:tr>
      <w:tr>
        <w:tc>
          <w:tcPr>
            <w:tcW w:type="dxa" w:w="1361"/>
            <w:shd w:val="clear" w:color="auto" w:fill="FAFBFC"/>
          </w:tcPr>
          <w:p>
            <w:pPr>
              <w:spacing w:after="0" w:line="252" w:lineRule="auto"/>
              <w:jc w:val="left"/>
            </w:pPr>
            <w:r>
              <w:rPr>
                <w:rFonts w:ascii="Calibri" w:hAnsi="Calibri"/>
                <w:color w:val="1A1A1A"/>
                <w:sz w:val="18"/>
              </w:rPr>
              <w:t>NFR-OPS-06</w:t>
            </w:r>
          </w:p>
        </w:tc>
        <w:tc>
          <w:tcPr>
            <w:tcW w:type="dxa" w:w="4535"/>
            <w:shd w:val="clear" w:color="auto" w:fill="FAFBFC"/>
          </w:tcPr>
          <w:p>
            <w:pPr>
              <w:spacing w:after="0" w:line="252" w:lineRule="auto"/>
              <w:jc w:val="left"/>
            </w:pPr>
            <w:r>
              <w:rPr>
                <w:rFonts w:ascii="Calibri" w:hAnsi="Calibri"/>
                <w:color w:val="1A1A1A"/>
                <w:sz w:val="18"/>
              </w:rPr>
              <w:t>Automated tests cover the cost engine, pricing rules, redaction and the revenue state model before those features ship</w:t>
            </w:r>
          </w:p>
        </w:tc>
        <w:tc>
          <w:tcPr>
            <w:tcW w:type="dxa" w:w="4422"/>
            <w:shd w:val="clear" w:color="auto" w:fill="FAFBFC"/>
          </w:tcPr>
          <w:p>
            <w:pPr>
              <w:spacing w:after="0" w:line="252" w:lineRule="auto"/>
              <w:jc w:val="left"/>
            </w:pPr>
            <w:r>
              <w:rPr>
                <w:rFonts w:ascii="Calibri" w:hAnsi="Calibri"/>
                <w:color w:val="1A1A1A"/>
                <w:sz w:val="18"/>
              </w:rPr>
              <w:t>These four are the highest-consequence logic in the platform</w:t>
            </w:r>
          </w:p>
        </w:tc>
      </w:tr>
      <w:tr>
        <w:tc>
          <w:tcPr>
            <w:tcW w:type="dxa" w:w="1361"/>
          </w:tcPr>
          <w:p>
            <w:pPr>
              <w:spacing w:after="0" w:line="252" w:lineRule="auto"/>
              <w:jc w:val="left"/>
            </w:pPr>
            <w:r>
              <w:rPr>
                <w:rFonts w:ascii="Calibri" w:hAnsi="Calibri"/>
                <w:color w:val="1A1A1A"/>
                <w:sz w:val="18"/>
              </w:rPr>
              <w:t>NFR-OPS-07</w:t>
            </w:r>
          </w:p>
        </w:tc>
        <w:tc>
          <w:tcPr>
            <w:tcW w:type="dxa" w:w="4535"/>
          </w:tcPr>
          <w:p>
            <w:pPr>
              <w:spacing w:after="0" w:line="252" w:lineRule="auto"/>
              <w:jc w:val="left"/>
            </w:pPr>
            <w:r>
              <w:rPr>
                <w:rFonts w:ascii="Calibri" w:hAnsi="Calibri"/>
                <w:color w:val="1A1A1A"/>
                <w:sz w:val="18"/>
              </w:rPr>
              <w:t>Schema changes ship as reviewed forward-only migrations</w:t>
            </w:r>
          </w:p>
        </w:tc>
        <w:tc>
          <w:tcPr>
            <w:tcW w:type="dxa" w:w="4422"/>
          </w:tcPr>
          <w:p>
            <w:pPr>
              <w:spacing w:after="0" w:line="252" w:lineRule="auto"/>
              <w:jc w:val="left"/>
            </w:pPr>
            <w:r>
              <w:rPr>
                <w:rFonts w:ascii="Calibri" w:hAnsi="Calibri"/>
                <w:b/>
                <w:color w:val="1E6B33"/>
                <w:sz w:val="18"/>
              </w:rPr>
              <w:t>EXISTS</w:t>
            </w:r>
            <w:r>
              <w:rPr>
                <w:rFonts w:ascii="Calibri" w:hAnsi="Calibri"/>
                <w:color w:val="1E6B33"/>
                <w:sz w:val="18"/>
              </w:rPr>
              <w:t xml:space="preserve"> — drizzle-kit migrations</w:t>
            </w:r>
          </w:p>
        </w:tc>
      </w:tr>
    </w:tbl>
    <w:p>
      <w:pPr>
        <w:spacing w:after="80"/>
      </w:pPr>
    </w:p>
    <w:p>
      <w:r>
        <w:br w:type="page"/>
      </w:r>
    </w:p>
    <w:p>
      <w:pPr>
        <w:pStyle w:val="Heading1"/>
      </w:pPr>
      <w:r>
        <w:t>Section E — Gap analysis summary</w:t>
      </w:r>
    </w:p>
    <w:p>
      <w:pPr>
        <w:spacing w:before="120" w:after="160"/>
        <w:ind w:left="198"/>
        <w:pBdr>
          <w:left w:val="single" w:sz="18" w:space="8" w:color="B08D57"/>
        </w:pBdr>
        <w:shd w:val="clear" w:color="auto" w:fill="F4F1E8"/>
      </w:pPr>
      <w:r>
        <w:rPr>
          <w:rFonts w:ascii="Calibri" w:hAnsi="Calibri"/>
          <w:b/>
          <w:color w:val="1A1A1A"/>
          <w:sz w:val="19"/>
        </w:rPr>
        <w:t>MID-REVIEW</w:t>
      </w:r>
      <w:r>
        <w:rPr>
          <w:rFonts w:ascii="Calibri" w:hAnsi="Calibri"/>
          <w:color w:val="1A1A1A"/>
          <w:sz w:val="19"/>
        </w:rPr>
        <w:t xml:space="preserve">  The counts below are from the initial draft. They are recomputed from the actual requirement rows once all eight pillars have been reviewed, so they will disagree with the pillar sections until then. Pillar 1 has been reviewed: 4 requirements withdrawn, 2 added.</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064"/>
        <w:gridCol w:w="2064"/>
        <w:gridCol w:w="2064"/>
        <w:gridCol w:w="2064"/>
        <w:gridCol w:w="2064"/>
      </w:tblGrid>
      <w:tr>
        <w:trPr>
          <w:tblHeader w:val="true"/>
        </w:trPr>
        <w:tc>
          <w:tcPr>
            <w:tcW w:type="dxa" w:w="1928"/>
            <w:shd w:val="clear" w:color="auto" w:fill="E8EDF2"/>
          </w:tcPr>
          <w:p>
            <w:pPr>
              <w:spacing w:after="0"/>
              <w:jc w:val="left"/>
            </w:pPr>
            <w:r>
              <w:rPr>
                <w:rFonts w:ascii="Calibri" w:hAnsi="Calibri"/>
                <w:b/>
                <w:color w:val="1A1A1A"/>
                <w:sz w:val="17"/>
              </w:rPr>
              <w:t>Pillar</w:t>
            </w:r>
          </w:p>
        </w:tc>
        <w:tc>
          <w:tcPr>
            <w:tcW w:type="dxa" w:w="1134"/>
            <w:shd w:val="clear" w:color="auto" w:fill="E8EDF2"/>
          </w:tcPr>
          <w:p>
            <w:pPr>
              <w:spacing w:after="0"/>
              <w:jc w:val="right"/>
            </w:pPr>
            <w:r>
              <w:rPr>
                <w:rFonts w:ascii="Calibri" w:hAnsi="Calibri"/>
                <w:b/>
                <w:color w:val="1A1A1A"/>
                <w:sz w:val="17"/>
              </w:rPr>
              <w:t>EXISTS</w:t>
            </w:r>
          </w:p>
        </w:tc>
        <w:tc>
          <w:tcPr>
            <w:tcW w:type="dxa" w:w="1134"/>
            <w:shd w:val="clear" w:color="auto" w:fill="E8EDF2"/>
          </w:tcPr>
          <w:p>
            <w:pPr>
              <w:spacing w:after="0"/>
              <w:jc w:val="right"/>
            </w:pPr>
            <w:r>
              <w:rPr>
                <w:rFonts w:ascii="Calibri" w:hAnsi="Calibri"/>
                <w:b/>
                <w:color w:val="1A1A1A"/>
                <w:sz w:val="17"/>
              </w:rPr>
              <w:t>PARTIAL</w:t>
            </w:r>
          </w:p>
        </w:tc>
        <w:tc>
          <w:tcPr>
            <w:tcW w:type="dxa" w:w="1020"/>
            <w:shd w:val="clear" w:color="auto" w:fill="E8EDF2"/>
          </w:tcPr>
          <w:p>
            <w:pPr>
              <w:spacing w:after="0"/>
              <w:jc w:val="right"/>
            </w:pPr>
            <w:r>
              <w:rPr>
                <w:rFonts w:ascii="Calibri" w:hAnsi="Calibri"/>
                <w:b/>
                <w:color w:val="1A1A1A"/>
                <w:sz w:val="17"/>
              </w:rPr>
              <w:t>NEW</w:t>
            </w:r>
          </w:p>
        </w:tc>
        <w:tc>
          <w:tcPr>
            <w:tcW w:type="dxa" w:w="5102"/>
            <w:shd w:val="clear" w:color="auto" w:fill="E8EDF2"/>
          </w:tcPr>
          <w:p>
            <w:pPr>
              <w:spacing w:after="0"/>
              <w:jc w:val="left"/>
            </w:pPr>
            <w:r>
              <w:rPr>
                <w:rFonts w:ascii="Calibri" w:hAnsi="Calibri"/>
                <w:b/>
                <w:color w:val="1A1A1A"/>
                <w:sz w:val="17"/>
              </w:rPr>
              <w:t>Headline gap</w:t>
            </w:r>
          </w:p>
        </w:tc>
      </w:tr>
      <w:tr>
        <w:tc>
          <w:tcPr>
            <w:tcW w:type="dxa" w:w="1928"/>
          </w:tcPr>
          <w:p>
            <w:pPr>
              <w:spacing w:after="0" w:line="252" w:lineRule="auto"/>
              <w:jc w:val="left"/>
            </w:pPr>
            <w:r>
              <w:rPr>
                <w:rFonts w:ascii="Calibri" w:hAnsi="Calibri"/>
                <w:color w:val="1A1A1A"/>
                <w:sz w:val="17"/>
              </w:rPr>
              <w:t>1 Client</w:t>
            </w:r>
          </w:p>
        </w:tc>
        <w:tc>
          <w:tcPr>
            <w:tcW w:type="dxa" w:w="1134"/>
          </w:tcPr>
          <w:p>
            <w:pPr>
              <w:spacing w:after="0" w:line="252" w:lineRule="auto"/>
              <w:jc w:val="right"/>
            </w:pPr>
            <w:r>
              <w:rPr>
                <w:rFonts w:ascii="Calibri" w:hAnsi="Calibri"/>
                <w:color w:val="1A1A1A"/>
                <w:sz w:val="17"/>
              </w:rPr>
              <w:t>7</w:t>
            </w:r>
          </w:p>
        </w:tc>
        <w:tc>
          <w:tcPr>
            <w:tcW w:type="dxa" w:w="1134"/>
          </w:tcPr>
          <w:p>
            <w:pPr>
              <w:spacing w:after="0" w:line="252" w:lineRule="auto"/>
              <w:jc w:val="right"/>
            </w:pPr>
            <w:r>
              <w:rPr>
                <w:rFonts w:ascii="Calibri" w:hAnsi="Calibri"/>
                <w:color w:val="1A1A1A"/>
                <w:sz w:val="17"/>
              </w:rPr>
              <w:t>2</w:t>
            </w:r>
          </w:p>
        </w:tc>
        <w:tc>
          <w:tcPr>
            <w:tcW w:type="dxa" w:w="1020"/>
          </w:tcPr>
          <w:p>
            <w:pPr>
              <w:spacing w:after="0" w:line="252" w:lineRule="auto"/>
              <w:jc w:val="right"/>
            </w:pPr>
            <w:r>
              <w:rPr>
                <w:rFonts w:ascii="Calibri" w:hAnsi="Calibri"/>
                <w:color w:val="1A1A1A"/>
                <w:sz w:val="17"/>
              </w:rPr>
              <w:t>7</w:t>
            </w:r>
          </w:p>
        </w:tc>
        <w:tc>
          <w:tcPr>
            <w:tcW w:type="dxa" w:w="5102"/>
          </w:tcPr>
          <w:p>
            <w:pPr>
              <w:spacing w:after="0" w:line="252" w:lineRule="auto"/>
              <w:jc w:val="left"/>
            </w:pPr>
            <w:r>
              <w:rPr>
                <w:rFonts w:ascii="Calibri" w:hAnsi="Calibri"/>
                <w:color w:val="1A1A1A"/>
                <w:sz w:val="17"/>
              </w:rPr>
              <w:t>No group structure and no merge — duplicates are detected but cannot be resolved</w:t>
            </w:r>
          </w:p>
        </w:tc>
      </w:tr>
      <w:tr>
        <w:tc>
          <w:tcPr>
            <w:tcW w:type="dxa" w:w="1928"/>
            <w:shd w:val="clear" w:color="auto" w:fill="FAFBFC"/>
          </w:tcPr>
          <w:p>
            <w:pPr>
              <w:spacing w:after="0" w:line="252" w:lineRule="auto"/>
              <w:jc w:val="left"/>
            </w:pPr>
            <w:r>
              <w:rPr>
                <w:rFonts w:ascii="Calibri" w:hAnsi="Calibri"/>
                <w:color w:val="1A1A1A"/>
                <w:sz w:val="17"/>
              </w:rPr>
              <w:t>2 Pipeline</w:t>
            </w:r>
          </w:p>
        </w:tc>
        <w:tc>
          <w:tcPr>
            <w:tcW w:type="dxa" w:w="1134"/>
            <w:shd w:val="clear" w:color="auto" w:fill="FAFBFC"/>
          </w:tcPr>
          <w:p>
            <w:pPr>
              <w:spacing w:after="0" w:line="252" w:lineRule="auto"/>
              <w:jc w:val="right"/>
            </w:pPr>
            <w:r>
              <w:rPr>
                <w:rFonts w:ascii="Calibri" w:hAnsi="Calibri"/>
                <w:color w:val="1A1A1A"/>
                <w:sz w:val="17"/>
              </w:rPr>
              <w:t>10</w:t>
            </w:r>
          </w:p>
        </w:tc>
        <w:tc>
          <w:tcPr>
            <w:tcW w:type="dxa" w:w="1134"/>
            <w:shd w:val="clear" w:color="auto" w:fill="FAFBFC"/>
          </w:tcPr>
          <w:p>
            <w:pPr>
              <w:spacing w:after="0" w:line="252" w:lineRule="auto"/>
              <w:jc w:val="right"/>
            </w:pPr>
            <w:r>
              <w:rPr>
                <w:rFonts w:ascii="Calibri" w:hAnsi="Calibri"/>
                <w:color w:val="1A1A1A"/>
                <w:sz w:val="17"/>
              </w:rPr>
              <w:t>3</w:t>
            </w:r>
          </w:p>
        </w:tc>
        <w:tc>
          <w:tcPr>
            <w:tcW w:type="dxa" w:w="1020"/>
            <w:shd w:val="clear" w:color="auto" w:fill="FAFBFC"/>
          </w:tcPr>
          <w:p>
            <w:pPr>
              <w:spacing w:after="0" w:line="252" w:lineRule="auto"/>
              <w:jc w:val="right"/>
            </w:pPr>
            <w:r>
              <w:rPr>
                <w:rFonts w:ascii="Calibri" w:hAnsi="Calibri"/>
                <w:color w:val="1A1A1A"/>
                <w:sz w:val="17"/>
              </w:rPr>
              <w:t>5</w:t>
            </w:r>
          </w:p>
        </w:tc>
        <w:tc>
          <w:tcPr>
            <w:tcW w:type="dxa" w:w="5102"/>
            <w:shd w:val="clear" w:color="auto" w:fill="FAFBFC"/>
          </w:tcPr>
          <w:p>
            <w:pPr>
              <w:spacing w:after="0" w:line="252" w:lineRule="auto"/>
              <w:jc w:val="left"/>
            </w:pPr>
            <w:r>
              <w:rPr>
                <w:rFonts w:ascii="Calibri" w:hAnsi="Calibri"/>
                <w:color w:val="1A1A1A"/>
                <w:sz w:val="17"/>
              </w:rPr>
              <w:t>Stages carry probability but no criteria, so the forecast is an opinion</w:t>
            </w:r>
          </w:p>
        </w:tc>
      </w:tr>
      <w:tr>
        <w:tc>
          <w:tcPr>
            <w:tcW w:type="dxa" w:w="1928"/>
          </w:tcPr>
          <w:p>
            <w:pPr>
              <w:spacing w:after="0" w:line="252" w:lineRule="auto"/>
              <w:jc w:val="left"/>
            </w:pPr>
            <w:r>
              <w:rPr>
                <w:rFonts w:ascii="Calibri" w:hAnsi="Calibri"/>
                <w:color w:val="1A1A1A"/>
                <w:sz w:val="17"/>
              </w:rPr>
              <w:t>3 Partner</w:t>
            </w:r>
          </w:p>
        </w:tc>
        <w:tc>
          <w:tcPr>
            <w:tcW w:type="dxa" w:w="1134"/>
          </w:tcPr>
          <w:p>
            <w:pPr>
              <w:spacing w:after="0" w:line="252" w:lineRule="auto"/>
              <w:jc w:val="right"/>
            </w:pPr>
            <w:r>
              <w:rPr>
                <w:rFonts w:ascii="Calibri" w:hAnsi="Calibri"/>
                <w:color w:val="1A1A1A"/>
                <w:sz w:val="17"/>
              </w:rPr>
              <w:t>3</w:t>
            </w:r>
          </w:p>
        </w:tc>
        <w:tc>
          <w:tcPr>
            <w:tcW w:type="dxa" w:w="1134"/>
          </w:tcPr>
          <w:p>
            <w:pPr>
              <w:spacing w:after="0" w:line="252" w:lineRule="auto"/>
              <w:jc w:val="right"/>
            </w:pPr>
            <w:r>
              <w:rPr>
                <w:rFonts w:ascii="Calibri" w:hAnsi="Calibri"/>
                <w:color w:val="1A1A1A"/>
                <w:sz w:val="17"/>
              </w:rPr>
              <w:t>1</w:t>
            </w:r>
          </w:p>
        </w:tc>
        <w:tc>
          <w:tcPr>
            <w:tcW w:type="dxa" w:w="1020"/>
          </w:tcPr>
          <w:p>
            <w:pPr>
              <w:spacing w:after="0" w:line="252" w:lineRule="auto"/>
              <w:jc w:val="right"/>
            </w:pPr>
            <w:r>
              <w:rPr>
                <w:rFonts w:ascii="Calibri" w:hAnsi="Calibri"/>
                <w:color w:val="1A1A1A"/>
                <w:sz w:val="17"/>
              </w:rPr>
              <w:t>11</w:t>
            </w:r>
          </w:p>
        </w:tc>
        <w:tc>
          <w:tcPr>
            <w:tcW w:type="dxa" w:w="5102"/>
          </w:tcPr>
          <w:p>
            <w:pPr>
              <w:spacing w:after="0" w:line="252" w:lineRule="auto"/>
              <w:jc w:val="left"/>
            </w:pPr>
            <w:r>
              <w:rPr>
                <w:rFonts w:ascii="Calibri" w:hAnsi="Calibri"/>
                <w:color w:val="1A1A1A"/>
                <w:sz w:val="17"/>
              </w:rPr>
              <w:t>Attribution is one foreign key: no registration, no window, no credit model, no fee</w:t>
            </w:r>
          </w:p>
        </w:tc>
      </w:tr>
      <w:tr>
        <w:tc>
          <w:tcPr>
            <w:tcW w:type="dxa" w:w="1928"/>
            <w:shd w:val="clear" w:color="auto" w:fill="FAFBFC"/>
          </w:tcPr>
          <w:p>
            <w:pPr>
              <w:spacing w:after="0" w:line="252" w:lineRule="auto"/>
              <w:jc w:val="left"/>
            </w:pPr>
            <w:r>
              <w:rPr>
                <w:rFonts w:ascii="Calibri" w:hAnsi="Calibri"/>
                <w:color w:val="1A1A1A"/>
                <w:sz w:val="17"/>
              </w:rPr>
              <w:t>4 Pricing</w:t>
            </w:r>
          </w:p>
        </w:tc>
        <w:tc>
          <w:tcPr>
            <w:tcW w:type="dxa" w:w="1134"/>
            <w:shd w:val="clear" w:color="auto" w:fill="FAFBFC"/>
          </w:tcPr>
          <w:p>
            <w:pPr>
              <w:spacing w:after="0" w:line="252" w:lineRule="auto"/>
              <w:jc w:val="right"/>
            </w:pPr>
            <w:r>
              <w:rPr>
                <w:rFonts w:ascii="Calibri" w:hAnsi="Calibri"/>
                <w:color w:val="1A1A1A"/>
                <w:sz w:val="17"/>
              </w:rPr>
              <w:t>0</w:t>
            </w:r>
          </w:p>
        </w:tc>
        <w:tc>
          <w:tcPr>
            <w:tcW w:type="dxa" w:w="1134"/>
            <w:shd w:val="clear" w:color="auto" w:fill="FAFBFC"/>
          </w:tcPr>
          <w:p>
            <w:pPr>
              <w:spacing w:after="0" w:line="252" w:lineRule="auto"/>
              <w:jc w:val="right"/>
            </w:pPr>
            <w:r>
              <w:rPr>
                <w:rFonts w:ascii="Calibri" w:hAnsi="Calibri"/>
                <w:color w:val="1A1A1A"/>
                <w:sz w:val="17"/>
              </w:rPr>
              <w:t>0</w:t>
            </w:r>
          </w:p>
        </w:tc>
        <w:tc>
          <w:tcPr>
            <w:tcW w:type="dxa" w:w="1020"/>
            <w:shd w:val="clear" w:color="auto" w:fill="FAFBFC"/>
          </w:tcPr>
          <w:p>
            <w:pPr>
              <w:spacing w:after="0" w:line="252" w:lineRule="auto"/>
              <w:jc w:val="right"/>
            </w:pPr>
            <w:r>
              <w:rPr>
                <w:rFonts w:ascii="Calibri" w:hAnsi="Calibri"/>
                <w:color w:val="1A1A1A"/>
                <w:sz w:val="17"/>
              </w:rPr>
              <w:t>53</w:t>
            </w:r>
          </w:p>
        </w:tc>
        <w:tc>
          <w:tcPr>
            <w:tcW w:type="dxa" w:w="5102"/>
            <w:shd w:val="clear" w:color="auto" w:fill="FAFBFC"/>
          </w:tcPr>
          <w:p>
            <w:pPr>
              <w:spacing w:after="0" w:line="252" w:lineRule="auto"/>
              <w:jc w:val="left"/>
            </w:pPr>
            <w:r>
              <w:rPr>
                <w:rFonts w:ascii="Calibri" w:hAnsi="Calibri"/>
                <w:color w:val="1A1A1A"/>
                <w:sz w:val="17"/>
              </w:rPr>
              <w:t>The entire pillar. No cost basis exists for any price the business quotes</w:t>
            </w:r>
          </w:p>
        </w:tc>
      </w:tr>
      <w:tr>
        <w:tc>
          <w:tcPr>
            <w:tcW w:type="dxa" w:w="1928"/>
          </w:tcPr>
          <w:p>
            <w:pPr>
              <w:spacing w:after="0" w:line="252" w:lineRule="auto"/>
              <w:jc w:val="left"/>
            </w:pPr>
            <w:r>
              <w:rPr>
                <w:rFonts w:ascii="Calibri" w:hAnsi="Calibri"/>
                <w:color w:val="1A1A1A"/>
                <w:sz w:val="17"/>
              </w:rPr>
              <w:t>5 Contract</w:t>
            </w:r>
          </w:p>
        </w:tc>
        <w:tc>
          <w:tcPr>
            <w:tcW w:type="dxa" w:w="1134"/>
          </w:tcPr>
          <w:p>
            <w:pPr>
              <w:spacing w:after="0" w:line="252" w:lineRule="auto"/>
              <w:jc w:val="right"/>
            </w:pPr>
            <w:r>
              <w:rPr>
                <w:rFonts w:ascii="Calibri" w:hAnsi="Calibri"/>
                <w:color w:val="1A1A1A"/>
                <w:sz w:val="17"/>
              </w:rPr>
              <w:t>3</w:t>
            </w:r>
          </w:p>
        </w:tc>
        <w:tc>
          <w:tcPr>
            <w:tcW w:type="dxa" w:w="1134"/>
          </w:tcPr>
          <w:p>
            <w:pPr>
              <w:spacing w:after="0" w:line="252" w:lineRule="auto"/>
              <w:jc w:val="right"/>
            </w:pPr>
            <w:r>
              <w:rPr>
                <w:rFonts w:ascii="Calibri" w:hAnsi="Calibri"/>
                <w:color w:val="1A1A1A"/>
                <w:sz w:val="17"/>
              </w:rPr>
              <w:t>6</w:t>
            </w:r>
          </w:p>
        </w:tc>
        <w:tc>
          <w:tcPr>
            <w:tcW w:type="dxa" w:w="1020"/>
          </w:tcPr>
          <w:p>
            <w:pPr>
              <w:spacing w:after="0" w:line="252" w:lineRule="auto"/>
              <w:jc w:val="right"/>
            </w:pPr>
            <w:r>
              <w:rPr>
                <w:rFonts w:ascii="Calibri" w:hAnsi="Calibri"/>
                <w:color w:val="1A1A1A"/>
                <w:sz w:val="17"/>
              </w:rPr>
              <w:t>6</w:t>
            </w:r>
          </w:p>
        </w:tc>
        <w:tc>
          <w:tcPr>
            <w:tcW w:type="dxa" w:w="5102"/>
          </w:tcPr>
          <w:p>
            <w:pPr>
              <w:spacing w:after="0" w:line="252" w:lineRule="auto"/>
              <w:jc w:val="left"/>
            </w:pPr>
            <w:r>
              <w:rPr>
                <w:rFonts w:ascii="Calibri" w:hAnsi="Calibri"/>
                <w:color w:val="1A1A1A"/>
                <w:sz w:val="17"/>
              </w:rPr>
              <w:t>Contracts are 1:1 with a deal and hold no documents — no renewal, no amendment, no file</w:t>
            </w:r>
          </w:p>
        </w:tc>
      </w:tr>
      <w:tr>
        <w:tc>
          <w:tcPr>
            <w:tcW w:type="dxa" w:w="1928"/>
            <w:shd w:val="clear" w:color="auto" w:fill="FAFBFC"/>
          </w:tcPr>
          <w:p>
            <w:pPr>
              <w:spacing w:after="0" w:line="252" w:lineRule="auto"/>
              <w:jc w:val="left"/>
            </w:pPr>
            <w:r>
              <w:rPr>
                <w:rFonts w:ascii="Calibri" w:hAnsi="Calibri"/>
                <w:color w:val="1A1A1A"/>
                <w:sz w:val="17"/>
              </w:rPr>
              <w:t>6 Delivery</w:t>
            </w:r>
          </w:p>
        </w:tc>
        <w:tc>
          <w:tcPr>
            <w:tcW w:type="dxa" w:w="1134"/>
            <w:shd w:val="clear" w:color="auto" w:fill="FAFBFC"/>
          </w:tcPr>
          <w:p>
            <w:pPr>
              <w:spacing w:after="0" w:line="252" w:lineRule="auto"/>
              <w:jc w:val="right"/>
            </w:pPr>
            <w:r>
              <w:rPr>
                <w:rFonts w:ascii="Calibri" w:hAnsi="Calibri"/>
                <w:color w:val="1A1A1A"/>
                <w:sz w:val="17"/>
              </w:rPr>
              <w:t>4</w:t>
            </w:r>
          </w:p>
        </w:tc>
        <w:tc>
          <w:tcPr>
            <w:tcW w:type="dxa" w:w="1134"/>
            <w:shd w:val="clear" w:color="auto" w:fill="FAFBFC"/>
          </w:tcPr>
          <w:p>
            <w:pPr>
              <w:spacing w:after="0" w:line="252" w:lineRule="auto"/>
              <w:jc w:val="right"/>
            </w:pPr>
            <w:r>
              <w:rPr>
                <w:rFonts w:ascii="Calibri" w:hAnsi="Calibri"/>
                <w:color w:val="1A1A1A"/>
                <w:sz w:val="17"/>
              </w:rPr>
              <w:t>4</w:t>
            </w:r>
          </w:p>
        </w:tc>
        <w:tc>
          <w:tcPr>
            <w:tcW w:type="dxa" w:w="1020"/>
            <w:shd w:val="clear" w:color="auto" w:fill="FAFBFC"/>
          </w:tcPr>
          <w:p>
            <w:pPr>
              <w:spacing w:after="0" w:line="252" w:lineRule="auto"/>
              <w:jc w:val="right"/>
            </w:pPr>
            <w:r>
              <w:rPr>
                <w:rFonts w:ascii="Calibri" w:hAnsi="Calibri"/>
                <w:color w:val="1A1A1A"/>
                <w:sz w:val="17"/>
              </w:rPr>
              <w:t>7</w:t>
            </w:r>
          </w:p>
        </w:tc>
        <w:tc>
          <w:tcPr>
            <w:tcW w:type="dxa" w:w="5102"/>
            <w:shd w:val="clear" w:color="auto" w:fill="FAFBFC"/>
          </w:tcPr>
          <w:p>
            <w:pPr>
              <w:spacing w:after="0" w:line="252" w:lineRule="auto"/>
              <w:jc w:val="left"/>
            </w:pPr>
            <w:r>
              <w:rPr>
                <w:rFonts w:ascii="Calibri" w:hAnsi="Calibri"/>
                <w:color w:val="1A1A1A"/>
                <w:sz w:val="17"/>
              </w:rPr>
              <w:t>No milestones or deliverables, so delivery cannot trigger billing</w:t>
            </w:r>
          </w:p>
        </w:tc>
      </w:tr>
      <w:tr>
        <w:tc>
          <w:tcPr>
            <w:tcW w:type="dxa" w:w="1928"/>
          </w:tcPr>
          <w:p>
            <w:pPr>
              <w:spacing w:after="0" w:line="252" w:lineRule="auto"/>
              <w:jc w:val="left"/>
            </w:pPr>
            <w:r>
              <w:rPr>
                <w:rFonts w:ascii="Calibri" w:hAnsi="Calibri"/>
                <w:color w:val="1A1A1A"/>
                <w:sz w:val="17"/>
              </w:rPr>
              <w:t>7 Revenue</w:t>
            </w:r>
          </w:p>
        </w:tc>
        <w:tc>
          <w:tcPr>
            <w:tcW w:type="dxa" w:w="1134"/>
          </w:tcPr>
          <w:p>
            <w:pPr>
              <w:spacing w:after="0" w:line="252" w:lineRule="auto"/>
              <w:jc w:val="right"/>
            </w:pPr>
            <w:r>
              <w:rPr>
                <w:rFonts w:ascii="Calibri" w:hAnsi="Calibri"/>
                <w:color w:val="1A1A1A"/>
                <w:sz w:val="17"/>
              </w:rPr>
              <w:t>0</w:t>
            </w:r>
          </w:p>
        </w:tc>
        <w:tc>
          <w:tcPr>
            <w:tcW w:type="dxa" w:w="1134"/>
          </w:tcPr>
          <w:p>
            <w:pPr>
              <w:spacing w:after="0" w:line="252" w:lineRule="auto"/>
              <w:jc w:val="right"/>
            </w:pPr>
            <w:r>
              <w:rPr>
                <w:rFonts w:ascii="Calibri" w:hAnsi="Calibri"/>
                <w:color w:val="1A1A1A"/>
                <w:sz w:val="17"/>
              </w:rPr>
              <w:t>2</w:t>
            </w:r>
          </w:p>
        </w:tc>
        <w:tc>
          <w:tcPr>
            <w:tcW w:type="dxa" w:w="1020"/>
          </w:tcPr>
          <w:p>
            <w:pPr>
              <w:spacing w:after="0" w:line="252" w:lineRule="auto"/>
              <w:jc w:val="right"/>
            </w:pPr>
            <w:r>
              <w:rPr>
                <w:rFonts w:ascii="Calibri" w:hAnsi="Calibri"/>
                <w:color w:val="1A1A1A"/>
                <w:sz w:val="17"/>
              </w:rPr>
              <w:t>15</w:t>
            </w:r>
          </w:p>
        </w:tc>
        <w:tc>
          <w:tcPr>
            <w:tcW w:type="dxa" w:w="5102"/>
          </w:tcPr>
          <w:p>
            <w:pPr>
              <w:spacing w:after="0" w:line="252" w:lineRule="auto"/>
              <w:jc w:val="left"/>
            </w:pPr>
            <w:r>
              <w:rPr>
                <w:rFonts w:ascii="Calibri" w:hAnsi="Calibri"/>
                <w:color w:val="1A1A1A"/>
                <w:sz w:val="17"/>
              </w:rPr>
              <w:t>The platform has one money state (contracted) where it needs five</w:t>
            </w:r>
          </w:p>
        </w:tc>
      </w:tr>
      <w:tr>
        <w:tc>
          <w:tcPr>
            <w:tcW w:type="dxa" w:w="1928"/>
            <w:shd w:val="clear" w:color="auto" w:fill="FAFBFC"/>
          </w:tcPr>
          <w:p>
            <w:pPr>
              <w:spacing w:after="0" w:line="252" w:lineRule="auto"/>
              <w:jc w:val="left"/>
            </w:pPr>
            <w:r>
              <w:rPr>
                <w:rFonts w:ascii="Calibri" w:hAnsi="Calibri"/>
                <w:color w:val="1A1A1A"/>
                <w:sz w:val="17"/>
              </w:rPr>
              <w:t>8 Intelligence</w:t>
            </w:r>
          </w:p>
        </w:tc>
        <w:tc>
          <w:tcPr>
            <w:tcW w:type="dxa" w:w="1134"/>
            <w:shd w:val="clear" w:color="auto" w:fill="FAFBFC"/>
          </w:tcPr>
          <w:p>
            <w:pPr>
              <w:spacing w:after="0" w:line="252" w:lineRule="auto"/>
              <w:jc w:val="right"/>
            </w:pPr>
            <w:r>
              <w:rPr>
                <w:rFonts w:ascii="Calibri" w:hAnsi="Calibri"/>
                <w:color w:val="1A1A1A"/>
                <w:sz w:val="17"/>
              </w:rPr>
              <w:t>4</w:t>
            </w:r>
          </w:p>
        </w:tc>
        <w:tc>
          <w:tcPr>
            <w:tcW w:type="dxa" w:w="1134"/>
            <w:shd w:val="clear" w:color="auto" w:fill="FAFBFC"/>
          </w:tcPr>
          <w:p>
            <w:pPr>
              <w:spacing w:after="0" w:line="252" w:lineRule="auto"/>
              <w:jc w:val="right"/>
            </w:pPr>
            <w:r>
              <w:rPr>
                <w:rFonts w:ascii="Calibri" w:hAnsi="Calibri"/>
                <w:color w:val="1A1A1A"/>
                <w:sz w:val="17"/>
              </w:rPr>
              <w:t>4</w:t>
            </w:r>
          </w:p>
        </w:tc>
        <w:tc>
          <w:tcPr>
            <w:tcW w:type="dxa" w:w="1020"/>
            <w:shd w:val="clear" w:color="auto" w:fill="FAFBFC"/>
          </w:tcPr>
          <w:p>
            <w:pPr>
              <w:spacing w:after="0" w:line="252" w:lineRule="auto"/>
              <w:jc w:val="right"/>
            </w:pPr>
            <w:r>
              <w:rPr>
                <w:rFonts w:ascii="Calibri" w:hAnsi="Calibri"/>
                <w:color w:val="1A1A1A"/>
                <w:sz w:val="17"/>
              </w:rPr>
              <w:t>7</w:t>
            </w:r>
          </w:p>
        </w:tc>
        <w:tc>
          <w:tcPr>
            <w:tcW w:type="dxa" w:w="5102"/>
            <w:shd w:val="clear" w:color="auto" w:fill="FAFBFC"/>
          </w:tcPr>
          <w:p>
            <w:pPr>
              <w:spacing w:after="0" w:line="252" w:lineRule="auto"/>
              <w:jc w:val="left"/>
            </w:pPr>
            <w:r>
              <w:rPr>
                <w:rFonts w:ascii="Calibri" w:hAnsi="Calibri"/>
                <w:color w:val="1A1A1A"/>
                <w:sz w:val="17"/>
              </w:rPr>
              <w:t>Alerts notify but have no lifecycle — no owner, no action, no resolution</w:t>
            </w:r>
          </w:p>
        </w:tc>
      </w:tr>
      <w:tr>
        <w:tc>
          <w:tcPr>
            <w:tcW w:type="dxa" w:w="1928"/>
          </w:tcPr>
          <w:p>
            <w:pPr>
              <w:spacing w:after="0" w:line="252" w:lineRule="auto"/>
              <w:jc w:val="left"/>
            </w:pPr>
            <w:r>
              <w:rPr>
                <w:rFonts w:ascii="Calibri" w:hAnsi="Calibri"/>
                <w:color w:val="1A1A1A"/>
                <w:sz w:val="17"/>
              </w:rPr>
              <w:t>Cross-cutting</w:t>
            </w:r>
          </w:p>
        </w:tc>
        <w:tc>
          <w:tcPr>
            <w:tcW w:type="dxa" w:w="1134"/>
          </w:tcPr>
          <w:p>
            <w:pPr>
              <w:spacing w:after="0" w:line="252" w:lineRule="auto"/>
              <w:jc w:val="right"/>
            </w:pPr>
            <w:r>
              <w:rPr>
                <w:rFonts w:ascii="Calibri" w:hAnsi="Calibri"/>
                <w:color w:val="1A1A1A"/>
                <w:sz w:val="17"/>
              </w:rPr>
              <w:t>9</w:t>
            </w:r>
          </w:p>
        </w:tc>
        <w:tc>
          <w:tcPr>
            <w:tcW w:type="dxa" w:w="1134"/>
          </w:tcPr>
          <w:p>
            <w:pPr>
              <w:spacing w:after="0" w:line="252" w:lineRule="auto"/>
              <w:jc w:val="right"/>
            </w:pPr>
            <w:r>
              <w:rPr>
                <w:rFonts w:ascii="Calibri" w:hAnsi="Calibri"/>
                <w:color w:val="1A1A1A"/>
                <w:sz w:val="17"/>
              </w:rPr>
              <w:t>5</w:t>
            </w:r>
          </w:p>
        </w:tc>
        <w:tc>
          <w:tcPr>
            <w:tcW w:type="dxa" w:w="1020"/>
          </w:tcPr>
          <w:p>
            <w:pPr>
              <w:spacing w:after="0" w:line="252" w:lineRule="auto"/>
              <w:jc w:val="right"/>
            </w:pPr>
            <w:r>
              <w:rPr>
                <w:rFonts w:ascii="Calibri" w:hAnsi="Calibri"/>
                <w:color w:val="1A1A1A"/>
                <w:sz w:val="17"/>
              </w:rPr>
              <w:t>10</w:t>
            </w:r>
          </w:p>
        </w:tc>
        <w:tc>
          <w:tcPr>
            <w:tcW w:type="dxa" w:w="5102"/>
          </w:tcPr>
          <w:p>
            <w:pPr>
              <w:spacing w:after="0" w:line="252" w:lineRule="auto"/>
              <w:jc w:val="left"/>
            </w:pPr>
            <w:r>
              <w:rPr>
                <w:rFonts w:ascii="Calibri" w:hAnsi="Calibri"/>
                <w:color w:val="1A1A1A"/>
                <w:sz w:val="17"/>
              </w:rPr>
              <w:t>No approval workflow, no file storage, no field-level entitlement</w:t>
            </w:r>
          </w:p>
        </w:tc>
      </w:tr>
      <w:tr>
        <w:tc>
          <w:tcPr>
            <w:tcW w:type="dxa" w:w="1928"/>
            <w:shd w:val="clear" w:color="auto" w:fill="FAFBFC"/>
          </w:tcPr>
          <w:p>
            <w:pPr>
              <w:spacing w:after="0" w:line="252" w:lineRule="auto"/>
              <w:jc w:val="left"/>
            </w:pPr>
            <w:r>
              <w:rPr>
                <w:rFonts w:ascii="Calibri" w:hAnsi="Calibri"/>
                <w:b/>
                <w:color w:val="1A1A1A"/>
                <w:sz w:val="17"/>
              </w:rPr>
              <w:t>Total</w:t>
            </w:r>
          </w:p>
        </w:tc>
        <w:tc>
          <w:tcPr>
            <w:tcW w:type="dxa" w:w="1134"/>
            <w:shd w:val="clear" w:color="auto" w:fill="FAFBFC"/>
          </w:tcPr>
          <w:p>
            <w:pPr>
              <w:spacing w:after="0" w:line="252" w:lineRule="auto"/>
              <w:jc w:val="right"/>
            </w:pPr>
            <w:r>
              <w:rPr>
                <w:rFonts w:ascii="Calibri" w:hAnsi="Calibri"/>
                <w:b/>
                <w:color w:val="1A1A1A"/>
                <w:sz w:val="17"/>
              </w:rPr>
              <w:t>40</w:t>
            </w:r>
          </w:p>
        </w:tc>
        <w:tc>
          <w:tcPr>
            <w:tcW w:type="dxa" w:w="1134"/>
            <w:shd w:val="clear" w:color="auto" w:fill="FAFBFC"/>
          </w:tcPr>
          <w:p>
            <w:pPr>
              <w:spacing w:after="0" w:line="252" w:lineRule="auto"/>
              <w:jc w:val="right"/>
            </w:pPr>
            <w:r>
              <w:rPr>
                <w:rFonts w:ascii="Calibri" w:hAnsi="Calibri"/>
                <w:b/>
                <w:color w:val="1A1A1A"/>
                <w:sz w:val="17"/>
              </w:rPr>
              <w:t>27</w:t>
            </w:r>
          </w:p>
        </w:tc>
        <w:tc>
          <w:tcPr>
            <w:tcW w:type="dxa" w:w="1020"/>
            <w:shd w:val="clear" w:color="auto" w:fill="FAFBFC"/>
          </w:tcPr>
          <w:p>
            <w:pPr>
              <w:spacing w:after="0" w:line="252" w:lineRule="auto"/>
              <w:jc w:val="right"/>
            </w:pPr>
            <w:r>
              <w:rPr>
                <w:rFonts w:ascii="Calibri" w:hAnsi="Calibri"/>
                <w:b/>
                <w:color w:val="1A1A1A"/>
                <w:sz w:val="17"/>
              </w:rPr>
              <w:t>121</w:t>
            </w:r>
          </w:p>
        </w:tc>
        <w:tc>
          <w:tcPr>
            <w:tcW w:type="dxa" w:w="5102"/>
            <w:shd w:val="clear" w:color="auto" w:fill="FAFBFC"/>
          </w:tcPr>
          <w:p>
            <w:pPr>
              <w:spacing w:after="0" w:line="252" w:lineRule="auto"/>
              <w:jc w:val="left"/>
            </w:pPr>
            <w:r>
              <w:rPr>
                <w:rFonts w:ascii="Calibri" w:hAnsi="Calibri"/>
                <w:b/>
                <w:color w:val="1A1A1A"/>
                <w:sz w:val="17"/>
              </w:rPr>
              <w:t>188 functional requirements</w:t>
            </w:r>
          </w:p>
        </w:tc>
      </w:tr>
    </w:tbl>
    <w:p>
      <w:pPr>
        <w:spacing w:after="80"/>
      </w:pPr>
    </w:p>
    <w:p>
      <w:r>
        <w:rPr>
          <w:rFonts w:ascii="Calibri" w:hAnsi="Calibri"/>
          <w:color w:val="1A1A1A"/>
        </w:rPr>
        <w:t xml:space="preserve">Alongside these sit </w:t>
      </w:r>
      <w:r>
        <w:rPr>
          <w:rFonts w:ascii="Calibri" w:hAnsi="Calibri"/>
          <w:b/>
          <w:color w:val="1A1A1A"/>
        </w:rPr>
        <w:t>56 non-functional requirements</w:t>
      </w:r>
      <w:r>
        <w:rPr>
          <w:rFonts w:ascii="Calibri" w:hAnsi="Calibri"/>
          <w:color w:val="1A1A1A"/>
        </w:rPr>
        <w:t xml:space="preserve"> across nine groups.</w:t>
      </w:r>
    </w:p>
    <w:p>
      <w:r>
        <w:rPr>
          <w:rFonts w:ascii="Calibri" w:hAnsi="Calibri"/>
          <w:color w:val="1A1A1A"/>
        </w:rPr>
        <w:t>Read this table with one caveat: the EXISTS count for Pillars 1, 2 and 8 reflects genuinely mature capability, while the NEW count is concentrated in the commercial half of the business. The platform today is a good CRM with a delivery module attached. It is not yet a commercial operating layer, because four of the five numbers in the value chain do not exist in it.</w:t>
      </w:r>
    </w:p>
    <w:p>
      <w:r>
        <w:br w:type="page"/>
      </w:r>
    </w:p>
    <w:p>
      <w:pPr>
        <w:pStyle w:val="Heading1"/>
      </w:pPr>
      <w:r>
        <w:t>Section F — Recommended build sequence</w:t>
      </w:r>
    </w:p>
    <w:p>
      <w:r>
        <w:rPr>
          <w:rFonts w:ascii="Calibri" w:hAnsi="Calibri"/>
          <w:color w:val="1A1A1A"/>
        </w:rPr>
        <w:t>Ordered by dependency, not by appetite. Each phase is shippable and leaves the platform coherent.</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579"/>
        <w:gridCol w:w="2579"/>
        <w:gridCol w:w="2579"/>
        <w:gridCol w:w="2579"/>
      </w:tblGrid>
      <w:tr>
        <w:trPr>
          <w:tblHeader w:val="true"/>
        </w:trPr>
        <w:tc>
          <w:tcPr>
            <w:tcW w:type="dxa" w:w="1814"/>
            <w:shd w:val="clear" w:color="auto" w:fill="E8EDF2"/>
          </w:tcPr>
          <w:p>
            <w:pPr>
              <w:spacing w:after="0"/>
              <w:jc w:val="left"/>
            </w:pPr>
            <w:r>
              <w:rPr>
                <w:rFonts w:ascii="Calibri" w:hAnsi="Calibri"/>
                <w:b/>
                <w:color w:val="1A1A1A"/>
                <w:sz w:val="18"/>
              </w:rPr>
              <w:t>Phase</w:t>
            </w:r>
          </w:p>
        </w:tc>
        <w:tc>
          <w:tcPr>
            <w:tcW w:type="dxa" w:w="2835"/>
            <w:shd w:val="clear" w:color="auto" w:fill="E8EDF2"/>
          </w:tcPr>
          <w:p>
            <w:pPr>
              <w:spacing w:after="0"/>
              <w:jc w:val="left"/>
            </w:pPr>
            <w:r>
              <w:rPr>
                <w:rFonts w:ascii="Calibri" w:hAnsi="Calibri"/>
                <w:b/>
                <w:color w:val="1A1A1A"/>
                <w:sz w:val="18"/>
              </w:rPr>
              <w:t>Scope</w:t>
            </w:r>
          </w:p>
        </w:tc>
        <w:tc>
          <w:tcPr>
            <w:tcW w:type="dxa" w:w="2835"/>
            <w:shd w:val="clear" w:color="auto" w:fill="E8EDF2"/>
          </w:tcPr>
          <w:p>
            <w:pPr>
              <w:spacing w:after="0"/>
              <w:jc w:val="left"/>
            </w:pPr>
            <w:r>
              <w:rPr>
                <w:rFonts w:ascii="Calibri" w:hAnsi="Calibri"/>
                <w:b/>
                <w:color w:val="1A1A1A"/>
                <w:sz w:val="18"/>
              </w:rPr>
              <w:t>Why here</w:t>
            </w:r>
          </w:p>
        </w:tc>
        <w:tc>
          <w:tcPr>
            <w:tcW w:type="dxa" w:w="2835"/>
            <w:shd w:val="clear" w:color="auto" w:fill="E8EDF2"/>
          </w:tcPr>
          <w:p>
            <w:pPr>
              <w:spacing w:after="0"/>
              <w:jc w:val="left"/>
            </w:pPr>
            <w:r>
              <w:rPr>
                <w:rFonts w:ascii="Calibri" w:hAnsi="Calibri"/>
                <w:b/>
                <w:color w:val="1A1A1A"/>
                <w:sz w:val="18"/>
              </w:rPr>
              <w:t>Unblocks</w:t>
            </w:r>
          </w:p>
        </w:tc>
      </w:tr>
      <w:tr>
        <w:tc>
          <w:tcPr>
            <w:tcW w:type="dxa" w:w="1814"/>
          </w:tcPr>
          <w:p>
            <w:pPr>
              <w:spacing w:after="0" w:line="252" w:lineRule="auto"/>
              <w:jc w:val="left"/>
            </w:pPr>
            <w:r>
              <w:rPr>
                <w:rFonts w:ascii="Calibri" w:hAnsi="Calibri"/>
                <w:b/>
                <w:color w:val="1A1A1A"/>
                <w:sz w:val="18"/>
              </w:rPr>
              <w:t>0</w:t>
            </w:r>
          </w:p>
        </w:tc>
        <w:tc>
          <w:tcPr>
            <w:tcW w:type="dxa" w:w="2835"/>
          </w:tcPr>
          <w:p>
            <w:pPr>
              <w:spacing w:after="0" w:line="252" w:lineRule="auto"/>
              <w:jc w:val="left"/>
            </w:pPr>
            <w:r>
              <w:rPr>
                <w:rFonts w:ascii="Calibri" w:hAnsi="Calibri"/>
                <w:b/>
                <w:color w:val="1A1A1A"/>
                <w:sz w:val="18"/>
              </w:rPr>
              <w:t>Consolidate field redaction (FR-X-06), add the entitlement tier (FR-X-05), extend the SQL safety blocklist (NFR-SEC-05)</w:t>
            </w:r>
          </w:p>
        </w:tc>
        <w:tc>
          <w:tcPr>
            <w:tcW w:type="dxa" w:w="2835"/>
          </w:tcPr>
          <w:p>
            <w:pPr>
              <w:spacing w:after="0" w:line="252" w:lineRule="auto"/>
              <w:jc w:val="left"/>
            </w:pPr>
            <w:r>
              <w:rPr>
                <w:rFonts w:ascii="Calibri" w:hAnsi="Calibri"/>
                <w:color w:val="1A1A1A"/>
                <w:sz w:val="18"/>
              </w:rPr>
              <w:t xml:space="preserve">This must land </w:t>
            </w:r>
            <w:r>
              <w:rPr>
                <w:rFonts w:ascii="Calibri" w:hAnsi="Calibri"/>
                <w:b/>
                <w:color w:val="1A1A1A"/>
                <w:sz w:val="18"/>
              </w:rPr>
              <w:t>before</w:t>
            </w:r>
            <w:r>
              <w:rPr>
                <w:rFonts w:ascii="Calibri" w:hAnsi="Calibri"/>
                <w:color w:val="1A1A1A"/>
                <w:sz w:val="18"/>
              </w:rPr>
              <w:t xml:space="preserve"> any cost data enters the database. Doing it after means retrofitting security onto live salary-derived data</w:t>
            </w:r>
          </w:p>
        </w:tc>
        <w:tc>
          <w:tcPr>
            <w:tcW w:type="dxa" w:w="2835"/>
          </w:tcPr>
          <w:p>
            <w:pPr>
              <w:spacing w:after="0" w:line="252" w:lineRule="auto"/>
              <w:jc w:val="left"/>
            </w:pPr>
            <w:r>
              <w:rPr>
                <w:rFonts w:ascii="Calibri" w:hAnsi="Calibri"/>
                <w:color w:val="1A1A1A"/>
                <w:sz w:val="18"/>
              </w:rPr>
              <w:t>Everything in Pillar 4</w:t>
            </w:r>
          </w:p>
        </w:tc>
      </w:tr>
      <w:tr>
        <w:tc>
          <w:tcPr>
            <w:tcW w:type="dxa" w:w="1814"/>
            <w:shd w:val="clear" w:color="auto" w:fill="FAFBFC"/>
          </w:tcPr>
          <w:p>
            <w:pPr>
              <w:spacing w:after="0" w:line="252" w:lineRule="auto"/>
              <w:jc w:val="left"/>
            </w:pPr>
            <w:r>
              <w:rPr>
                <w:rFonts w:ascii="Calibri" w:hAnsi="Calibri"/>
                <w:b/>
                <w:color w:val="1A1A1A"/>
                <w:sz w:val="18"/>
              </w:rPr>
              <w:t>1</w:t>
            </w:r>
          </w:p>
        </w:tc>
        <w:tc>
          <w:tcPr>
            <w:tcW w:type="dxa" w:w="2835"/>
            <w:shd w:val="clear" w:color="auto" w:fill="FAFBFC"/>
          </w:tcPr>
          <w:p>
            <w:pPr>
              <w:spacing w:after="0" w:line="252" w:lineRule="auto"/>
              <w:jc w:val="left"/>
            </w:pPr>
            <w:r>
              <w:rPr>
                <w:rFonts w:ascii="Calibri" w:hAnsi="Calibri"/>
                <w:color w:val="1A1A1A"/>
                <w:sz w:val="18"/>
              </w:rPr>
              <w:t>File storage (FR-X-14), approval workflow (FR-X-12), role and service-line taxonomy (FR-X-10), effective dating helper (FR-X-09)</w:t>
            </w:r>
          </w:p>
        </w:tc>
        <w:tc>
          <w:tcPr>
            <w:tcW w:type="dxa" w:w="2835"/>
            <w:shd w:val="clear" w:color="auto" w:fill="FAFBFC"/>
          </w:tcPr>
          <w:p>
            <w:pPr>
              <w:spacing w:after="0" w:line="252" w:lineRule="auto"/>
              <w:jc w:val="left"/>
            </w:pPr>
            <w:r>
              <w:rPr>
                <w:rFonts w:ascii="Calibri" w:hAnsi="Calibri"/>
                <w:color w:val="1A1A1A"/>
                <w:sz w:val="18"/>
              </w:rPr>
              <w:t>Four shared services that three later pillars each need. Building them once is the difference between a platform and four features</w:t>
            </w:r>
          </w:p>
        </w:tc>
        <w:tc>
          <w:tcPr>
            <w:tcW w:type="dxa" w:w="2835"/>
            <w:shd w:val="clear" w:color="auto" w:fill="FAFBFC"/>
          </w:tcPr>
          <w:p>
            <w:pPr>
              <w:spacing w:after="0" w:line="252" w:lineRule="auto"/>
              <w:jc w:val="left"/>
            </w:pPr>
            <w:r>
              <w:rPr>
                <w:rFonts w:ascii="Calibri" w:hAnsi="Calibri"/>
                <w:color w:val="1A1A1A"/>
                <w:sz w:val="18"/>
              </w:rPr>
              <w:t>P4, P5, P7</w:t>
            </w:r>
          </w:p>
        </w:tc>
      </w:tr>
      <w:tr>
        <w:tc>
          <w:tcPr>
            <w:tcW w:type="dxa" w:w="1814"/>
          </w:tcPr>
          <w:p>
            <w:pPr>
              <w:spacing w:after="0" w:line="252" w:lineRule="auto"/>
              <w:jc w:val="left"/>
            </w:pPr>
            <w:r>
              <w:rPr>
                <w:rFonts w:ascii="Calibri" w:hAnsi="Calibri"/>
                <w:b/>
                <w:color w:val="1A1A1A"/>
                <w:sz w:val="18"/>
              </w:rPr>
              <w:t>2</w:t>
            </w:r>
          </w:p>
        </w:tc>
        <w:tc>
          <w:tcPr>
            <w:tcW w:type="dxa" w:w="2835"/>
          </w:tcPr>
          <w:p>
            <w:pPr>
              <w:spacing w:after="0" w:line="252" w:lineRule="auto"/>
              <w:jc w:val="left"/>
            </w:pPr>
            <w:r>
              <w:rPr>
                <w:rFonts w:ascii="Calibri" w:hAnsi="Calibri"/>
                <w:color w:val="1A1A1A"/>
                <w:sz w:val="18"/>
              </w:rPr>
              <w:t>Contract decoupling: contracts as first-class, many per client, with documents, structured scope and billing schedules (FR-P5-01 to FR-P5-07)</w:t>
            </w:r>
          </w:p>
        </w:tc>
        <w:tc>
          <w:tcPr>
            <w:tcW w:type="dxa" w:w="2835"/>
          </w:tcPr>
          <w:p>
            <w:pPr>
              <w:spacing w:after="0" w:line="252" w:lineRule="auto"/>
              <w:jc w:val="left"/>
            </w:pPr>
            <w:r>
              <w:rPr>
                <w:rFonts w:ascii="Calibri" w:hAnsi="Calibri"/>
                <w:color w:val="1A1A1A"/>
                <w:sz w:val="18"/>
              </w:rPr>
              <w:t>The 1:1 cascade is the structural blocker. Revenue cannot exist without a billing schedule to hang off</w:t>
            </w:r>
          </w:p>
        </w:tc>
        <w:tc>
          <w:tcPr>
            <w:tcW w:type="dxa" w:w="2835"/>
          </w:tcPr>
          <w:p>
            <w:pPr>
              <w:spacing w:after="0" w:line="252" w:lineRule="auto"/>
              <w:jc w:val="left"/>
            </w:pPr>
            <w:r>
              <w:rPr>
                <w:rFonts w:ascii="Calibri" w:hAnsi="Calibri"/>
                <w:color w:val="1A1A1A"/>
                <w:sz w:val="18"/>
              </w:rPr>
              <w:t>P6, P7</w:t>
            </w:r>
          </w:p>
        </w:tc>
      </w:tr>
      <w:tr>
        <w:tc>
          <w:tcPr>
            <w:tcW w:type="dxa" w:w="1814"/>
            <w:shd w:val="clear" w:color="auto" w:fill="FAFBFC"/>
          </w:tcPr>
          <w:p>
            <w:pPr>
              <w:spacing w:after="0" w:line="252" w:lineRule="auto"/>
              <w:jc w:val="left"/>
            </w:pPr>
            <w:r>
              <w:rPr>
                <w:rFonts w:ascii="Calibri" w:hAnsi="Calibri"/>
                <w:b/>
                <w:color w:val="1A1A1A"/>
                <w:sz w:val="18"/>
              </w:rPr>
              <w:t>3</w:t>
            </w:r>
          </w:p>
        </w:tc>
        <w:tc>
          <w:tcPr>
            <w:tcW w:type="dxa" w:w="2835"/>
            <w:shd w:val="clear" w:color="auto" w:fill="FAFBFC"/>
          </w:tcPr>
          <w:p>
            <w:pPr>
              <w:spacing w:after="0" w:line="252" w:lineRule="auto"/>
              <w:jc w:val="left"/>
            </w:pPr>
            <w:r>
              <w:rPr>
                <w:rFonts w:ascii="Calibri" w:hAnsi="Calibri"/>
                <w:color w:val="1A1A1A"/>
                <w:sz w:val="18"/>
              </w:rPr>
              <w:t>Pricing core: catalog, sizing, cost engine, price and margin, quotation generation, estimate freezing (Pillar 4 excluding feasibility)</w:t>
            </w:r>
          </w:p>
        </w:tc>
        <w:tc>
          <w:tcPr>
            <w:tcW w:type="dxa" w:w="2835"/>
            <w:shd w:val="clear" w:color="auto" w:fill="FAFBFC"/>
          </w:tcPr>
          <w:p>
            <w:pPr>
              <w:spacing w:after="0" w:line="252" w:lineRule="auto"/>
              <w:jc w:val="left"/>
            </w:pPr>
            <w:r>
              <w:rPr>
                <w:rFonts w:ascii="Calibri" w:hAnsi="Calibri"/>
                <w:color w:val="1A1A1A"/>
                <w:sz w:val="18"/>
              </w:rPr>
              <w:t>The commercial heart. Delivers a defensible price and a generated quotation</w:t>
            </w:r>
          </w:p>
        </w:tc>
        <w:tc>
          <w:tcPr>
            <w:tcW w:type="dxa" w:w="2835"/>
            <w:shd w:val="clear" w:color="auto" w:fill="FAFBFC"/>
          </w:tcPr>
          <w:p>
            <w:pPr>
              <w:spacing w:after="0" w:line="252" w:lineRule="auto"/>
              <w:jc w:val="left"/>
            </w:pPr>
            <w:r>
              <w:rPr>
                <w:rFonts w:ascii="Calibri" w:hAnsi="Calibri"/>
                <w:color w:val="1A1A1A"/>
                <w:sz w:val="18"/>
              </w:rPr>
              <w:t>P2 amount integrity, P7 margin</w:t>
            </w:r>
          </w:p>
        </w:tc>
      </w:tr>
      <w:tr>
        <w:tc>
          <w:tcPr>
            <w:tcW w:type="dxa" w:w="1814"/>
          </w:tcPr>
          <w:p>
            <w:pPr>
              <w:spacing w:after="0" w:line="252" w:lineRule="auto"/>
              <w:jc w:val="left"/>
            </w:pPr>
            <w:r>
              <w:rPr>
                <w:rFonts w:ascii="Calibri" w:hAnsi="Calibri"/>
                <w:b/>
                <w:color w:val="1A1A1A"/>
                <w:sz w:val="18"/>
              </w:rPr>
              <w:t>4</w:t>
            </w:r>
          </w:p>
        </w:tc>
        <w:tc>
          <w:tcPr>
            <w:tcW w:type="dxa" w:w="2835"/>
          </w:tcPr>
          <w:p>
            <w:pPr>
              <w:spacing w:after="0" w:line="252" w:lineRule="auto"/>
              <w:jc w:val="left"/>
            </w:pPr>
            <w:r>
              <w:rPr>
                <w:rFonts w:ascii="Calibri" w:hAnsi="Calibri"/>
                <w:color w:val="1A1A1A"/>
                <w:sz w:val="18"/>
              </w:rPr>
              <w:t>Delivery milestones, deliverables with acceptance, and outcome records (FR-P6-04, FR-P6-05, FR-P6-11)</w:t>
            </w:r>
          </w:p>
        </w:tc>
        <w:tc>
          <w:tcPr>
            <w:tcW w:type="dxa" w:w="2835"/>
          </w:tcPr>
          <w:p>
            <w:pPr>
              <w:spacing w:after="0" w:line="252" w:lineRule="auto"/>
              <w:jc w:val="left"/>
            </w:pPr>
            <w:r>
              <w:rPr>
                <w:rFonts w:ascii="Calibri" w:hAnsi="Calibri"/>
                <w:color w:val="1A1A1A"/>
                <w:sz w:val="18"/>
              </w:rPr>
              <w:t>The bridge that turns delivery progress into a billing trigger</w:t>
            </w:r>
          </w:p>
        </w:tc>
        <w:tc>
          <w:tcPr>
            <w:tcW w:type="dxa" w:w="2835"/>
          </w:tcPr>
          <w:p>
            <w:pPr>
              <w:spacing w:after="0" w:line="252" w:lineRule="auto"/>
              <w:jc w:val="left"/>
            </w:pPr>
            <w:r>
              <w:rPr>
                <w:rFonts w:ascii="Calibri" w:hAnsi="Calibri"/>
                <w:color w:val="1A1A1A"/>
                <w:sz w:val="18"/>
              </w:rPr>
              <w:t>P7</w:t>
            </w:r>
          </w:p>
        </w:tc>
      </w:tr>
      <w:tr>
        <w:tc>
          <w:tcPr>
            <w:tcW w:type="dxa" w:w="1814"/>
            <w:shd w:val="clear" w:color="auto" w:fill="FAFBFC"/>
          </w:tcPr>
          <w:p>
            <w:pPr>
              <w:spacing w:after="0" w:line="252" w:lineRule="auto"/>
              <w:jc w:val="left"/>
            </w:pPr>
            <w:r>
              <w:rPr>
                <w:rFonts w:ascii="Calibri" w:hAnsi="Calibri"/>
                <w:b/>
                <w:color w:val="1A1A1A"/>
                <w:sz w:val="18"/>
              </w:rPr>
              <w:t>5</w:t>
            </w:r>
          </w:p>
        </w:tc>
        <w:tc>
          <w:tcPr>
            <w:tcW w:type="dxa" w:w="2835"/>
            <w:shd w:val="clear" w:color="auto" w:fill="FAFBFC"/>
          </w:tcPr>
          <w:p>
            <w:pPr>
              <w:spacing w:after="0" w:line="252" w:lineRule="auto"/>
              <w:jc w:val="left"/>
            </w:pPr>
            <w:r>
              <w:rPr>
                <w:rFonts w:ascii="Calibri" w:hAnsi="Calibri"/>
                <w:color w:val="1A1A1A"/>
                <w:sz w:val="18"/>
              </w:rPr>
              <w:t>Revenue: billing events, invoices, receipts, aging, the five-state model (Pillar 7)</w:t>
            </w:r>
          </w:p>
        </w:tc>
        <w:tc>
          <w:tcPr>
            <w:tcW w:type="dxa" w:w="2835"/>
            <w:shd w:val="clear" w:color="auto" w:fill="FAFBFC"/>
          </w:tcPr>
          <w:p>
            <w:pPr>
              <w:spacing w:after="0" w:line="252" w:lineRule="auto"/>
              <w:jc w:val="left"/>
            </w:pPr>
            <w:r>
              <w:rPr>
                <w:rFonts w:ascii="Calibri" w:hAnsi="Calibri"/>
                <w:color w:val="1A1A1A"/>
                <w:sz w:val="18"/>
              </w:rPr>
              <w:t>Completes the value chain. Realized margin becomes computable for the first time</w:t>
            </w:r>
          </w:p>
        </w:tc>
        <w:tc>
          <w:tcPr>
            <w:tcW w:type="dxa" w:w="2835"/>
            <w:shd w:val="clear" w:color="auto" w:fill="FAFBFC"/>
          </w:tcPr>
          <w:p>
            <w:pPr>
              <w:spacing w:after="0" w:line="252" w:lineRule="auto"/>
              <w:jc w:val="left"/>
            </w:pPr>
            <w:r>
              <w:rPr>
                <w:rFonts w:ascii="Calibri" w:hAnsi="Calibri"/>
                <w:color w:val="1A1A1A"/>
                <w:sz w:val="18"/>
              </w:rPr>
              <w:t>P3 settlement, P8 health</w:t>
            </w:r>
          </w:p>
        </w:tc>
      </w:tr>
      <w:tr>
        <w:tc>
          <w:tcPr>
            <w:tcW w:type="dxa" w:w="1814"/>
          </w:tcPr>
          <w:p>
            <w:pPr>
              <w:spacing w:after="0" w:line="252" w:lineRule="auto"/>
              <w:jc w:val="left"/>
            </w:pPr>
            <w:r>
              <w:rPr>
                <w:rFonts w:ascii="Calibri" w:hAnsi="Calibri"/>
                <w:b/>
                <w:color w:val="1A1A1A"/>
                <w:sz w:val="18"/>
              </w:rPr>
              <w:t>6</w:t>
            </w:r>
          </w:p>
        </w:tc>
        <w:tc>
          <w:tcPr>
            <w:tcW w:type="dxa" w:w="2835"/>
          </w:tcPr>
          <w:p>
            <w:pPr>
              <w:spacing w:after="0" w:line="252" w:lineRule="auto"/>
              <w:jc w:val="left"/>
            </w:pPr>
            <w:r>
              <w:rPr>
                <w:rFonts w:ascii="Calibri" w:hAnsi="Calibri"/>
                <w:color w:val="1A1A1A"/>
                <w:sz w:val="18"/>
              </w:rPr>
              <w:t>Partner attribution model: registration, windows, credit types, fee obligations and settlement (Pillar 3)</w:t>
            </w:r>
          </w:p>
        </w:tc>
        <w:tc>
          <w:tcPr>
            <w:tcW w:type="dxa" w:w="2835"/>
          </w:tcPr>
          <w:p>
            <w:pPr>
              <w:spacing w:after="0" w:line="252" w:lineRule="auto"/>
              <w:jc w:val="left"/>
            </w:pPr>
            <w:r>
              <w:rPr>
                <w:rFonts w:ascii="Calibri" w:hAnsi="Calibri"/>
                <w:color w:val="1A1A1A"/>
                <w:sz w:val="18"/>
              </w:rPr>
              <w:t>Needs collected revenue from Phase 5 to settle against</w:t>
            </w:r>
          </w:p>
        </w:tc>
        <w:tc>
          <w:tcPr>
            <w:tcW w:type="dxa" w:w="2835"/>
          </w:tcPr>
          <w:p>
            <w:pPr>
              <w:spacing w:after="0" w:line="252" w:lineRule="auto"/>
              <w:jc w:val="left"/>
            </w:pPr>
            <w:r>
              <w:rPr>
                <w:rFonts w:ascii="Calibri" w:hAnsi="Calibri"/>
                <w:color w:val="1A1A1A"/>
                <w:sz w:val="18"/>
              </w:rPr>
              <w:t>P8 channel view</w:t>
            </w:r>
          </w:p>
        </w:tc>
      </w:tr>
      <w:tr>
        <w:tc>
          <w:tcPr>
            <w:tcW w:type="dxa" w:w="1814"/>
            <w:shd w:val="clear" w:color="auto" w:fill="FAFBFC"/>
          </w:tcPr>
          <w:p>
            <w:pPr>
              <w:spacing w:after="0" w:line="252" w:lineRule="auto"/>
              <w:jc w:val="left"/>
            </w:pPr>
            <w:r>
              <w:rPr>
                <w:rFonts w:ascii="Calibri" w:hAnsi="Calibri"/>
                <w:b/>
                <w:color w:val="1A1A1A"/>
                <w:sz w:val="18"/>
              </w:rPr>
              <w:t>7</w:t>
            </w:r>
          </w:p>
        </w:tc>
        <w:tc>
          <w:tcPr>
            <w:tcW w:type="dxa" w:w="2835"/>
            <w:shd w:val="clear" w:color="auto" w:fill="FAFBFC"/>
          </w:tcPr>
          <w:p>
            <w:pPr>
              <w:spacing w:after="0" w:line="252" w:lineRule="auto"/>
              <w:jc w:val="left"/>
            </w:pPr>
            <w:r>
              <w:rPr>
                <w:rFonts w:ascii="Calibri" w:hAnsi="Calibri"/>
                <w:color w:val="1A1A1A"/>
                <w:sz w:val="18"/>
              </w:rPr>
              <w:t>Intelligence: explainable health, exception lifecycle, targets and thresholds (Pillar 8)</w:t>
            </w:r>
          </w:p>
        </w:tc>
        <w:tc>
          <w:tcPr>
            <w:tcW w:type="dxa" w:w="2835"/>
            <w:shd w:val="clear" w:color="auto" w:fill="FAFBFC"/>
          </w:tcPr>
          <w:p>
            <w:pPr>
              <w:spacing w:after="0" w:line="252" w:lineRule="auto"/>
              <w:jc w:val="left"/>
            </w:pPr>
            <w:r>
              <w:rPr>
                <w:rFonts w:ascii="Calibri" w:hAnsi="Calibri"/>
                <w:color w:val="1A1A1A"/>
                <w:sz w:val="18"/>
              </w:rPr>
              <w:t>Needs signals from every prior phase. Built earlier it would score on incomplete data</w:t>
            </w:r>
          </w:p>
        </w:tc>
        <w:tc>
          <w:tcPr>
            <w:tcW w:type="dxa" w:w="2835"/>
            <w:shd w:val="clear" w:color="auto" w:fill="FAFBFC"/>
          </w:tcPr>
          <w:p>
            <w:pPr>
              <w:spacing w:after="0" w:line="252" w:lineRule="auto"/>
              <w:jc w:val="left"/>
            </w:pPr>
            <w:r>
              <w:rPr>
                <w:rFonts w:ascii="Calibri" w:hAnsi="Calibri"/>
                <w:color w:val="1A1A1A"/>
                <w:sz w:val="18"/>
              </w:rPr>
              <w:t>Leadership cadence</w:t>
            </w:r>
          </w:p>
        </w:tc>
      </w:tr>
      <w:tr>
        <w:tc>
          <w:tcPr>
            <w:tcW w:type="dxa" w:w="1814"/>
          </w:tcPr>
          <w:p>
            <w:pPr>
              <w:spacing w:after="0" w:line="252" w:lineRule="auto"/>
              <w:jc w:val="left"/>
            </w:pPr>
            <w:r>
              <w:rPr>
                <w:rFonts w:ascii="Calibri" w:hAnsi="Calibri"/>
                <w:b/>
                <w:color w:val="1A1A1A"/>
                <w:sz w:val="18"/>
              </w:rPr>
              <w:t>8</w:t>
            </w:r>
          </w:p>
        </w:tc>
        <w:tc>
          <w:tcPr>
            <w:tcW w:type="dxa" w:w="2835"/>
          </w:tcPr>
          <w:p>
            <w:pPr>
              <w:spacing w:after="0" w:line="252" w:lineRule="auto"/>
              <w:jc w:val="left"/>
            </w:pPr>
            <w:r>
              <w:rPr>
                <w:rFonts w:ascii="Calibri" w:hAnsi="Calibri"/>
                <w:color w:val="1A1A1A"/>
                <w:sz w:val="18"/>
              </w:rPr>
              <w:t>Client group structure and merge (FR-P1-08 to FR-P1-12)</w:t>
            </w:r>
          </w:p>
        </w:tc>
        <w:tc>
          <w:tcPr>
            <w:tcW w:type="dxa" w:w="2835"/>
          </w:tcPr>
          <w:p>
            <w:pPr>
              <w:spacing w:after="0" w:line="252" w:lineRule="auto"/>
              <w:jc w:val="left"/>
            </w:pPr>
            <w:r>
              <w:rPr>
                <w:rFonts w:ascii="Calibri" w:hAnsi="Calibri"/>
                <w:color w:val="1A1A1A"/>
                <w:sz w:val="18"/>
              </w:rPr>
              <w:t>Independent of the commercial chain; sequenced here because rollup correctness matters most once revenue exists</w:t>
            </w:r>
          </w:p>
        </w:tc>
        <w:tc>
          <w:tcPr>
            <w:tcW w:type="dxa" w:w="2835"/>
          </w:tcPr>
          <w:p>
            <w:pPr>
              <w:spacing w:after="0" w:line="252" w:lineRule="auto"/>
              <w:jc w:val="left"/>
            </w:pPr>
            <w:r>
              <w:rPr>
                <w:rFonts w:ascii="Calibri" w:hAnsi="Calibri"/>
                <w:color w:val="1A1A1A"/>
                <w:sz w:val="18"/>
              </w:rPr>
              <w:t>Group-level reporting</w:t>
            </w:r>
          </w:p>
        </w:tc>
      </w:tr>
      <w:tr>
        <w:tc>
          <w:tcPr>
            <w:tcW w:type="dxa" w:w="1814"/>
            <w:shd w:val="clear" w:color="auto" w:fill="FAFBFC"/>
          </w:tcPr>
          <w:p>
            <w:pPr>
              <w:spacing w:after="0" w:line="252" w:lineRule="auto"/>
              <w:jc w:val="left"/>
            </w:pPr>
            <w:r>
              <w:rPr>
                <w:rFonts w:ascii="Calibri" w:hAnsi="Calibri"/>
                <w:b/>
                <w:color w:val="1A1A1A"/>
                <w:sz w:val="18"/>
              </w:rPr>
              <w:t>9</w:t>
            </w:r>
          </w:p>
        </w:tc>
        <w:tc>
          <w:tcPr>
            <w:tcW w:type="dxa" w:w="2835"/>
            <w:shd w:val="clear" w:color="auto" w:fill="FAFBFC"/>
          </w:tcPr>
          <w:p>
            <w:pPr>
              <w:spacing w:after="0" w:line="252" w:lineRule="auto"/>
              <w:jc w:val="left"/>
            </w:pPr>
            <w:r>
              <w:rPr>
                <w:rFonts w:ascii="Calibri" w:hAnsi="Calibri"/>
                <w:color w:val="1A1A1A"/>
                <w:sz w:val="18"/>
              </w:rPr>
              <w:t>Capacity feasibility (FR-P4-21 to FR-P4-26)</w:t>
            </w:r>
          </w:p>
        </w:tc>
        <w:tc>
          <w:tcPr>
            <w:tcW w:type="dxa" w:w="2835"/>
            <w:shd w:val="clear" w:color="auto" w:fill="FAFBFC"/>
          </w:tcPr>
          <w:p>
            <w:pPr>
              <w:spacing w:after="0" w:line="252" w:lineRule="auto"/>
              <w:jc w:val="left"/>
            </w:pPr>
            <w:r>
              <w:rPr>
                <w:rFonts w:ascii="Calibri" w:hAnsi="Calibri"/>
                <w:color w:val="1A1A1A"/>
                <w:sz w:val="18"/>
              </w:rPr>
              <w:t>Requires a workforce data source that does not exist. FR-P4-27 carries the interim manual behaviour until then</w:t>
            </w:r>
          </w:p>
        </w:tc>
        <w:tc>
          <w:tcPr>
            <w:tcW w:type="dxa" w:w="2835"/>
            <w:shd w:val="clear" w:color="auto" w:fill="FAFBFC"/>
          </w:tcPr>
          <w:p>
            <w:pPr>
              <w:spacing w:after="0" w:line="252" w:lineRule="auto"/>
              <w:jc w:val="left"/>
            </w:pPr>
            <w:r>
              <w:rPr>
                <w:rFonts w:ascii="Calibri" w:hAnsi="Calibri"/>
                <w:color w:val="1A1A1A"/>
                <w:sz w:val="18"/>
              </w:rPr>
              <w:t>Honest delivery dates</w:t>
            </w:r>
          </w:p>
        </w:tc>
      </w:tr>
    </w:tbl>
    <w:p>
      <w:pPr>
        <w:spacing w:after="80"/>
      </w:pPr>
    </w:p>
    <w:p>
      <w:pPr>
        <w:spacing w:before="120" w:after="160"/>
        <w:ind w:left="198"/>
        <w:pBdr>
          <w:left w:val="single" w:sz="18" w:space="8" w:color="B08D57"/>
        </w:pBdr>
        <w:shd w:val="clear" w:color="auto" w:fill="F4F1E8"/>
      </w:pPr>
      <w:r>
        <w:rPr>
          <w:rFonts w:ascii="Calibri" w:hAnsi="Calibri"/>
          <w:b/>
          <w:color w:val="1A1A1A"/>
          <w:sz w:val="19"/>
        </w:rPr>
        <w:t>SEQUENCING NOTE</w:t>
      </w:r>
      <w:r>
        <w:rPr>
          <w:rFonts w:ascii="Calibri" w:hAnsi="Calibri"/>
          <w:color w:val="1A1A1A"/>
          <w:sz w:val="19"/>
        </w:rPr>
        <w:t xml:space="preserve">  Phase 0 is not optional and not deferrable. It is the price of Decision D-1, and it is cheapest to pay before there is any cost data to protect.</w:t>
      </w:r>
    </w:p>
    <w:p>
      <w:r>
        <w:br w:type="page"/>
      </w:r>
    </w:p>
    <w:p>
      <w:pPr>
        <w:pStyle w:val="Heading1"/>
      </w:pPr>
      <w:r>
        <w:t>Section G — Decisions and open questions</w:t>
      </w:r>
    </w:p>
    <w:p>
      <w:pPr>
        <w:pStyle w:val="Heading2"/>
      </w:pPr>
      <w:r>
        <w:t>D-1 — The pricing desk is absorbed, not integrated</w:t>
      </w:r>
    </w:p>
    <w:p>
      <w:r>
        <w:rPr>
          <w:rFonts w:ascii="Calibri" w:hAnsi="Calibri"/>
          <w:b/>
          <w:color w:val="1A1A1A"/>
        </w:rPr>
        <w:t>Decision.</w:t>
      </w:r>
      <w:r>
        <w:rPr>
          <w:rFonts w:ascii="Calibri" w:hAnsi="Calibri"/>
          <w:color w:val="1A1A1A"/>
        </w:rPr>
        <w:t xml:space="preserve"> The Engagement Pricing &amp; Quotation Desk becomes Pillar 4 of the client platform. Cost rates, the effort catalog, delivery cost and margin live in this database.</w:t>
      </w:r>
    </w:p>
    <w:p>
      <w:r>
        <w:rPr>
          <w:rFonts w:ascii="Calibri" w:hAnsi="Calibri"/>
          <w:b/>
          <w:color w:val="1A1A1A"/>
        </w:rPr>
        <w:t>What the source document intended instead.</w:t>
      </w:r>
      <w:r>
        <w:rPr>
          <w:rFonts w:ascii="Calibri" w:hAnsi="Calibri"/>
          <w:color w:val="1A1A1A"/>
        </w:rPr>
        <w:t xml:space="preserve"> A hard platform boundary. Its boundary matrix marks employee cost rate and named availability as </w:t>
      </w:r>
      <w:r>
        <w:rPr>
          <w:rFonts w:ascii="Calibri" w:hAnsi="Calibri"/>
          <w:b/>
          <w:color w:val="1A1A1A"/>
        </w:rPr>
        <w:t>Never</w:t>
      </w:r>
      <w:r>
        <w:rPr>
          <w:rFonts w:ascii="Calibri" w:hAnsi="Calibri"/>
          <w:color w:val="1A1A1A"/>
        </w:rPr>
        <w:t xml:space="preserve"> crossing to the client platform — "no export, no report, no API" — with only price, delivery window, feasibility verdict, approval state and structured scope permitted to cross.</w:t>
      </w:r>
    </w:p>
    <w:p>
      <w:r>
        <w:rPr>
          <w:rFonts w:ascii="Calibri" w:hAnsi="Calibri"/>
          <w:b/>
          <w:color w:val="1A1A1A"/>
        </w:rPr>
        <w:t>What is gained.</w:t>
      </w:r>
      <w:r>
        <w:rPr>
          <w:rFonts w:ascii="Calibri" w:hAnsi="Calibri"/>
          <w:color w:val="1A1A1A"/>
        </w:rPr>
        <w:t xml:space="preserve"> One database, one permission model, one deployment. No integration contract to specify, version and keep honest. An estimate can join directly to its opportunity, contract, engagement and revenue without a synchronisation layer. Realized margin becomes a single query rather than a reconciliation.</w:t>
      </w:r>
    </w:p>
    <w:p>
      <w:r>
        <w:rPr>
          <w:rFonts w:ascii="Calibri" w:hAnsi="Calibri"/>
          <w:b/>
          <w:color w:val="1A1A1A"/>
        </w:rPr>
        <w:t>What is given up, and what replaces it.</w:t>
      </w:r>
      <w:r>
        <w:rPr>
          <w:rFonts w:ascii="Calibri" w:hAnsi="Calibri"/>
          <w:color w:val="1A1A1A"/>
        </w:rPr>
        <w:t xml:space="preserve"> A platform boundary is enforced by architecture — data that is not present cannot leak. A permission boundary is enforced by code, and code has bugs. Three specific exposures follow, each with a named compensating control:</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5159"/>
        <w:gridCol w:w="5159"/>
      </w:tblGrid>
      <w:tr>
        <w:trPr>
          <w:tblHeader w:val="true"/>
        </w:trPr>
        <w:tc>
          <w:tcPr>
            <w:tcW w:type="dxa" w:w="2948"/>
            <w:shd w:val="clear" w:color="auto" w:fill="E8EDF2"/>
          </w:tcPr>
          <w:p>
            <w:pPr>
              <w:spacing w:after="0"/>
              <w:jc w:val="left"/>
            </w:pPr>
            <w:r>
              <w:rPr>
                <w:rFonts w:ascii="Calibri" w:hAnsi="Calibri"/>
                <w:b/>
                <w:color w:val="1A1A1A"/>
                <w:sz w:val="18"/>
              </w:rPr>
              <w:t>Exposure</w:t>
            </w:r>
          </w:p>
        </w:tc>
        <w:tc>
          <w:tcPr>
            <w:tcW w:type="dxa" w:w="7370"/>
            <w:shd w:val="clear" w:color="auto" w:fill="E8EDF2"/>
          </w:tcPr>
          <w:p>
            <w:pPr>
              <w:spacing w:after="0"/>
              <w:jc w:val="left"/>
            </w:pPr>
            <w:r>
              <w:rPr>
                <w:rFonts w:ascii="Calibri" w:hAnsi="Calibri"/>
                <w:b/>
                <w:color w:val="1A1A1A"/>
                <w:sz w:val="18"/>
              </w:rPr>
              <w:t>Control</w:t>
            </w:r>
          </w:p>
        </w:tc>
      </w:tr>
      <w:tr>
        <w:tc>
          <w:tcPr>
            <w:tcW w:type="dxa" w:w="2948"/>
          </w:tcPr>
          <w:p>
            <w:pPr>
              <w:spacing w:after="0" w:line="252" w:lineRule="auto"/>
              <w:jc w:val="left"/>
            </w:pPr>
            <w:r>
              <w:rPr>
                <w:rFonts w:ascii="Calibri" w:hAnsi="Calibri"/>
                <w:color w:val="1A1A1A"/>
                <w:sz w:val="18"/>
              </w:rPr>
              <w:t>Salary-derived cost rates now sit in a database the AI assistant can query, including through its raw-SQL escape hatch</w:t>
            </w:r>
          </w:p>
        </w:tc>
        <w:tc>
          <w:tcPr>
            <w:tcW w:type="dxa" w:w="7370"/>
          </w:tcPr>
          <w:p>
            <w:pPr>
              <w:spacing w:after="0" w:line="252" w:lineRule="auto"/>
              <w:jc w:val="left"/>
            </w:pPr>
            <w:r>
              <w:rPr>
                <w:rFonts w:ascii="Calibri" w:hAnsi="Calibri"/>
                <w:color w:val="1A1A1A"/>
                <w:sz w:val="18"/>
              </w:rPr>
              <w:t>NFR-SEC-05, NFR-SEC-06, FR-P8-13</w:t>
            </w:r>
          </w:p>
        </w:tc>
      </w:tr>
      <w:tr>
        <w:tc>
          <w:tcPr>
            <w:tcW w:type="dxa" w:w="2948"/>
            <w:shd w:val="clear" w:color="auto" w:fill="FAFBFC"/>
          </w:tcPr>
          <w:p>
            <w:pPr>
              <w:spacing w:after="0" w:line="252" w:lineRule="auto"/>
              <w:jc w:val="left"/>
            </w:pPr>
            <w:r>
              <w:rPr>
                <w:rFonts w:ascii="Calibri" w:hAnsi="Calibri"/>
                <w:color w:val="1A1A1A"/>
                <w:sz w:val="18"/>
              </w:rPr>
              <w:t>Redaction is currently duplicated across seven independent locations, a pattern that will not survive being extended</w:t>
            </w:r>
          </w:p>
        </w:tc>
        <w:tc>
          <w:tcPr>
            <w:tcW w:type="dxa" w:w="7370"/>
            <w:shd w:val="clear" w:color="auto" w:fill="FAFBFC"/>
          </w:tcPr>
          <w:p>
            <w:pPr>
              <w:spacing w:after="0" w:line="252" w:lineRule="auto"/>
              <w:jc w:val="left"/>
            </w:pPr>
            <w:r>
              <w:rPr>
                <w:rFonts w:ascii="Calibri" w:hAnsi="Calibri"/>
                <w:color w:val="1A1A1A"/>
                <w:sz w:val="18"/>
              </w:rPr>
              <w:t>FR-X-06, NFR-SEC-08, NFR-SEC-09</w:t>
            </w:r>
          </w:p>
        </w:tc>
      </w:tr>
      <w:tr>
        <w:tc>
          <w:tcPr>
            <w:tcW w:type="dxa" w:w="2948"/>
          </w:tcPr>
          <w:p>
            <w:pPr>
              <w:spacing w:after="0" w:line="252" w:lineRule="auto"/>
              <w:jc w:val="left"/>
            </w:pPr>
            <w:r>
              <w:rPr>
                <w:rFonts w:ascii="Calibri" w:hAnsi="Calibri"/>
                <w:color w:val="1A1A1A"/>
                <w:sz w:val="18"/>
              </w:rPr>
              <w:t>Cost data can leak through a surface nobody thought about — an export, a digest, a public dashboard token, the metrics API</w:t>
            </w:r>
          </w:p>
        </w:tc>
        <w:tc>
          <w:tcPr>
            <w:tcW w:type="dxa" w:w="7370"/>
          </w:tcPr>
          <w:p>
            <w:pPr>
              <w:spacing w:after="0" w:line="252" w:lineRule="auto"/>
              <w:jc w:val="left"/>
            </w:pPr>
            <w:r>
              <w:rPr>
                <w:rFonts w:ascii="Calibri" w:hAnsi="Calibri"/>
                <w:color w:val="1A1A1A"/>
                <w:sz w:val="18"/>
              </w:rPr>
              <w:t>NFR-SEC-04, NFR-SEC-10, and Phase 0 sequencing</w:t>
            </w:r>
          </w:p>
        </w:tc>
      </w:tr>
    </w:tbl>
    <w:p>
      <w:pPr>
        <w:spacing w:after="80"/>
      </w:pPr>
    </w:p>
    <w:p>
      <w:r>
        <w:rPr>
          <w:rFonts w:ascii="Calibri" w:hAnsi="Calibri"/>
          <w:b/>
          <w:color w:val="1A1A1A"/>
        </w:rPr>
        <w:t>Reversibility.</w:t>
      </w:r>
      <w:r>
        <w:rPr>
          <w:rFonts w:ascii="Calibri" w:hAnsi="Calibri"/>
          <w:color w:val="1A1A1A"/>
        </w:rPr>
        <w:t xml:space="preserve"> Moderate. The cost engine is designed as a service with a narrow published output — price, window, verdict, approval state. If the boundary is later reinstated, that service moves with its tables; what stays behind are foreign keys to estimate IDs.</w:t>
      </w:r>
    </w:p>
    <w:p>
      <w:pPr>
        <w:pStyle w:val="Heading2"/>
      </w:pPr>
      <w:r>
        <w:t>D-2 — Feasibility is specified now and built last</w:t>
      </w:r>
    </w:p>
    <w:p>
      <w:r>
        <w:rPr>
          <w:rFonts w:ascii="Calibri" w:hAnsi="Calibri"/>
          <w:color w:val="1A1A1A"/>
        </w:rPr>
        <w:t>The capacity feasibility capability requires availability, skills, certifications and allocations for named people. No such data exists in this platform or any adjacent one. Rather than dropping the requirement or building a shadow HR system, it is specified in full (FR-P4-21 to FR-P4-26), given an explicit interim behaviour (FR-P4-27), and sequenced last. Quotations built before then carry a manually asserted start date marked as unverified — visibly weaker than a checked one, which is the honest representation.</w:t>
      </w:r>
    </w:p>
    <w:p>
      <w:pPr>
        <w:pStyle w:val="Heading2"/>
      </w:pPr>
      <w:r>
        <w:t>Open questions</w:t>
      </w:r>
    </w:p>
    <w:p>
      <w:r>
        <w:rPr>
          <w:rFonts w:ascii="Calibri" w:hAnsi="Calibri"/>
          <w:color w:val="1A1A1A"/>
        </w:rPr>
        <w:t>These need a business answer, not an engineering one. Each blocks a specific requirement.</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439"/>
        <w:gridCol w:w="3439"/>
        <w:gridCol w:w="3439"/>
      </w:tblGrid>
      <w:tr>
        <w:trPr>
          <w:tblHeader w:val="true"/>
        </w:trPr>
        <w:tc>
          <w:tcPr>
            <w:tcW w:type="dxa" w:w="1361"/>
            <w:shd w:val="clear" w:color="auto" w:fill="E8EDF2"/>
          </w:tcPr>
          <w:p>
            <w:pPr>
              <w:spacing w:after="0"/>
              <w:jc w:val="left"/>
            </w:pPr>
            <w:r>
              <w:rPr>
                <w:rFonts w:ascii="Calibri" w:hAnsi="Calibri"/>
                <w:b/>
                <w:color w:val="1A1A1A"/>
                <w:sz w:val="18"/>
              </w:rPr>
              <w:t>ID</w:t>
            </w:r>
          </w:p>
        </w:tc>
        <w:tc>
          <w:tcPr>
            <w:tcW w:type="dxa" w:w="4535"/>
            <w:shd w:val="clear" w:color="auto" w:fill="E8EDF2"/>
          </w:tcPr>
          <w:p>
            <w:pPr>
              <w:spacing w:after="0"/>
              <w:jc w:val="left"/>
            </w:pPr>
            <w:r>
              <w:rPr>
                <w:rFonts w:ascii="Calibri" w:hAnsi="Calibri"/>
                <w:b/>
                <w:color w:val="1A1A1A"/>
                <w:sz w:val="18"/>
              </w:rPr>
              <w:t>Question</w:t>
            </w:r>
          </w:p>
        </w:tc>
        <w:tc>
          <w:tcPr>
            <w:tcW w:type="dxa" w:w="4422"/>
            <w:shd w:val="clear" w:color="auto" w:fill="E8EDF2"/>
          </w:tcPr>
          <w:p>
            <w:pPr>
              <w:spacing w:after="0"/>
              <w:jc w:val="left"/>
            </w:pPr>
            <w:r>
              <w:rPr>
                <w:rFonts w:ascii="Calibri" w:hAnsi="Calibri"/>
                <w:b/>
                <w:color w:val="1A1A1A"/>
                <w:sz w:val="18"/>
              </w:rPr>
              <w:t>Blocks</w:t>
            </w:r>
          </w:p>
        </w:tc>
      </w:tr>
      <w:tr>
        <w:tc>
          <w:tcPr>
            <w:tcW w:type="dxa" w:w="1361"/>
          </w:tcPr>
          <w:p>
            <w:pPr>
              <w:spacing w:after="0" w:line="252" w:lineRule="auto"/>
              <w:jc w:val="left"/>
            </w:pPr>
            <w:r>
              <w:rPr>
                <w:rFonts w:ascii="Calibri" w:hAnsi="Calibri"/>
                <w:color w:val="1A1A1A"/>
                <w:sz w:val="18"/>
              </w:rPr>
              <w:t>~~</w:t>
            </w:r>
            <w:r>
              <w:rPr>
                <w:rFonts w:ascii="Calibri" w:hAnsi="Calibri"/>
                <w:b/>
                <w:color w:val="1A1A1A"/>
                <w:sz w:val="18"/>
              </w:rPr>
              <w:t>Q-1</w:t>
            </w:r>
            <w:r>
              <w:rPr>
                <w:rFonts w:ascii="Calibri" w:hAnsi="Calibri"/>
                <w:color w:val="1A1A1A"/>
                <w:sz w:val="18"/>
              </w:rPr>
              <w:t>~~</w:t>
            </w:r>
          </w:p>
        </w:tc>
        <w:tc>
          <w:tcPr>
            <w:tcW w:type="dxa" w:w="4535"/>
          </w:tcPr>
          <w:p>
            <w:pPr>
              <w:spacing w:after="0" w:line="252" w:lineRule="auto"/>
              <w:jc w:val="left"/>
            </w:pPr>
            <w:r>
              <w:rPr>
                <w:rFonts w:ascii="Calibri" w:hAnsi="Calibri"/>
                <w:color w:val="1A1A1A"/>
                <w:sz w:val="18"/>
              </w:rPr>
              <w:t xml:space="preserve">~~Which roles hold the cost entitlement?~~ </w:t>
            </w:r>
            <w:r>
              <w:rPr>
                <w:rFonts w:ascii="Calibri" w:hAnsi="Calibri"/>
                <w:b/>
                <w:color w:val="1A1A1A"/>
                <w:sz w:val="18"/>
              </w:rPr>
              <w:t>CLOSED 25 Aug — it is not a role.</w:t>
            </w:r>
            <w:r>
              <w:rPr>
                <w:rFonts w:ascii="Calibri" w:hAnsi="Calibri"/>
                <w:color w:val="1A1A1A"/>
                <w:sz w:val="18"/>
              </w:rPr>
              <w:t xml:space="preserve"> A </w:t>
            </w:r>
            <w:r>
              <w:rPr>
                <w:rFonts w:ascii="Calibri" w:hAnsi="Calibri"/>
                <w:b/>
                <w:color w:val="1A1A1A"/>
                <w:sz w:val="18"/>
              </w:rPr>
              <w:t>financial permission is granted per user</w:t>
            </w:r>
            <w:r>
              <w:rPr>
                <w:rFonts w:ascii="Calibri" w:hAnsi="Calibri"/>
                <w:color w:val="1A1A1A"/>
                <w:sz w:val="18"/>
              </w:rPr>
              <w:t>, assignable and revocable independently of their role, so any individual can be entitled without changing what their role means for everyone else. See FR-X-05</w:t>
            </w:r>
          </w:p>
        </w:tc>
        <w:tc>
          <w:tcPr>
            <w:tcW w:type="dxa" w:w="4422"/>
          </w:tcPr>
          <w:p>
            <w:pPr>
              <w:spacing w:after="0" w:line="252" w:lineRule="auto"/>
              <w:jc w:val="left"/>
            </w:pPr>
            <w:r>
              <w:rPr>
                <w:rFonts w:ascii="Calibri" w:hAnsi="Calibri"/>
                <w:color w:val="1A1A1A"/>
                <w:sz w:val="18"/>
              </w:rPr>
              <w:t>—</w:t>
            </w:r>
          </w:p>
        </w:tc>
      </w:tr>
      <w:tr>
        <w:tc>
          <w:tcPr>
            <w:tcW w:type="dxa" w:w="1361"/>
            <w:shd w:val="clear" w:color="auto" w:fill="FAFBFC"/>
          </w:tcPr>
          <w:p>
            <w:pPr>
              <w:spacing w:after="0" w:line="252" w:lineRule="auto"/>
              <w:jc w:val="left"/>
            </w:pPr>
            <w:r>
              <w:rPr>
                <w:rFonts w:ascii="Calibri" w:hAnsi="Calibri"/>
                <w:color w:val="1A1A1A"/>
                <w:sz w:val="18"/>
              </w:rPr>
              <w:t>~~</w:t>
            </w:r>
            <w:r>
              <w:rPr>
                <w:rFonts w:ascii="Calibri" w:hAnsi="Calibri"/>
                <w:b/>
                <w:color w:val="1A1A1A"/>
                <w:sz w:val="18"/>
              </w:rPr>
              <w:t>Q-2</w:t>
            </w:r>
            <w:r>
              <w:rPr>
                <w:rFonts w:ascii="Calibri" w:hAnsi="Calibri"/>
                <w:color w:val="1A1A1A"/>
                <w:sz w:val="18"/>
              </w:rPr>
              <w:t>~~</w:t>
            </w:r>
          </w:p>
        </w:tc>
        <w:tc>
          <w:tcPr>
            <w:tcW w:type="dxa" w:w="4535"/>
            <w:shd w:val="clear" w:color="auto" w:fill="FAFBFC"/>
          </w:tcPr>
          <w:p>
            <w:pPr>
              <w:spacing w:after="0" w:line="252" w:lineRule="auto"/>
              <w:jc w:val="left"/>
            </w:pPr>
            <w:r>
              <w:rPr>
                <w:rFonts w:ascii="Calibri" w:hAnsi="Calibri"/>
                <w:color w:val="1A1A1A"/>
                <w:sz w:val="18"/>
              </w:rPr>
              <w:t xml:space="preserve">~~When two partners claim the same opportunity, what is the shared-credit rule?~~ </w:t>
            </w:r>
            <w:r>
              <w:rPr>
                <w:rFonts w:ascii="Calibri" w:hAnsi="Calibri"/>
                <w:b/>
                <w:color w:val="1A1A1A"/>
                <w:sz w:val="18"/>
              </w:rPr>
              <w:t>CLOSED 25 Aug — no shared credit.</w:t>
            </w:r>
            <w:r>
              <w:rPr>
                <w:rFonts w:ascii="Calibri" w:hAnsi="Calibri"/>
                <w:color w:val="1A1A1A"/>
                <w:sz w:val="18"/>
              </w:rPr>
              <w:t xml:space="preserve"> A deal carries one partner or none; FR-P3-05 to FR-P3-09 withdrawn</w:t>
            </w:r>
          </w:p>
        </w:tc>
        <w:tc>
          <w:tcPr>
            <w:tcW w:type="dxa" w:w="4422"/>
            <w:shd w:val="clear" w:color="auto" w:fill="FAFBFC"/>
          </w:tcPr>
          <w:p>
            <w:pPr>
              <w:spacing w:after="0" w:line="252" w:lineRule="auto"/>
              <w:jc w:val="left"/>
            </w:pPr>
            <w:r>
              <w:rPr>
                <w:rFonts w:ascii="Calibri" w:hAnsi="Calibri"/>
                <w:color w:val="1A1A1A"/>
                <w:sz w:val="18"/>
              </w:rPr>
              <w:t>—</w:t>
            </w:r>
          </w:p>
        </w:tc>
      </w:tr>
      <w:tr>
        <w:tc>
          <w:tcPr>
            <w:tcW w:type="dxa" w:w="1361"/>
          </w:tcPr>
          <w:p>
            <w:pPr>
              <w:spacing w:after="0" w:line="252" w:lineRule="auto"/>
              <w:jc w:val="left"/>
            </w:pPr>
            <w:r>
              <w:rPr>
                <w:rFonts w:ascii="Calibri" w:hAnsi="Calibri"/>
                <w:b/>
                <w:color w:val="1A1A1A"/>
                <w:sz w:val="18"/>
              </w:rPr>
              <w:t>Q-3</w:t>
            </w:r>
          </w:p>
        </w:tc>
        <w:tc>
          <w:tcPr>
            <w:tcW w:type="dxa" w:w="4535"/>
          </w:tcPr>
          <w:p>
            <w:pPr>
              <w:spacing w:after="0" w:line="252" w:lineRule="auto"/>
              <w:jc w:val="left"/>
            </w:pPr>
            <w:r>
              <w:rPr>
                <w:rFonts w:ascii="Calibri" w:hAnsi="Calibri"/>
                <w:color w:val="1A1A1A"/>
                <w:sz w:val="18"/>
              </w:rPr>
              <w:t>What is the revenue recognition policy — on invoice, on milestone completion, or straight-line across the engagement?</w:t>
            </w:r>
          </w:p>
        </w:tc>
        <w:tc>
          <w:tcPr>
            <w:tcW w:type="dxa" w:w="4422"/>
          </w:tcPr>
          <w:p>
            <w:pPr>
              <w:spacing w:after="0" w:line="252" w:lineRule="auto"/>
              <w:jc w:val="left"/>
            </w:pPr>
            <w:r>
              <w:rPr>
                <w:rFonts w:ascii="Calibri" w:hAnsi="Calibri"/>
                <w:color w:val="1A1A1A"/>
                <w:sz w:val="18"/>
              </w:rPr>
              <w:t>FR-P7-04</w:t>
            </w:r>
          </w:p>
        </w:tc>
      </w:tr>
      <w:tr>
        <w:tc>
          <w:tcPr>
            <w:tcW w:type="dxa" w:w="1361"/>
            <w:shd w:val="clear" w:color="auto" w:fill="FAFBFC"/>
          </w:tcPr>
          <w:p>
            <w:pPr>
              <w:spacing w:after="0" w:line="252" w:lineRule="auto"/>
              <w:jc w:val="left"/>
            </w:pPr>
            <w:r>
              <w:rPr>
                <w:rFonts w:ascii="Calibri" w:hAnsi="Calibri"/>
                <w:b/>
                <w:color w:val="1A1A1A"/>
                <w:sz w:val="18"/>
              </w:rPr>
              <w:t>Q-4</w:t>
            </w:r>
          </w:p>
        </w:tc>
        <w:tc>
          <w:tcPr>
            <w:tcW w:type="dxa" w:w="4535"/>
            <w:shd w:val="clear" w:color="auto" w:fill="FAFBFC"/>
          </w:tcPr>
          <w:p>
            <w:pPr>
              <w:spacing w:after="0" w:line="252" w:lineRule="auto"/>
              <w:jc w:val="left"/>
            </w:pPr>
            <w:r>
              <w:rPr>
                <w:rFonts w:ascii="Calibri" w:hAnsi="Calibri"/>
                <w:color w:val="1A1A1A"/>
                <w:sz w:val="18"/>
              </w:rPr>
              <w:t>Who may send a quotation against a feasibility warning, and who may breach a margin floor? Are they the same person?</w:t>
            </w:r>
          </w:p>
        </w:tc>
        <w:tc>
          <w:tcPr>
            <w:tcW w:type="dxa" w:w="4422"/>
            <w:shd w:val="clear" w:color="auto" w:fill="FAFBFC"/>
          </w:tcPr>
          <w:p>
            <w:pPr>
              <w:spacing w:after="0" w:line="252" w:lineRule="auto"/>
              <w:jc w:val="left"/>
            </w:pPr>
            <w:r>
              <w:rPr>
                <w:rFonts w:ascii="Calibri" w:hAnsi="Calibri"/>
                <w:color w:val="1A1A1A"/>
                <w:sz w:val="18"/>
              </w:rPr>
              <w:t>FR-P4-26, FR-P4-32</w:t>
            </w:r>
          </w:p>
        </w:tc>
      </w:tr>
      <w:tr>
        <w:tc>
          <w:tcPr>
            <w:tcW w:type="dxa" w:w="1361"/>
          </w:tcPr>
          <w:p>
            <w:pPr>
              <w:spacing w:after="0" w:line="252" w:lineRule="auto"/>
              <w:jc w:val="left"/>
            </w:pPr>
            <w:r>
              <w:rPr>
                <w:rFonts w:ascii="Calibri" w:hAnsi="Calibri"/>
                <w:color w:val="1A1A1A"/>
                <w:sz w:val="18"/>
              </w:rPr>
              <w:t>~~</w:t>
            </w:r>
            <w:r>
              <w:rPr>
                <w:rFonts w:ascii="Calibri" w:hAnsi="Calibri"/>
                <w:b/>
                <w:color w:val="1A1A1A"/>
                <w:sz w:val="18"/>
              </w:rPr>
              <w:t>Q-5</w:t>
            </w:r>
            <w:r>
              <w:rPr>
                <w:rFonts w:ascii="Calibri" w:hAnsi="Calibri"/>
                <w:color w:val="1A1A1A"/>
                <w:sz w:val="18"/>
              </w:rPr>
              <w:t>~~</w:t>
            </w:r>
          </w:p>
        </w:tc>
        <w:tc>
          <w:tcPr>
            <w:tcW w:type="dxa" w:w="4535"/>
          </w:tcPr>
          <w:p>
            <w:pPr>
              <w:spacing w:after="0" w:line="252" w:lineRule="auto"/>
              <w:jc w:val="left"/>
            </w:pPr>
            <w:r>
              <w:rPr>
                <w:rFonts w:ascii="Calibri" w:hAnsi="Calibri"/>
                <w:color w:val="1A1A1A"/>
                <w:sz w:val="18"/>
              </w:rPr>
              <w:t xml:space="preserve">~~Is client health scored per legal entity or per client group?~~ </w:t>
            </w:r>
            <w:r>
              <w:rPr>
                <w:rFonts w:ascii="Calibri" w:hAnsi="Calibri"/>
                <w:b/>
                <w:color w:val="1A1A1A"/>
                <w:sz w:val="18"/>
              </w:rPr>
              <w:t>CLOSED 24 Aug — per legal entity.</w:t>
            </w:r>
            <w:r>
              <w:rPr>
                <w:rFonts w:ascii="Calibri" w:hAnsi="Calibri"/>
                <w:color w:val="1A1A1A"/>
                <w:sz w:val="18"/>
              </w:rPr>
              <w:t xml:space="preserve"> Group structure cut; FR-P1-08 to FR-P1-10 withdrawn</w:t>
            </w:r>
          </w:p>
        </w:tc>
        <w:tc>
          <w:tcPr>
            <w:tcW w:type="dxa" w:w="4422"/>
          </w:tcPr>
          <w:p>
            <w:pPr>
              <w:spacing w:after="0" w:line="252" w:lineRule="auto"/>
              <w:jc w:val="left"/>
            </w:pPr>
            <w:r>
              <w:rPr>
                <w:rFonts w:ascii="Calibri" w:hAnsi="Calibri"/>
                <w:color w:val="1A1A1A"/>
                <w:sz w:val="18"/>
              </w:rPr>
              <w:t>—</w:t>
            </w:r>
          </w:p>
        </w:tc>
      </w:tr>
      <w:tr>
        <w:tc>
          <w:tcPr>
            <w:tcW w:type="dxa" w:w="1361"/>
            <w:shd w:val="clear" w:color="auto" w:fill="FAFBFC"/>
          </w:tcPr>
          <w:p>
            <w:pPr>
              <w:spacing w:after="0" w:line="252" w:lineRule="auto"/>
              <w:jc w:val="left"/>
            </w:pPr>
            <w:r>
              <w:rPr>
                <w:rFonts w:ascii="Calibri" w:hAnsi="Calibri"/>
                <w:b/>
                <w:color w:val="1A1A1A"/>
                <w:sz w:val="18"/>
              </w:rPr>
              <w:t>Q-6</w:t>
            </w:r>
          </w:p>
        </w:tc>
        <w:tc>
          <w:tcPr>
            <w:tcW w:type="dxa" w:w="4535"/>
            <w:shd w:val="clear" w:color="auto" w:fill="FAFBFC"/>
          </w:tcPr>
          <w:p>
            <w:pPr>
              <w:spacing w:after="0" w:line="252" w:lineRule="auto"/>
              <w:jc w:val="left"/>
            </w:pPr>
            <w:r>
              <w:rPr>
                <w:rFonts w:ascii="Calibri" w:hAnsi="Calibri"/>
                <w:color w:val="1A1A1A"/>
                <w:sz w:val="18"/>
              </w:rPr>
              <w:t>What are the fiscal period boundaries, and does the forecast horizon run to quarter end or a rolling 90 days?</w:t>
            </w:r>
          </w:p>
        </w:tc>
        <w:tc>
          <w:tcPr>
            <w:tcW w:type="dxa" w:w="4422"/>
            <w:shd w:val="clear" w:color="auto" w:fill="FAFBFC"/>
          </w:tcPr>
          <w:p>
            <w:pPr>
              <w:spacing w:after="0" w:line="252" w:lineRule="auto"/>
              <w:jc w:val="left"/>
            </w:pPr>
            <w:r>
              <w:rPr>
                <w:rFonts w:ascii="Calibri" w:hAnsi="Calibri"/>
                <w:color w:val="1A1A1A"/>
                <w:sz w:val="18"/>
              </w:rPr>
              <w:t>FR-X-08, FR-P7-17</w:t>
            </w:r>
          </w:p>
        </w:tc>
      </w:tr>
      <w:tr>
        <w:tc>
          <w:tcPr>
            <w:tcW w:type="dxa" w:w="1361"/>
          </w:tcPr>
          <w:p>
            <w:pPr>
              <w:spacing w:after="0" w:line="252" w:lineRule="auto"/>
              <w:jc w:val="left"/>
            </w:pPr>
            <w:r>
              <w:rPr>
                <w:rFonts w:ascii="Calibri" w:hAnsi="Calibri"/>
                <w:b/>
                <w:color w:val="1A1A1A"/>
                <w:sz w:val="18"/>
              </w:rPr>
              <w:t>Q-7</w:t>
            </w:r>
          </w:p>
        </w:tc>
        <w:tc>
          <w:tcPr>
            <w:tcW w:type="dxa" w:w="4535"/>
          </w:tcPr>
          <w:p>
            <w:pPr>
              <w:spacing w:after="0" w:line="252" w:lineRule="auto"/>
              <w:jc w:val="left"/>
            </w:pPr>
            <w:r>
              <w:rPr>
                <w:rFonts w:ascii="Calibri" w:hAnsi="Calibri"/>
                <w:color w:val="1A1A1A"/>
                <w:sz w:val="18"/>
              </w:rPr>
              <w:t>Who may write off a receivable, waive a partner fee, and close an exception without action?</w:t>
            </w:r>
          </w:p>
        </w:tc>
        <w:tc>
          <w:tcPr>
            <w:tcW w:type="dxa" w:w="4422"/>
          </w:tcPr>
          <w:p>
            <w:pPr>
              <w:spacing w:after="0" w:line="252" w:lineRule="auto"/>
              <w:jc w:val="left"/>
            </w:pPr>
            <w:r>
              <w:rPr>
                <w:rFonts w:ascii="Calibri" w:hAnsi="Calibri"/>
                <w:color w:val="1A1A1A"/>
                <w:sz w:val="18"/>
              </w:rPr>
              <w:t>FR-P7-09, FR-P3-14, FR-P8-05</w:t>
            </w:r>
          </w:p>
        </w:tc>
      </w:tr>
      <w:tr>
        <w:tc>
          <w:tcPr>
            <w:tcW w:type="dxa" w:w="1361"/>
            <w:shd w:val="clear" w:color="auto" w:fill="FAFBFC"/>
          </w:tcPr>
          <w:p>
            <w:pPr>
              <w:spacing w:after="0" w:line="252" w:lineRule="auto"/>
              <w:jc w:val="left"/>
            </w:pPr>
            <w:r>
              <w:rPr>
                <w:rFonts w:ascii="Calibri" w:hAnsi="Calibri"/>
                <w:b/>
                <w:color w:val="1A1A1A"/>
                <w:sz w:val="18"/>
              </w:rPr>
              <w:t>Q-8</w:t>
            </w:r>
          </w:p>
        </w:tc>
        <w:tc>
          <w:tcPr>
            <w:tcW w:type="dxa" w:w="4535"/>
            <w:shd w:val="clear" w:color="auto" w:fill="FAFBFC"/>
          </w:tcPr>
          <w:p>
            <w:pPr>
              <w:spacing w:after="0" w:line="252" w:lineRule="auto"/>
              <w:jc w:val="left"/>
            </w:pPr>
            <w:r>
              <w:rPr>
                <w:rFonts w:ascii="Calibri" w:hAnsi="Calibri"/>
                <w:color w:val="1A1A1A"/>
                <w:sz w:val="18"/>
              </w:rPr>
              <w:t>Does the platform stay single-tenant? Several requirements here — group structure, entitlement tiers, targets — are cheaper to build now with tenancy in mind than to retrofit</w:t>
            </w:r>
          </w:p>
        </w:tc>
        <w:tc>
          <w:tcPr>
            <w:tcW w:type="dxa" w:w="4422"/>
            <w:shd w:val="clear" w:color="auto" w:fill="FAFBFC"/>
          </w:tcPr>
          <w:p>
            <w:pPr>
              <w:spacing w:after="0" w:line="252" w:lineRule="auto"/>
              <w:jc w:val="left"/>
            </w:pPr>
            <w:r>
              <w:rPr>
                <w:rFonts w:ascii="Calibri" w:hAnsi="Calibri"/>
                <w:color w:val="1A1A1A"/>
                <w:sz w:val="18"/>
              </w:rPr>
              <w:t>Architecture-wide</w:t>
            </w:r>
          </w:p>
        </w:tc>
      </w:tr>
    </w:tbl>
    <w:p>
      <w:pPr>
        <w:spacing w:after="80"/>
      </w:pPr>
    </w:p>
    <w:p>
      <w:pPr>
        <w:pStyle w:val="Heading2"/>
      </w:pPr>
      <w:r>
        <w:t>Source-document review questions, answered</w:t>
      </w:r>
    </w:p>
    <w:p>
      <w:r>
        <w:rPr>
          <w:rFonts w:ascii="Calibri" w:hAnsi="Calibri"/>
          <w:color w:val="1A1A1A"/>
        </w:rPr>
        <w:t>Both source documents close with a PRD review checklist. Where this specification answers one, the requirement is named; where it does not, the open question is named.</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5159"/>
        <w:gridCol w:w="5159"/>
      </w:tblGrid>
      <w:tr>
        <w:trPr>
          <w:tblHeader w:val="true"/>
        </w:trPr>
        <w:tc>
          <w:tcPr>
            <w:tcW w:type="dxa" w:w="2948"/>
            <w:shd w:val="clear" w:color="auto" w:fill="E8EDF2"/>
          </w:tcPr>
          <w:p>
            <w:pPr>
              <w:spacing w:after="0"/>
              <w:jc w:val="left"/>
            </w:pPr>
            <w:r>
              <w:rPr>
                <w:rFonts w:ascii="Calibri" w:hAnsi="Calibri"/>
                <w:b/>
                <w:color w:val="1A1A1A"/>
                <w:sz w:val="18"/>
              </w:rPr>
              <w:t>Review question</w:t>
            </w:r>
          </w:p>
        </w:tc>
        <w:tc>
          <w:tcPr>
            <w:tcW w:type="dxa" w:w="7370"/>
            <w:shd w:val="clear" w:color="auto" w:fill="E8EDF2"/>
          </w:tcPr>
          <w:p>
            <w:pPr>
              <w:spacing w:after="0"/>
              <w:jc w:val="left"/>
            </w:pPr>
            <w:r>
              <w:rPr>
                <w:rFonts w:ascii="Calibri" w:hAnsi="Calibri"/>
                <w:b/>
                <w:color w:val="1A1A1A"/>
                <w:sz w:val="18"/>
              </w:rPr>
              <w:t>Answer</w:t>
            </w:r>
          </w:p>
        </w:tc>
      </w:tr>
      <w:tr>
        <w:tc>
          <w:tcPr>
            <w:tcW w:type="dxa" w:w="2948"/>
          </w:tcPr>
          <w:p>
            <w:pPr>
              <w:spacing w:after="0" w:line="252" w:lineRule="auto"/>
              <w:jc w:val="left"/>
            </w:pPr>
            <w:r>
              <w:rPr>
                <w:rFonts w:ascii="Calibri" w:hAnsi="Calibri"/>
                <w:color w:val="1A1A1A"/>
                <w:sz w:val="18"/>
              </w:rPr>
              <w:t>Is every entity and metric owned by exactly one pillar?</w:t>
            </w:r>
          </w:p>
        </w:tc>
        <w:tc>
          <w:tcPr>
            <w:tcW w:type="dxa" w:w="7370"/>
          </w:tcPr>
          <w:p>
            <w:pPr>
              <w:spacing w:after="0" w:line="252" w:lineRule="auto"/>
              <w:jc w:val="left"/>
            </w:pPr>
            <w:r>
              <w:rPr>
                <w:rFonts w:ascii="Calibri" w:hAnsi="Calibri"/>
                <w:color w:val="1A1A1A"/>
                <w:sz w:val="18"/>
              </w:rPr>
              <w:t>Yes — Section A ownership table</w:t>
            </w:r>
          </w:p>
        </w:tc>
      </w:tr>
      <w:tr>
        <w:tc>
          <w:tcPr>
            <w:tcW w:type="dxa" w:w="2948"/>
            <w:shd w:val="clear" w:color="auto" w:fill="FAFBFC"/>
          </w:tcPr>
          <w:p>
            <w:pPr>
              <w:spacing w:after="0" w:line="252" w:lineRule="auto"/>
              <w:jc w:val="left"/>
            </w:pPr>
            <w:r>
              <w:rPr>
                <w:rFonts w:ascii="Calibri" w:hAnsi="Calibri"/>
                <w:color w:val="1A1A1A"/>
                <w:sz w:val="18"/>
              </w:rPr>
              <w:t>Are quoted, contracted, invoiced, recognized and collected distinguishable everywhere?</w:t>
            </w:r>
          </w:p>
        </w:tc>
        <w:tc>
          <w:tcPr>
            <w:tcW w:type="dxa" w:w="7370"/>
            <w:shd w:val="clear" w:color="auto" w:fill="FAFBFC"/>
          </w:tcPr>
          <w:p>
            <w:pPr>
              <w:spacing w:after="0" w:line="252" w:lineRule="auto"/>
              <w:jc w:val="left"/>
            </w:pPr>
            <w:r>
              <w:rPr>
                <w:rFonts w:ascii="Calibri" w:hAnsi="Calibri"/>
                <w:color w:val="1A1A1A"/>
                <w:sz w:val="18"/>
              </w:rPr>
              <w:t>FR-P7-01, NFR-AUD-05</w:t>
            </w:r>
          </w:p>
        </w:tc>
      </w:tr>
      <w:tr>
        <w:tc>
          <w:tcPr>
            <w:tcW w:type="dxa" w:w="2948"/>
          </w:tcPr>
          <w:p>
            <w:pPr>
              <w:spacing w:after="0" w:line="252" w:lineRule="auto"/>
              <w:jc w:val="left"/>
            </w:pPr>
            <w:r>
              <w:rPr>
                <w:rFonts w:ascii="Calibri" w:hAnsi="Calibri"/>
                <w:color w:val="1A1A1A"/>
                <w:sz w:val="18"/>
              </w:rPr>
              <w:t>Can a user move from exception to corrective action without losing context?</w:t>
            </w:r>
          </w:p>
        </w:tc>
        <w:tc>
          <w:tcPr>
            <w:tcW w:type="dxa" w:w="7370"/>
          </w:tcPr>
          <w:p>
            <w:pPr>
              <w:spacing w:after="0" w:line="252" w:lineRule="auto"/>
              <w:jc w:val="left"/>
            </w:pPr>
            <w:r>
              <w:rPr>
                <w:rFonts w:ascii="Calibri" w:hAnsi="Calibri"/>
                <w:color w:val="1A1A1A"/>
                <w:sz w:val="18"/>
              </w:rPr>
              <w:t>FR-P8-07</w:t>
            </w:r>
          </w:p>
        </w:tc>
      </w:tr>
      <w:tr>
        <w:tc>
          <w:tcPr>
            <w:tcW w:type="dxa" w:w="2948"/>
            <w:shd w:val="clear" w:color="auto" w:fill="FAFBFC"/>
          </w:tcPr>
          <w:p>
            <w:pPr>
              <w:spacing w:after="0" w:line="252" w:lineRule="auto"/>
              <w:jc w:val="left"/>
            </w:pPr>
            <w:r>
              <w:rPr>
                <w:rFonts w:ascii="Calibri" w:hAnsi="Calibri"/>
                <w:color w:val="1A1A1A"/>
                <w:sz w:val="18"/>
              </w:rPr>
              <w:t>Are current, historical and forecast values clearly separated?</w:t>
            </w:r>
          </w:p>
        </w:tc>
        <w:tc>
          <w:tcPr>
            <w:tcW w:type="dxa" w:w="7370"/>
            <w:shd w:val="clear" w:color="auto" w:fill="FAFBFC"/>
          </w:tcPr>
          <w:p>
            <w:pPr>
              <w:spacing w:after="0" w:line="252" w:lineRule="auto"/>
              <w:jc w:val="left"/>
            </w:pPr>
            <w:r>
              <w:rPr>
                <w:rFonts w:ascii="Calibri" w:hAnsi="Calibri"/>
                <w:color w:val="1A1A1A"/>
                <w:sz w:val="18"/>
              </w:rPr>
              <w:t>FR-P7-17, NFR-REP-03</w:t>
            </w:r>
          </w:p>
        </w:tc>
      </w:tr>
      <w:tr>
        <w:tc>
          <w:tcPr>
            <w:tcW w:type="dxa" w:w="2948"/>
          </w:tcPr>
          <w:p>
            <w:pPr>
              <w:spacing w:after="0" w:line="252" w:lineRule="auto"/>
              <w:jc w:val="left"/>
            </w:pPr>
            <w:r>
              <w:rPr>
                <w:rFonts w:ascii="Calibri" w:hAnsi="Calibri"/>
                <w:color w:val="1A1A1A"/>
                <w:sz w:val="18"/>
              </w:rPr>
              <w:t>Can client health and deal confidence be traced to source evidence?</w:t>
            </w:r>
          </w:p>
        </w:tc>
        <w:tc>
          <w:tcPr>
            <w:tcW w:type="dxa" w:w="7370"/>
          </w:tcPr>
          <w:p>
            <w:pPr>
              <w:spacing w:after="0" w:line="252" w:lineRule="auto"/>
              <w:jc w:val="left"/>
            </w:pPr>
            <w:r>
              <w:rPr>
                <w:rFonts w:ascii="Calibri" w:hAnsi="Calibri"/>
                <w:color w:val="1A1A1A"/>
                <w:sz w:val="18"/>
              </w:rPr>
              <w:t>FR-P8-02, FR-P8-03, NFR-UX-07</w:t>
            </w:r>
          </w:p>
        </w:tc>
      </w:tr>
      <w:tr>
        <w:tc>
          <w:tcPr>
            <w:tcW w:type="dxa" w:w="2948"/>
            <w:shd w:val="clear" w:color="auto" w:fill="FAFBFC"/>
          </w:tcPr>
          <w:p>
            <w:pPr>
              <w:spacing w:after="0" w:line="252" w:lineRule="auto"/>
              <w:jc w:val="left"/>
            </w:pPr>
            <w:r>
              <w:rPr>
                <w:rFonts w:ascii="Calibri" w:hAnsi="Calibri"/>
                <w:color w:val="1A1A1A"/>
                <w:sz w:val="18"/>
              </w:rPr>
              <w:t>Are sourced, influenced and co-sold credit unambiguous, with a shared-credit rule?</w:t>
            </w:r>
          </w:p>
        </w:tc>
        <w:tc>
          <w:tcPr>
            <w:tcW w:type="dxa" w:w="7370"/>
            <w:shd w:val="clear" w:color="auto" w:fill="FAFBFC"/>
          </w:tcPr>
          <w:p>
            <w:pPr>
              <w:spacing w:after="0" w:line="252" w:lineRule="auto"/>
              <w:jc w:val="left"/>
            </w:pPr>
            <w:r>
              <w:rPr>
                <w:rFonts w:ascii="Calibri" w:hAnsi="Calibri"/>
                <w:color w:val="1A1A1A"/>
                <w:sz w:val="18"/>
              </w:rPr>
              <w:t xml:space="preserve">FR-P3-07 defines the types; the rule itself is </w:t>
            </w:r>
            <w:r>
              <w:rPr>
                <w:rFonts w:ascii="Calibri" w:hAnsi="Calibri"/>
                <w:b/>
                <w:color w:val="1A1A1A"/>
                <w:sz w:val="18"/>
              </w:rPr>
              <w:t>Q-2</w:t>
            </w:r>
          </w:p>
        </w:tc>
      </w:tr>
      <w:tr>
        <w:tc>
          <w:tcPr>
            <w:tcW w:type="dxa" w:w="2948"/>
          </w:tcPr>
          <w:p>
            <w:pPr>
              <w:spacing w:after="0" w:line="252" w:lineRule="auto"/>
              <w:jc w:val="left"/>
            </w:pPr>
            <w:r>
              <w:rPr>
                <w:rFonts w:ascii="Calibri" w:hAnsi="Calibri"/>
                <w:color w:val="1A1A1A"/>
                <w:sz w:val="18"/>
              </w:rPr>
              <w:t>Are pricing, terms, margin and collections protected by purpose and role?</w:t>
            </w:r>
          </w:p>
        </w:tc>
        <w:tc>
          <w:tcPr>
            <w:tcW w:type="dxa" w:w="7370"/>
          </w:tcPr>
          <w:p>
            <w:pPr>
              <w:spacing w:after="0" w:line="252" w:lineRule="auto"/>
              <w:jc w:val="left"/>
            </w:pPr>
            <w:r>
              <w:rPr>
                <w:rFonts w:ascii="Calibri" w:hAnsi="Calibri"/>
                <w:color w:val="1A1A1A"/>
                <w:sz w:val="18"/>
              </w:rPr>
              <w:t>FR-X-05, NFR-SEC-04, NFR-PRIV-02</w:t>
            </w:r>
          </w:p>
        </w:tc>
      </w:tr>
      <w:tr>
        <w:tc>
          <w:tcPr>
            <w:tcW w:type="dxa" w:w="2948"/>
            <w:shd w:val="clear" w:color="auto" w:fill="FAFBFC"/>
          </w:tcPr>
          <w:p>
            <w:pPr>
              <w:spacing w:after="0" w:line="252" w:lineRule="auto"/>
              <w:jc w:val="left"/>
            </w:pPr>
            <w:r>
              <w:rPr>
                <w:rFonts w:ascii="Calibri" w:hAnsi="Calibri"/>
                <w:color w:val="1A1A1A"/>
                <w:sz w:val="18"/>
              </w:rPr>
              <w:t>What happens when accounts duplicate or milestones are recorded late?</w:t>
            </w:r>
          </w:p>
        </w:tc>
        <w:tc>
          <w:tcPr>
            <w:tcW w:type="dxa" w:w="7370"/>
            <w:shd w:val="clear" w:color="auto" w:fill="FAFBFC"/>
          </w:tcPr>
          <w:p>
            <w:pPr>
              <w:spacing w:after="0" w:line="252" w:lineRule="auto"/>
              <w:jc w:val="left"/>
            </w:pPr>
            <w:r>
              <w:rPr>
                <w:rFonts w:ascii="Calibri" w:hAnsi="Calibri"/>
                <w:color w:val="1A1A1A"/>
                <w:sz w:val="18"/>
              </w:rPr>
              <w:t>FR-P1-11, FR-P1-12, FR-P6-08, FR-P8-04</w:t>
            </w:r>
          </w:p>
        </w:tc>
      </w:tr>
      <w:tr>
        <w:tc>
          <w:tcPr>
            <w:tcW w:type="dxa" w:w="2948"/>
          </w:tcPr>
          <w:p>
            <w:pPr>
              <w:spacing w:after="0" w:line="252" w:lineRule="auto"/>
              <w:jc w:val="left"/>
            </w:pPr>
            <w:r>
              <w:rPr>
                <w:rFonts w:ascii="Calibri" w:hAnsi="Calibri"/>
                <w:color w:val="1A1A1A"/>
                <w:sz w:val="18"/>
              </w:rPr>
              <w:t>Who can discount, sign, amend, gate kickoff, waive a fee, write off, close an exception?</w:t>
            </w:r>
          </w:p>
        </w:tc>
        <w:tc>
          <w:tcPr>
            <w:tcW w:type="dxa" w:w="7370"/>
          </w:tcPr>
          <w:p>
            <w:pPr>
              <w:spacing w:after="0" w:line="252" w:lineRule="auto"/>
              <w:jc w:val="left"/>
            </w:pPr>
            <w:r>
              <w:rPr>
                <w:rFonts w:ascii="Calibri" w:hAnsi="Calibri"/>
                <w:color w:val="1A1A1A"/>
                <w:sz w:val="18"/>
              </w:rPr>
              <w:t xml:space="preserve">Partly FR-X-12; the decision rights themselves are </w:t>
            </w:r>
            <w:r>
              <w:rPr>
                <w:rFonts w:ascii="Calibri" w:hAnsi="Calibri"/>
                <w:b/>
                <w:color w:val="1A1A1A"/>
                <w:sz w:val="18"/>
              </w:rPr>
              <w:t>Q-1</w:t>
            </w:r>
            <w:r>
              <w:rPr>
                <w:rFonts w:ascii="Calibri" w:hAnsi="Calibri"/>
                <w:color w:val="1A1A1A"/>
                <w:sz w:val="18"/>
              </w:rPr>
              <w:t xml:space="preserve">, </w:t>
            </w:r>
            <w:r>
              <w:rPr>
                <w:rFonts w:ascii="Calibri" w:hAnsi="Calibri"/>
                <w:b/>
                <w:color w:val="1A1A1A"/>
                <w:sz w:val="18"/>
              </w:rPr>
              <w:t>Q-4</w:t>
            </w:r>
            <w:r>
              <w:rPr>
                <w:rFonts w:ascii="Calibri" w:hAnsi="Calibri"/>
                <w:color w:val="1A1A1A"/>
                <w:sz w:val="18"/>
              </w:rPr>
              <w:t xml:space="preserve"> and </w:t>
            </w:r>
            <w:r>
              <w:rPr>
                <w:rFonts w:ascii="Calibri" w:hAnsi="Calibri"/>
                <w:b/>
                <w:color w:val="1A1A1A"/>
                <w:sz w:val="18"/>
              </w:rPr>
              <w:t>Q-7</w:t>
            </w:r>
          </w:p>
        </w:tc>
      </w:tr>
      <w:tr>
        <w:tc>
          <w:tcPr>
            <w:tcW w:type="dxa" w:w="2948"/>
            <w:shd w:val="clear" w:color="auto" w:fill="FAFBFC"/>
          </w:tcPr>
          <w:p>
            <w:pPr>
              <w:spacing w:after="0" w:line="252" w:lineRule="auto"/>
              <w:jc w:val="left"/>
            </w:pPr>
            <w:r>
              <w:rPr>
                <w:rFonts w:ascii="Calibri" w:hAnsi="Calibri"/>
                <w:color w:val="1A1A1A"/>
                <w:sz w:val="18"/>
              </w:rPr>
              <w:t>Does each pillar have adoption, data-quality, operational and outcome measures?</w:t>
            </w:r>
          </w:p>
        </w:tc>
        <w:tc>
          <w:tcPr>
            <w:tcW w:type="dxa" w:w="7370"/>
            <w:shd w:val="clear" w:color="auto" w:fill="FAFBFC"/>
          </w:tcPr>
          <w:p>
            <w:pPr>
              <w:spacing w:after="0" w:line="252" w:lineRule="auto"/>
              <w:jc w:val="left"/>
            </w:pPr>
            <w:r>
              <w:rPr>
                <w:rFonts w:ascii="Calibri" w:hAnsi="Calibri"/>
                <w:color w:val="1A1A1A"/>
                <w:sz w:val="18"/>
              </w:rPr>
              <w:t>Partly — FR-P1-13 and FR-P8-08. A full measure set per pillar is not yet specified</w:t>
            </w:r>
          </w:p>
        </w:tc>
      </w:tr>
      <w:tr>
        <w:tc>
          <w:tcPr>
            <w:tcW w:type="dxa" w:w="2948"/>
          </w:tcPr>
          <w:p>
            <w:pPr>
              <w:spacing w:after="0" w:line="252" w:lineRule="auto"/>
              <w:jc w:val="left"/>
            </w:pPr>
            <w:r>
              <w:rPr>
                <w:rFonts w:ascii="Calibri" w:hAnsi="Calibri"/>
                <w:color w:val="1A1A1A"/>
                <w:sz w:val="18"/>
              </w:rPr>
              <w:t>Can a six-month-old estimate be reproduced exactly?</w:t>
            </w:r>
          </w:p>
        </w:tc>
        <w:tc>
          <w:tcPr>
            <w:tcW w:type="dxa" w:w="7370"/>
          </w:tcPr>
          <w:p>
            <w:pPr>
              <w:spacing w:after="0" w:line="252" w:lineRule="auto"/>
              <w:jc w:val="left"/>
            </w:pPr>
            <w:r>
              <w:rPr>
                <w:rFonts w:ascii="Calibri" w:hAnsi="Calibri"/>
                <w:color w:val="1A1A1A"/>
                <w:sz w:val="18"/>
              </w:rPr>
              <w:t>NFR-REP-01, FR-X-09</w:t>
            </w:r>
          </w:p>
        </w:tc>
      </w:tr>
      <w:tr>
        <w:tc>
          <w:tcPr>
            <w:tcW w:type="dxa" w:w="2948"/>
            <w:shd w:val="clear" w:color="auto" w:fill="FAFBFC"/>
          </w:tcPr>
          <w:p>
            <w:pPr>
              <w:spacing w:after="0" w:line="252" w:lineRule="auto"/>
              <w:jc w:val="left"/>
            </w:pPr>
            <w:r>
              <w:rPr>
                <w:rFonts w:ascii="Calibri" w:hAnsi="Calibri"/>
                <w:color w:val="1A1A1A"/>
                <w:sz w:val="18"/>
              </w:rPr>
              <w:t>Is every "Never" item in the boundary matrix genuinely unreachable?</w:t>
            </w:r>
          </w:p>
        </w:tc>
        <w:tc>
          <w:tcPr>
            <w:tcW w:type="dxa" w:w="7370"/>
            <w:shd w:val="clear" w:color="auto" w:fill="FAFBFC"/>
          </w:tcPr>
          <w:p>
            <w:pPr>
              <w:spacing w:after="0" w:line="252" w:lineRule="auto"/>
              <w:jc w:val="left"/>
            </w:pPr>
            <w:r>
              <w:rPr>
                <w:rFonts w:ascii="Calibri" w:hAnsi="Calibri"/>
                <w:b/>
                <w:color w:val="1A1A1A"/>
                <w:sz w:val="18"/>
              </w:rPr>
              <w:t>No longer applicable</w:t>
            </w:r>
            <w:r>
              <w:rPr>
                <w:rFonts w:ascii="Calibri" w:hAnsi="Calibri"/>
                <w:color w:val="1A1A1A"/>
                <w:sz w:val="18"/>
              </w:rPr>
              <w:t xml:space="preserve"> — the boundary is deliberately removed by D-1 and replaced by NFR-SEC-04 through NFR-SEC-10</w:t>
            </w:r>
          </w:p>
        </w:tc>
      </w:tr>
      <w:tr>
        <w:tc>
          <w:tcPr>
            <w:tcW w:type="dxa" w:w="2948"/>
          </w:tcPr>
          <w:p>
            <w:pPr>
              <w:spacing w:after="0" w:line="252" w:lineRule="auto"/>
              <w:jc w:val="left"/>
            </w:pPr>
            <w:r>
              <w:rPr>
                <w:rFonts w:ascii="Calibri" w:hAnsi="Calibri"/>
                <w:color w:val="1A1A1A"/>
                <w:sz w:val="18"/>
              </w:rPr>
              <w:t>Can a quotation with an unsupportable start date be sent, and by whom?</w:t>
            </w:r>
          </w:p>
        </w:tc>
        <w:tc>
          <w:tcPr>
            <w:tcW w:type="dxa" w:w="7370"/>
          </w:tcPr>
          <w:p>
            <w:pPr>
              <w:spacing w:after="0" w:line="252" w:lineRule="auto"/>
              <w:jc w:val="left"/>
            </w:pPr>
            <w:r>
              <w:rPr>
                <w:rFonts w:ascii="Calibri" w:hAnsi="Calibri"/>
                <w:color w:val="1A1A1A"/>
                <w:sz w:val="18"/>
              </w:rPr>
              <w:t xml:space="preserve">FR-P4-26; the "by whom" is </w:t>
            </w:r>
            <w:r>
              <w:rPr>
                <w:rFonts w:ascii="Calibri" w:hAnsi="Calibri"/>
                <w:b/>
                <w:color w:val="1A1A1A"/>
                <w:sz w:val="18"/>
              </w:rPr>
              <w:t>Q-4</w:t>
            </w:r>
          </w:p>
        </w:tc>
      </w:tr>
      <w:tr>
        <w:tc>
          <w:tcPr>
            <w:tcW w:type="dxa" w:w="2948"/>
            <w:shd w:val="clear" w:color="auto" w:fill="FAFBFC"/>
          </w:tcPr>
          <w:p>
            <w:pPr>
              <w:spacing w:after="0" w:line="252" w:lineRule="auto"/>
              <w:jc w:val="left"/>
            </w:pPr>
            <w:r>
              <w:rPr>
                <w:rFonts w:ascii="Calibri" w:hAnsi="Calibri"/>
                <w:color w:val="1A1A1A"/>
                <w:sz w:val="18"/>
              </w:rPr>
              <w:t>When price is reduced, is discount-versus-descope an explicit choice?</w:t>
            </w:r>
          </w:p>
        </w:tc>
        <w:tc>
          <w:tcPr>
            <w:tcW w:type="dxa" w:w="7370"/>
            <w:shd w:val="clear" w:color="auto" w:fill="FAFBFC"/>
          </w:tcPr>
          <w:p>
            <w:pPr>
              <w:spacing w:after="0" w:line="252" w:lineRule="auto"/>
              <w:jc w:val="left"/>
            </w:pPr>
            <w:r>
              <w:rPr>
                <w:rFonts w:ascii="Calibri" w:hAnsi="Calibri"/>
                <w:color w:val="1A1A1A"/>
                <w:sz w:val="18"/>
              </w:rPr>
              <w:t>FR-P4-33</w:t>
            </w:r>
          </w:p>
        </w:tc>
      </w:tr>
      <w:tr>
        <w:tc>
          <w:tcPr>
            <w:tcW w:type="dxa" w:w="2948"/>
          </w:tcPr>
          <w:p>
            <w:pPr>
              <w:spacing w:after="0" w:line="252" w:lineRule="auto"/>
              <w:jc w:val="left"/>
            </w:pPr>
            <w:r>
              <w:rPr>
                <w:rFonts w:ascii="Calibri" w:hAnsi="Calibri"/>
                <w:color w:val="1A1A1A"/>
                <w:sz w:val="18"/>
              </w:rPr>
              <w:t>Is estimate confidence visible to the approver and does it drive contingency?</w:t>
            </w:r>
          </w:p>
        </w:tc>
        <w:tc>
          <w:tcPr>
            <w:tcW w:type="dxa" w:w="7370"/>
          </w:tcPr>
          <w:p>
            <w:pPr>
              <w:spacing w:after="0" w:line="252" w:lineRule="auto"/>
              <w:jc w:val="left"/>
            </w:pPr>
            <w:r>
              <w:rPr>
                <w:rFonts w:ascii="Calibri" w:hAnsi="Calibri"/>
                <w:color w:val="1A1A1A"/>
                <w:sz w:val="18"/>
              </w:rPr>
              <w:t>FR-P4-02, FR-P4-30</w:t>
            </w:r>
          </w:p>
        </w:tc>
      </w:tr>
      <w:tr>
        <w:tc>
          <w:tcPr>
            <w:tcW w:type="dxa" w:w="2948"/>
            <w:shd w:val="clear" w:color="auto" w:fill="FAFBFC"/>
          </w:tcPr>
          <w:p>
            <w:pPr>
              <w:spacing w:after="0" w:line="252" w:lineRule="auto"/>
              <w:jc w:val="left"/>
            </w:pPr>
            <w:r>
              <w:rPr>
                <w:rFonts w:ascii="Calibri" w:hAnsi="Calibri"/>
                <w:color w:val="1A1A1A"/>
                <w:sz w:val="18"/>
              </w:rPr>
              <w:t>Does the bid decision surface competing demand before the quote is sent?</w:t>
            </w:r>
          </w:p>
        </w:tc>
        <w:tc>
          <w:tcPr>
            <w:tcW w:type="dxa" w:w="7370"/>
            <w:shd w:val="clear" w:color="auto" w:fill="FAFBFC"/>
          </w:tcPr>
          <w:p>
            <w:pPr>
              <w:spacing w:after="0" w:line="252" w:lineRule="auto"/>
              <w:jc w:val="left"/>
            </w:pPr>
            <w:r>
              <w:rPr>
                <w:rFonts w:ascii="Calibri" w:hAnsi="Calibri"/>
                <w:color w:val="1A1A1A"/>
                <w:sz w:val="18"/>
              </w:rPr>
              <w:t>FR-P4-37</w:t>
            </w:r>
          </w:p>
        </w:tc>
      </w:tr>
      <w:tr>
        <w:tc>
          <w:tcPr>
            <w:tcW w:type="dxa" w:w="2948"/>
          </w:tcPr>
          <w:p>
            <w:pPr>
              <w:spacing w:after="0" w:line="252" w:lineRule="auto"/>
              <w:jc w:val="left"/>
            </w:pPr>
            <w:r>
              <w:rPr>
                <w:rFonts w:ascii="Calibri" w:hAnsi="Calibri"/>
                <w:color w:val="1A1A1A"/>
                <w:sz w:val="18"/>
              </w:rPr>
              <w:t>Is the original estimate provably immutable, and is variance attributed?</w:t>
            </w:r>
          </w:p>
        </w:tc>
        <w:tc>
          <w:tcPr>
            <w:tcW w:type="dxa" w:w="7370"/>
          </w:tcPr>
          <w:p>
            <w:pPr>
              <w:spacing w:after="0" w:line="252" w:lineRule="auto"/>
              <w:jc w:val="left"/>
            </w:pPr>
            <w:r>
              <w:rPr>
                <w:rFonts w:ascii="Calibri" w:hAnsi="Calibri"/>
                <w:color w:val="1A1A1A"/>
                <w:sz w:val="18"/>
              </w:rPr>
              <w:t>NFR-AUD-04, FR-P4-51</w:t>
            </w:r>
          </w:p>
        </w:tc>
      </w:tr>
      <w:tr>
        <w:tc>
          <w:tcPr>
            <w:tcW w:type="dxa" w:w="2948"/>
            <w:shd w:val="clear" w:color="auto" w:fill="FAFBFC"/>
          </w:tcPr>
          <w:p>
            <w:pPr>
              <w:spacing w:after="0" w:line="252" w:lineRule="auto"/>
              <w:jc w:val="left"/>
            </w:pPr>
            <w:r>
              <w:rPr>
                <w:rFonts w:ascii="Calibri" w:hAnsi="Calibri"/>
                <w:color w:val="1A1A1A"/>
                <w:sz w:val="18"/>
              </w:rPr>
              <w:t>Does the desk measure estimate accuracy, turnaround, floor-breach rate and win rate by confidence band?</w:t>
            </w:r>
          </w:p>
        </w:tc>
        <w:tc>
          <w:tcPr>
            <w:tcW w:type="dxa" w:w="7370"/>
            <w:shd w:val="clear" w:color="auto" w:fill="FAFBFC"/>
          </w:tcPr>
          <w:p>
            <w:pPr>
              <w:spacing w:after="0" w:line="252" w:lineRule="auto"/>
              <w:jc w:val="left"/>
            </w:pPr>
            <w:r>
              <w:rPr>
                <w:rFonts w:ascii="Calibri" w:hAnsi="Calibri"/>
                <w:color w:val="1A1A1A"/>
                <w:sz w:val="18"/>
              </w:rPr>
              <w:t xml:space="preserve">FR-P4-50 and FR-P4-53 cover accuracy and margin; turnaround, floor-breach rate and win-rate-by-confidence are </w:t>
            </w:r>
            <w:r>
              <w:rPr>
                <w:rFonts w:ascii="Calibri" w:hAnsi="Calibri"/>
                <w:b/>
                <w:color w:val="1A1A1A"/>
                <w:sz w:val="18"/>
              </w:rPr>
              <w:t>not yet specified</w:t>
            </w:r>
          </w:p>
        </w:tc>
      </w:tr>
    </w:tbl>
    <w:p>
      <w:pPr>
        <w:spacing w:after="80"/>
      </w:pPr>
    </w:p>
    <w:p>
      <w:pPr>
        <w:spacing w:before="120" w:after="160"/>
        <w:ind w:left="198"/>
        <w:pBdr>
          <w:left w:val="single" w:sz="18" w:space="8" w:color="B08D57"/>
        </w:pBdr>
        <w:shd w:val="clear" w:color="auto" w:fill="F4F1E8"/>
      </w:pPr>
      <w:r>
        <w:rPr>
          <w:rFonts w:ascii="Calibri" w:hAnsi="Calibri"/>
          <w:b/>
          <w:color w:val="1A1A1A"/>
          <w:sz w:val="19"/>
        </w:rPr>
        <w:t>RECOMMENDED PRODUCT FRAMING</w:t>
      </w:r>
      <w:r>
        <w:rPr>
          <w:rFonts w:ascii="Calibri" w:hAnsi="Calibri"/>
          <w:color w:val="1A1A1A"/>
          <w:sz w:val="19"/>
        </w:rPr>
        <w:t xml:space="preserve">  Position the platform as the commercial operating layer between the market and delivery: a single place to decide which clients to pursue, what it will cost to serve them, what to commit to, what to deliver, and what that relationship is ultimately worth.</w:t>
      </w:r>
    </w:p>
    <w:sectPr w:rsidR="00FC693F" w:rsidRPr="0006063C" w:rsidSect="00034616">
      <w:footerReference w:type="default" r:id="rId9"/>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6B6B"/>
        <w:sz w:val="16"/>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12A4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12A40"/>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C4A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C4A6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