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40"/>
      </w:pPr>
      <w:r>
        <w:rPr>
          <w:rFonts w:ascii="PingFang SC" w:hAnsi="PingFang SC" w:eastAsia="PingFang SC"/>
          <w:b/>
          <w:i w:val="0"/>
          <w:color w:val="245B78"/>
          <w:sz w:val="20"/>
        </w:rPr>
        <w:t>逐题审阅报告</w:t>
      </w:r>
    </w:p>
    <w:p>
      <w:pPr>
        <w:pStyle w:val="Title"/>
        <w:spacing w:after="100"/>
      </w:pPr>
      <w:r>
        <w:rPr>
          <w:rFonts w:ascii="PingFang SC" w:hAnsi="PingFang SC" w:eastAsia="PingFang SC"/>
          <w:b/>
          <w:i w:val="0"/>
          <w:color w:val="17324D"/>
          <w:sz w:val="54"/>
        </w:rPr>
        <w:t>双师课课后作业</w:t>
      </w:r>
    </w:p>
    <w:p>
      <w:pPr>
        <w:spacing w:after="360"/>
      </w:pPr>
      <w:r>
        <w:rPr>
          <w:rFonts w:ascii="PingFang SC" w:hAnsi="PingFang SC" w:eastAsia="PingFang SC"/>
          <w:b/>
          <w:i w:val="0"/>
          <w:color w:val="245B78"/>
          <w:sz w:val="30"/>
        </w:rPr>
        <w:t>修改前后高亮对比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7"/>
          <w:left w:val="single" w:sz="4" w:space="0" w:color="EAF2F7"/>
          <w:bottom w:val="single" w:sz="4" w:space="0" w:color="EAF2F7"/>
          <w:right w:val="single" w:sz="4" w:space="0" w:color="EAF2F7"/>
          <w:insideH w:val="single" w:sz="4" w:space="0" w:color="EAF2F7"/>
          <w:insideV w:val="single" w:sz="4" w:space="0" w:color="EAF2F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7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245B78"/>
                <w:sz w:val="36"/>
              </w:rPr>
              <w:t>17</w:t>
            </w:r>
            <w:r>
              <w:rPr>
                <w:rFonts w:ascii="PingFang SC" w:hAnsi="PingFang SC" w:eastAsia="PingFang SC"/>
                <w:b w:val="0"/>
                <w:i w:val="0"/>
                <w:color w:val="667085"/>
                <w:sz w:val="18"/>
              </w:rPr>
              <w:br/>
              <w:t>章节</w:t>
            </w:r>
          </w:p>
        </w:tc>
        <w:tc>
          <w:tcPr>
            <w:tcW w:type="dxa" w:w="3120"/>
            <w:shd w:fill="EAF2F7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245B78"/>
                <w:sz w:val="36"/>
              </w:rPr>
              <w:t>67</w:t>
            </w:r>
            <w:r>
              <w:rPr>
                <w:rFonts w:ascii="PingFang SC" w:hAnsi="PingFang SC" w:eastAsia="PingFang SC"/>
                <w:b w:val="0"/>
                <w:i w:val="0"/>
                <w:color w:val="667085"/>
                <w:sz w:val="18"/>
              </w:rPr>
              <w:br/>
              <w:t>题逐题审阅</w:t>
            </w:r>
          </w:p>
        </w:tc>
        <w:tc>
          <w:tcPr>
            <w:tcW w:type="dxa" w:w="3120"/>
            <w:shd w:fill="EAF2F7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245B78"/>
                <w:sz w:val="36"/>
              </w:rPr>
              <w:t>30</w:t>
            </w:r>
            <w:r>
              <w:rPr>
                <w:rFonts w:ascii="PingFang SC" w:hAnsi="PingFang SC" w:eastAsia="PingFang SC"/>
                <w:b w:val="0"/>
                <w:i w:val="0"/>
                <w:color w:val="667085"/>
                <w:sz w:val="18"/>
              </w:rPr>
              <w:br/>
              <w:t>处修改</w:t>
            </w:r>
          </w:p>
        </w:tc>
      </w:tr>
    </w:tbl>
    <w:p>
      <w:pPr>
        <w:spacing w:after="0"/>
      </w:pPr>
    </w:p>
    <w:p>
      <w:pPr>
        <w:spacing w:after="280"/>
        <w:pBdr>
          <w:bottom w:val="single" w:sz="6" w:space="7" w:color="D5DDE5"/>
        </w:pBdr>
      </w:pPr>
      <w:r>
        <w:rPr>
          <w:rFonts w:ascii="PingFang SC" w:hAnsi="PingFang SC" w:eastAsia="PingFang SC"/>
          <w:b/>
          <w:i w:val="0"/>
          <w:color w:val="17324D"/>
          <w:sz w:val="19"/>
        </w:rPr>
        <w:t xml:space="preserve">阅读说明  </w:t>
      </w:r>
      <w:r>
        <w:rPr>
          <w:rFonts w:ascii="PingFang SC" w:hAnsi="PingFang SC" w:eastAsia="PingFang SC"/>
          <w:b w:val="0"/>
          <w:i w:val="0"/>
          <w:color w:val="667085"/>
          <w:sz w:val="19"/>
        </w:rPr>
        <w:t>仅列出发现问题的题。左侧浅红为原文，右侧浅绿为修正版；末尾附全部67题覆盖表。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01  第1节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题干未给出重力加速度取值；答案直接选择 E（1.40 m）。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在题干补充：“取重力加速度 g=10 m/s²。”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条件不足。由推导只能得到 h=14/g，不能唯一得到数值 1.40 m。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此时 h=14/g=1.40 m，答案 E 才唯一成立。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02  第1节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物块的大小可以忽略，即可以视为无体积的重点。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物块的大小可以忽略，即可以视为无体积的质点。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“重点”为错别字。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物理模型的规范术语是“质点”。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03  第1节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代数数据解得……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代入数据解得……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动词误用。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应把已知数据代入公式。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04  第1节 · 第3题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B 对地的加速度公式中根号、平方和分式层级错乱。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a_B=√(a₁²+a²)，其中 a=(m_Bg−m_Aa₁)/(m_A+m_B)。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公式排版不能清楚表达两个互相垂直的加速度分量。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B 相对车的竖直加速度与车的水平加速度正交，应作矢量合成。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第3节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05  第3节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3n(n 是大于1的正整数）……√(βμgL)(β 为足够大的常数）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3n（n为大于1的正整数）……√(βμgL)（β为足够大的常数）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两处均为半角左括号与全角右括号混用，第一处还破坏了句法。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统一中文括号并恢复完整限定条件。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第4节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06  第4节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原稿约第25页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（1）v_A=v_B=2gr　（3）v_m=(1+√2)gr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（1）v_A=v_B=√(2gr)　（3）v_m=√[(1+√2)gr]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原答案漏失根号，量纲不成立。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速度的量纲应为 √(gr)，与解析中的能量关系一致。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07  第4节 · 第3题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原稿约第29页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同一题的“答案 C＋完整解析”连续排入两遍。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只保留第一份“答案 C＋解析”，删除第二份重复内容。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内容完全重复，且导致后续题号错觉。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两份文字、公式和结论完全相同。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08  第4节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原稿约第30页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仅有“4.【答案】A”和解析，题干、配图及 A—D 选项全部缺失。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从原命题稿补回第4题完整题干、配图和 A—D 选项；在补回前不得作为完整练习题发布。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题目不完整，读者无法作答，也无法从解析唯一反推原选项。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现存信息不足以无歧义重建原题，不能擅自编写选项。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第5节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09  第5节 · 第1题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原稿约第32页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“子弹射入木块后末穿出”“子弹最终末穿出木块”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“子弹射入木块后未穿出”“子弹最终未穿出木块”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两处“末”均为错别字。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此处表示否定，应使用“未”。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10  第5节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原稿约第34页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ΔE=½mv²−½(M−m)v′²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ΔE=½mv²+½(M−m)v′²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新核的反冲动能被错误相减，且与后面的质量亏损结果矛盾。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释放的核能等于 α 粒子和新核动能之和。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11  第5节 · 第3题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第（4）问答案：0.90 m；解析：木板长度大于0.90 m。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第（4）问答案：L≥0.90 m。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答案只给临界值，且答案与解析的范围表述不一致。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“木块不会从小车左端掉下”包含恰好到达左端的临界情形。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12  第5节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原稿约第37页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第（3）问答案只列出“4 kg＜M≤6 kg：Q=1 J”，低质量区间缺项。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第（3）问：4 kg＜M≤6 kg 时，Q=1 J；1 kg≤M≤4 kg 时，Q=2M/(M+4) J。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分段答案不完整。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按小车是否在木块离开前达到共同速度分段，M=4 kg 处两式连续。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第6节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13  第6节 · 第1题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原稿约第40页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题干和 A—D 选项完整重复两遍，随后没有本题答案与解析。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删除第二份重复题干和选项；补充答案：ABD。关键结果：m_A=3 kg，m_C=10 kg，Δt 内 B 的位移为 7/12 m，最大弹性势能为30 J。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重复排版且答案缺失。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由碰撞动量守恒、系统质心运动及最短压缩时共同速度复算；选项 C 所述78 J不成立。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14  第6节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第2题题干→第3题题干→第2题题干（重复）→第2题答案→第3题题干（重复）→第3题答案。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重排为：第2题题干→第2题答案与解析→第3题题干→第3题答案与解析；删除重复题干。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第2、3题交叉错序，且两道题干均重复。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按题号和各自解析中的物理对象可明确配对。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15  第6节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第（1）问答案：10 m/s；31.2。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第（1）问答案：10 m/s；31.2 N。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第二个数值缺少单位。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该量为滑块通过圆弧管道最高点时所受支持力。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16  第6节 · 第3题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第3题题干被夹在第2题内容中，并在第2题答案后再次出现。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只保留一份第3题题干，并将其连同答案、解析整体置于第2题之后。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题序错乱且题干重复。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保证一题一组“题干—答案—解析”。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第7节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17  第7节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原稿约第49页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（3）求小球与10号球碰后的速度。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（3）求A球与1—9号球形成的粘连整体同10号球碰撞后的共同速度。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“小球”指代不明，此时已有多个粘连小球。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明确碰撞双方和所求速度的对象。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第8节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18  第8节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原稿约第58页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½mv_A²+mv_B²=½mv_A1²+½mv_B1²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½mv_A²+½mv_B²=½mv_A1²+½mv_B1²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碰撞前 B 的动能项漏写系数 1/2。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弹性碰撞前后总动能守恒，每个平动动能项均为 ½mv²。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第9节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19  第9节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原稿约第68页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第（2）问的第 ii 小问，解析标题写成“（3）”。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将该解析标题改为“（2）ii”。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小问编号与题干不对应。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该段内容回答的是第（2）问的第二种情形。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20  第9节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原稿约第70页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第（3）问答案：（10 cm，8.4 cm）（10 cm，1.2 cm）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第（3）问答案：（10 cm，8.4 cm）或（10 cm，1.2 cm）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两个可能坐标之间缺少连接词，容易被误读成一个连续表达式。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粒子可能落在关于中线对称的两个位置。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第11节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21  第11节 · 第3题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原稿约第95页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“如图（甲)所示”“图（乙)”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“如图（甲）所示”“图（乙）”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中英文括号混用。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统一中文全角括号。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22  第11节 · 第5题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原稿约第102页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cosα=25/√41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cosα=5/√41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三角函数数值错误；该值大于1，不可能成立。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已知 sinα=4/√41，由 sin²α+cos²α=1 得 cosα=5/√41。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第14节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23  第14节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原稿约第130页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“导轨MNPQ与MNPQ′”“以PP为边界”“连接在MM间”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“导轨MNPQ与M′N′P′Q′”“以PP′为边界”“连接在MM′间”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第二根导轨及横向边界的撇号缺失，几何对象标记不唯一。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与图中的两条平行导轨端点命名保持一致。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24  第14节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原稿约第130页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刚好从cc′为无碰撞地进入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刚好从cc′无碰撞地进入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多余的“为”导致语病。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删除赘词后句法完整。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第15节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25  第15节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原稿约第134页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ab边通过第一个磁场区域用时0.1 s。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线框向前移动 d₁=8 m 用时0.1 s。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题干称磁场区域宽度 L=2 m，但解析用 v̄t₁=d₁=8 m；“通过区域”与实际采用的位移不一致。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修正后与解析的 v̄t₁=d₁ 及后续数值计算一致；若原图另有定义，应以命题原稿为准重写。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第16节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26  第16节 · 第1题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原稿约第144页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第1题的答案与解析在第2题答案位置又完整复制一次。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第1题答案与解析只保留紧接第1题题干的第一份；删除第2题后的误复制内容。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第1题内容重复，并挤占了第2题答案位置。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复制段落与第1题原答案、解析完全相同。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27  第16节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原稿约第143页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第2题没有自己的答案与解析，原位置误放第1题答案与解析。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补充答案：（1）①C；②增大；③423 Ω。（2）①A；②R_x=√(R₁R₂)。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本题解答缺失。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平衡时 R_x/R_M=R_a/(R_b+R_c)=1/2，故 R_x=846/2=423 Ω；交换下桥臂后两次平衡关系相乘得 R_x²=R₁R₂。</w:t>
      </w:r>
    </w:p>
    <w:p>
      <w:pPr>
        <w:pStyle w:val="Heading1"/>
        <w:pBdr>
          <w:bottom w:val="single" w:sz="9" w:space="5" w:color="EAF2F7"/>
        </w:pBdr>
      </w:pPr>
      <w:r>
        <w:rPr>
          <w:rFonts w:ascii="PingFang SC" w:hAnsi="PingFang SC" w:eastAsia="PingFang SC"/>
          <w:b/>
          <w:i w:val="0"/>
          <w:color w:val="245B78"/>
          <w:sz w:val="34"/>
        </w:rPr>
        <w:t>第17节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28  第17节 · 第2题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原稿约第152页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其轻质包带长度约为4d。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其轻质包带长度为4d。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解析把长度直接按精确的4d使用，“约为”不足以支持精确定量图像。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题目要求选择唯一的定量函数图像，几何长度必须明确。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29  第17节 · 第4题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原稿约第156页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在剩余1/3球面AB上均匀分布负电荷，总电荷量为q。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在剩余1/3球面AB上均匀分布负电荷，总电荷量为−q。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“负电荷”与正号 q 并列，符号不明确；解析实际按 −q 计算。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明确代数量，避免将 q 同时理解为电荷量大小和带符号电荷量。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/>
          <w:b/>
          <w:i w:val="0"/>
          <w:color w:val="17324D"/>
          <w:sz w:val="25"/>
        </w:rPr>
        <w:t>30  第17节 · 第7题</w:t>
      </w:r>
      <w:r>
        <w:rPr>
          <w:rFonts w:ascii="PingFang SC" w:hAnsi="PingFang SC" w:eastAsia="PingFang SC"/>
          <w:b w:val="0"/>
          <w:i w:val="0"/>
          <w:color w:val="667085"/>
          <w:sz w:val="18"/>
        </w:rPr>
        <w:t xml:space="preserve">   原稿约第163页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3F2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8"/>
              </w:rPr>
              <w:t>修改前</w:t>
            </w:r>
          </w:p>
        </w:tc>
        <w:tc>
          <w:tcPr>
            <w:tcW w:type="dxa" w:w="4680"/>
            <w:shd w:fill="ECFDF3"/>
            <w:tcMar>
              <w:top w:w="9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067647"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4680"/>
            <w:shd w:fill="FFF3F2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21"/>
              </w:rPr>
              <w:t>证明角度极小，故可看作单摆模型。</w:t>
            </w:r>
          </w:p>
        </w:tc>
        <w:tc>
          <w:tcPr>
            <w:tcW w:type="dxa" w:w="4680"/>
            <w:shd w:fill="ECFDF3"/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PingFang SC" w:hAnsi="PingFang SC" w:eastAsia="PingFang SC"/>
                <w:b w:val="0"/>
                <w:i w:val="0"/>
                <w:color w:val="067647"/>
                <w:sz w:val="21"/>
              </w:rPr>
              <w:t>由 cosθ=0.9968≈1 可知 θ 很小，故可近似看作单摆模型。</w:t>
            </w:r>
          </w:p>
        </w:tc>
      </w:tr>
    </w:tbl>
    <w:p>
      <w:pPr>
        <w:spacing w:before="80" w:after="140"/>
        <w:ind w:left="115" w:right="115"/>
      </w:pP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问题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“证明角度”搭配错误，且缺少近似成立的量化依据。</w:t>
      </w:r>
      <w:r>
        <w:rPr>
          <w:rFonts w:ascii="PingFang SC" w:hAnsi="PingFang SC" w:eastAsia="PingFang SC"/>
          <w:b/>
          <w:i w:val="0"/>
          <w:color w:val="245B78"/>
          <w:sz w:val="17"/>
        </w:rPr>
        <w:t xml:space="preserve">   校核  </w:t>
      </w:r>
      <w:r>
        <w:rPr>
          <w:rFonts w:ascii="PingFang SC" w:hAnsi="PingFang SC" w:eastAsia="PingFang SC"/>
          <w:b w:val="0"/>
          <w:i w:val="0"/>
          <w:color w:val="667085"/>
          <w:sz w:val="17"/>
        </w:rPr>
        <w:t>小角度条件来自计算结果，模型只能表述为近似。</w:t>
      </w:r>
    </w:p>
    <w:p>
      <w:r>
        <w:br w:type="page"/>
      </w:r>
    </w:p>
    <w:p>
      <w:pPr>
        <w:pStyle w:val="Heading1"/>
        <w:spacing w:before="0"/>
        <w:pBdr>
          <w:bottom w:val="single" w:sz="14" w:space="4" w:color="245B78"/>
        </w:pBdr>
      </w:pPr>
      <w:r>
        <w:rPr>
          <w:rFonts w:ascii="PingFang SC" w:hAnsi="PingFang SC" w:eastAsia="PingFang SC"/>
          <w:b/>
          <w:i w:val="0"/>
          <w:color w:val="17324D"/>
          <w:sz w:val="38"/>
        </w:rPr>
        <w:t>67题逐题审阅覆盖表</w:t>
      </w:r>
    </w:p>
    <w:p>
      <w:pPr>
        <w:spacing w:after="200"/>
      </w:pPr>
      <w:r>
        <w:rPr>
          <w:rFonts w:ascii="PingFang SC" w:hAnsi="PingFang SC" w:eastAsia="PingFang SC"/>
          <w:b w:val="0"/>
          <w:i w:val="0"/>
          <w:color w:val="667085"/>
          <w:sz w:val="19"/>
        </w:rPr>
        <w:t>“通过”表示题干、选项、答案和解析均已逐题核对，未发现需要修改之处；“需修改”对应前文编号。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DE5"/>
          <w:left w:val="single" w:sz="5" w:space="0" w:color="D5DDE5"/>
          <w:bottom w:val="single" w:sz="5" w:space="0" w:color="D5DDE5"/>
          <w:right w:val="single" w:sz="5" w:space="0" w:color="D5DDE5"/>
          <w:insideH w:val="single" w:sz="5" w:space="0" w:color="D5DDE5"/>
          <w:insideV w:val="single" w:sz="5" w:space="0" w:color="D5DDE5"/>
        </w:tblBorders>
      </w:tblPr>
      <w:tblGrid>
        <w:gridCol w:w="700"/>
        <w:gridCol w:w="2500"/>
        <w:gridCol w:w="900"/>
        <w:gridCol w:w="1200"/>
        <w:gridCol w:w="4060"/>
      </w:tblGrid>
      <w:tr>
        <w:trPr>
          <w:tblHeader w:val="true"/>
          <w:cantSplit/>
        </w:trPr>
        <w:tc>
          <w:tcPr>
            <w:tcW w:type="dxa" w:w="700"/>
            <w:shd w:fill="245B7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FFFFFF"/>
                <w:sz w:val="16"/>
              </w:rPr>
              <w:t>顺序</w:t>
            </w:r>
          </w:p>
        </w:tc>
        <w:tc>
          <w:tcPr>
            <w:tcW w:type="dxa" w:w="2500"/>
            <w:shd w:fill="245B7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FFFFFF"/>
                <w:sz w:val="16"/>
              </w:rPr>
              <w:t>定位</w:t>
            </w:r>
          </w:p>
        </w:tc>
        <w:tc>
          <w:tcPr>
            <w:tcW w:type="dxa" w:w="900"/>
            <w:shd w:fill="245B7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FFFFFF"/>
                <w:sz w:val="16"/>
              </w:rPr>
              <w:t>原稿页</w:t>
            </w:r>
          </w:p>
        </w:tc>
        <w:tc>
          <w:tcPr>
            <w:tcW w:type="dxa" w:w="1200"/>
            <w:shd w:fill="245B7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FFFFFF"/>
                <w:sz w:val="16"/>
              </w:rPr>
              <w:t>结论</w:t>
            </w:r>
          </w:p>
        </w:tc>
        <w:tc>
          <w:tcPr>
            <w:tcW w:type="dxa" w:w="4060"/>
            <w:shd w:fill="245B7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FFFFFF"/>
                <w:sz w:val="16"/>
              </w:rPr>
              <w:t>对应修改项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01、02、03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第1节 第3题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04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第1节 第4题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第2节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7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第2节 第2题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8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7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第2节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8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第3节 第1题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9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第3节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16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05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10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第3节 第3题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18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第3节 第4题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20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12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第4节 第1题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23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第4节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25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06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第4节 第3题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27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07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第4节 第4题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30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08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16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第5节 第1题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32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09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17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第5节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34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18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第5节 第3题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35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19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第5节 第4题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37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12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20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第6节 第1题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40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21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第6节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43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14、15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22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第6节 第3题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45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23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第7节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47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24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第7节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49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17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第7节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51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第8节 第1题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55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27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第8节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57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18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28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第8节 第3题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61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29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第9节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64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30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第9节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66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19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31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第9节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69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32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第9节 第4题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70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33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第10节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76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34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第10节 第2题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78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第10节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81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第10节 第4题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84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37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第11节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88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38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第11节 第2题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91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39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第11节 第3题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95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21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40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第11节 第4题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97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41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第11节 第5题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101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42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第12节 第1题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104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43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第12节 第2题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107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44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第12节 第3题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110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第12节 第4题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114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第13节 第1题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116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47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第13节 第2题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118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48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第13节 第3题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121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49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第14节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124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50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第14节 第2题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126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51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第14节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127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52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第14节 第4题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130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23、24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53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第15节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133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54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第15节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134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第15节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136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第15节 第4题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138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57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第16节 第1题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141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58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第16节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143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59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第16节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146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60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第16节 第4题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148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61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第1题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150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62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第2题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152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28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63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第3题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154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64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第4题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156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65</w:t>
            </w:r>
          </w:p>
        </w:tc>
        <w:tc>
          <w:tcPr>
            <w:tcW w:type="dxa" w:w="25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第5题</w:t>
            </w:r>
          </w:p>
        </w:tc>
        <w:tc>
          <w:tcPr>
            <w:tcW w:type="dxa" w:w="9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158</w:t>
            </w:r>
          </w:p>
        </w:tc>
        <w:tc>
          <w:tcPr>
            <w:tcW w:type="dxa" w:w="120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FFFFF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66</w:t>
            </w:r>
          </w:p>
        </w:tc>
        <w:tc>
          <w:tcPr>
            <w:tcW w:type="dxa" w:w="25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第6题</w:t>
            </w:r>
          </w:p>
        </w:tc>
        <w:tc>
          <w:tcPr>
            <w:tcW w:type="dxa" w:w="9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160</w:t>
            </w:r>
          </w:p>
        </w:tc>
        <w:tc>
          <w:tcPr>
            <w:tcW w:type="dxa" w:w="120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通过</w:t>
            </w:r>
          </w:p>
        </w:tc>
        <w:tc>
          <w:tcPr>
            <w:tcW w:type="dxa" w:w="4060"/>
            <w:shd w:fill="F7F9FB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7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67</w:t>
            </w:r>
          </w:p>
        </w:tc>
        <w:tc>
          <w:tcPr>
            <w:tcW w:type="dxa" w:w="25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第17节 第7题</w:t>
            </w:r>
          </w:p>
        </w:tc>
        <w:tc>
          <w:tcPr>
            <w:tcW w:type="dxa" w:w="9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7324D"/>
                <w:sz w:val="14"/>
              </w:rPr>
              <w:t>162</w:t>
            </w:r>
          </w:p>
        </w:tc>
        <w:tc>
          <w:tcPr>
            <w:tcW w:type="dxa" w:w="120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B42318"/>
                <w:sz w:val="14"/>
              </w:rPr>
              <w:t>需修改</w:t>
            </w:r>
          </w:p>
        </w:tc>
        <w:tc>
          <w:tcPr>
            <w:tcW w:type="dxa" w:w="4060"/>
            <w:shd w:fill="FFF3F2"/>
            <w:tcMar>
              <w:top w:w="32" w:type="dxa"/>
              <w:start w:w="90" w:type="dxa"/>
              <w:bottom w:w="32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B42318"/>
                <w:sz w:val="14"/>
              </w:rPr>
              <w:t>30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i w:val="0"/>
        <w:color w:val="667085"/>
        <w:sz w:val="17"/>
      </w:rPr>
      <w:t xml:space="preserve">逐题审阅 · 修改前后高亮对比   |   </w:t>
    </w:r>
    <w:r>
      <w:rPr>
        <w:rFonts w:ascii="PingFang SC" w:hAnsi="PingFang SC" w:eastAsia="PingFang SC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 w:val="0"/>
        <w:i w:val="0"/>
        <w:color w:val="667085"/>
        <w:sz w:val="17"/>
      </w:rPr>
      <w:t>双师课课后作业  /  逐题纠错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双师课课后作业：逐题纠错高亮对比</dc:title>
  <dc:subject>17节67题逐题审阅</dc:subject>
  <dc:creator>逐题审阅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