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E48F8" w14:textId="77777777" w:rsidR="00F60930" w:rsidRPr="00695401" w:rsidRDefault="00F60930" w:rsidP="00F60930">
      <w:pPr>
        <w:spacing w:after="0"/>
        <w:rPr>
          <w:rFonts w:ascii="Times New Roman" w:hAnsi="Times New Roman" w:cs="Times New Roman"/>
          <w:b/>
          <w:bCs/>
          <w:sz w:val="24"/>
          <w:szCs w:val="24"/>
        </w:rPr>
      </w:pPr>
      <w:r w:rsidRPr="00695401">
        <w:rPr>
          <w:rFonts w:ascii="Times New Roman" w:hAnsi="Times New Roman" w:cs="Times New Roman"/>
          <w:b/>
          <w:bCs/>
          <w:sz w:val="24"/>
          <w:szCs w:val="24"/>
        </w:rPr>
        <w:t>Thomas Martin</w:t>
      </w:r>
    </w:p>
    <w:p w14:paraId="50121DFF" w14:textId="77777777" w:rsidR="00F60930" w:rsidRPr="00695401" w:rsidRDefault="00F60930" w:rsidP="00F60930">
      <w:pPr>
        <w:spacing w:after="0"/>
        <w:rPr>
          <w:rFonts w:ascii="Times New Roman" w:hAnsi="Times New Roman" w:cs="Times New Roman"/>
          <w:b/>
          <w:bCs/>
          <w:sz w:val="24"/>
          <w:szCs w:val="24"/>
        </w:rPr>
      </w:pPr>
      <w:r w:rsidRPr="00695401">
        <w:rPr>
          <w:rFonts w:ascii="Times New Roman" w:hAnsi="Times New Roman" w:cs="Times New Roman"/>
          <w:b/>
          <w:bCs/>
          <w:sz w:val="24"/>
          <w:szCs w:val="24"/>
        </w:rPr>
        <w:t>IDS-402-11153-M01 Wellness</w:t>
      </w:r>
    </w:p>
    <w:p w14:paraId="3645A3F1" w14:textId="77777777" w:rsidR="00F60930" w:rsidRPr="00F60930" w:rsidRDefault="00F60930" w:rsidP="00F60930">
      <w:pPr>
        <w:spacing w:after="0"/>
        <w:rPr>
          <w:rFonts w:ascii="Times New Roman" w:eastAsia="Times New Roman" w:hAnsi="Times New Roman" w:cs="Times New Roman"/>
          <w:b/>
          <w:bCs/>
          <w:color w:val="202122"/>
          <w:spacing w:val="3"/>
          <w:kern w:val="36"/>
          <w:sz w:val="24"/>
          <w:szCs w:val="24"/>
          <w14:ligatures w14:val="none"/>
        </w:rPr>
      </w:pPr>
      <w:r w:rsidRPr="00F60930">
        <w:rPr>
          <w:rFonts w:ascii="Times New Roman" w:eastAsia="Times New Roman" w:hAnsi="Times New Roman" w:cs="Times New Roman"/>
          <w:b/>
          <w:bCs/>
          <w:color w:val="202122"/>
          <w:spacing w:val="3"/>
          <w:kern w:val="36"/>
          <w:sz w:val="24"/>
          <w:szCs w:val="24"/>
          <w14:ligatures w14:val="none"/>
        </w:rPr>
        <w:t>6-2 Activity: Reflection: Society</w:t>
      </w:r>
    </w:p>
    <w:p w14:paraId="71B08EDC" w14:textId="77777777" w:rsidR="00F60930" w:rsidRPr="00695401" w:rsidRDefault="00F60930" w:rsidP="00F60930">
      <w:pPr>
        <w:spacing w:after="0"/>
        <w:rPr>
          <w:rFonts w:ascii="Times New Roman" w:hAnsi="Times New Roman" w:cs="Times New Roman"/>
          <w:b/>
          <w:bCs/>
          <w:sz w:val="24"/>
          <w:szCs w:val="24"/>
        </w:rPr>
      </w:pPr>
      <w:r w:rsidRPr="00695401">
        <w:rPr>
          <w:rFonts w:ascii="Times New Roman" w:hAnsi="Times New Roman" w:cs="Times New Roman"/>
          <w:b/>
          <w:bCs/>
          <w:sz w:val="24"/>
          <w:szCs w:val="24"/>
        </w:rPr>
        <w:t xml:space="preserve">Southern New Hampshire University </w:t>
      </w:r>
    </w:p>
    <w:p w14:paraId="1D65898E" w14:textId="6D7DD8F1" w:rsidR="00F60930" w:rsidRDefault="00F60930" w:rsidP="00F60930">
      <w:pPr>
        <w:spacing w:after="0"/>
        <w:rPr>
          <w:rFonts w:ascii="Times New Roman" w:hAnsi="Times New Roman" w:cs="Times New Roman"/>
          <w:b/>
          <w:bCs/>
          <w:sz w:val="24"/>
          <w:szCs w:val="24"/>
        </w:rPr>
      </w:pPr>
      <w:r>
        <w:rPr>
          <w:rFonts w:ascii="Times New Roman" w:hAnsi="Times New Roman" w:cs="Times New Roman"/>
          <w:b/>
          <w:bCs/>
          <w:sz w:val="24"/>
          <w:szCs w:val="24"/>
        </w:rPr>
        <w:t>December</w:t>
      </w:r>
      <w:r>
        <w:rPr>
          <w:rFonts w:ascii="Times New Roman" w:hAnsi="Times New Roman" w:cs="Times New Roman"/>
          <w:b/>
          <w:bCs/>
          <w:sz w:val="24"/>
          <w:szCs w:val="24"/>
        </w:rPr>
        <w:t xml:space="preserve"> </w:t>
      </w:r>
      <w:r>
        <w:rPr>
          <w:rFonts w:ascii="Times New Roman" w:hAnsi="Times New Roman" w:cs="Times New Roman"/>
          <w:b/>
          <w:bCs/>
          <w:sz w:val="24"/>
          <w:szCs w:val="24"/>
        </w:rPr>
        <w:t>05</w:t>
      </w:r>
      <w:r w:rsidRPr="00695401">
        <w:rPr>
          <w:rFonts w:ascii="Times New Roman" w:hAnsi="Times New Roman" w:cs="Times New Roman"/>
          <w:b/>
          <w:bCs/>
          <w:sz w:val="24"/>
          <w:szCs w:val="24"/>
        </w:rPr>
        <w:t>, 2024</w:t>
      </w:r>
    </w:p>
    <w:p w14:paraId="2825ED98" w14:textId="77777777" w:rsidR="00DE1023" w:rsidRDefault="00DE1023"/>
    <w:p w14:paraId="319BECEF" w14:textId="77777777" w:rsidR="004C1CCF" w:rsidRPr="004C1CCF" w:rsidRDefault="004C1CCF" w:rsidP="00890553">
      <w:pPr>
        <w:spacing w:line="480" w:lineRule="auto"/>
      </w:pPr>
      <w:r w:rsidRPr="004C1CCF">
        <w:t>The opioid crisis is one of the most significant public health challenges in modern history. From a historical lens, the crisis can be traced back to the 1990s, when pharmaceutical companies aggressively marketed opioids as safe and effective for chronic pain management. Misleading claims about the low risk of addiction led to a significant increase in opioid prescriptions, contributing to widespread misuse and addiction (National Institute on Drug Abuse [NIDA], n.d.; U.S. Department of Health and Human Services [HHS], n.d.). This epidemic, which includes the misuse of prescription painkillers, heroin, and synthetic opioids like fentanyl, has resulted in profound health, social, and economic consequences.</w:t>
      </w:r>
    </w:p>
    <w:p w14:paraId="45DD5E59" w14:textId="77777777" w:rsidR="004C1CCF" w:rsidRPr="004C1CCF" w:rsidRDefault="004C1CCF" w:rsidP="00890553">
      <w:pPr>
        <w:spacing w:line="480" w:lineRule="auto"/>
      </w:pPr>
      <w:r w:rsidRPr="004C1CCF">
        <w:t>While the historical lens offers valuable insights into how the crisis evolved, it risks oversimplifying the issue by focusing on individual responsibility and moral failings. Such a narrow perspective perpetuates stigma and overlooks systemic factors that drive addiction, ultimately hindering the development of comprehensive, systemic solutions. This underscores the importance of exploring alternative approaches that consider broader societal dynamics.</w:t>
      </w:r>
    </w:p>
    <w:p w14:paraId="587947C9" w14:textId="77777777" w:rsidR="004C1CCF" w:rsidRPr="004C1CCF" w:rsidRDefault="004C1CCF" w:rsidP="00890553">
      <w:pPr>
        <w:spacing w:line="480" w:lineRule="auto"/>
      </w:pPr>
      <w:r w:rsidRPr="004C1CCF">
        <w:t>The crisis also has significant social implications, disrupting families and communities. The strain on public services, such as law enforcement, child welfare systems, and healthcare, highlights the interconnectedness of addiction and broader societal structures (Centers for Disease Control and Prevention [CDC], 2021). Public health research supports this view, showing how communities with limited access to healthcare and resources face disproportionately higher rates of opioid misuse and overdose (Jones, Einstein, &amp; Compton, 2018).</w:t>
      </w:r>
    </w:p>
    <w:p w14:paraId="3FC3C07D" w14:textId="77777777" w:rsidR="004C1CCF" w:rsidRPr="004C1CCF" w:rsidRDefault="004C1CCF" w:rsidP="00890553">
      <w:pPr>
        <w:spacing w:line="480" w:lineRule="auto"/>
      </w:pPr>
      <w:r w:rsidRPr="004C1CCF">
        <w:lastRenderedPageBreak/>
        <w:t xml:space="preserve">When examining complex issues like the opioid crisis, the choice of analytical lens significantly shapes the perspective and understanding of the problem. Analyzing the opioid crisis through the history and humanities lenses rather than the social sciences lens shifts the focus toward viewing opioid addiction as primarily a personal or moral failing rooted in historical and cultural patterns of addiction. Historical narratives might emphasize recurring cycles of substance abuse and stigmatization over time, while the humanities could explore addiction through ethical, philosophical, or artistic expressions that frame it as an individual struggle. For instance, literature and art often portray addiction </w:t>
      </w:r>
      <w:proofErr w:type="gramStart"/>
      <w:r w:rsidRPr="004C1CCF">
        <w:t>as a result of</w:t>
      </w:r>
      <w:proofErr w:type="gramEnd"/>
      <w:r w:rsidRPr="004C1CCF">
        <w:t xml:space="preserve"> personal weakness or moral failings, reinforcing a view that emphasizes individual responsibility.</w:t>
      </w:r>
    </w:p>
    <w:p w14:paraId="53BC466A" w14:textId="77777777" w:rsidR="004C1CCF" w:rsidRPr="004C1CCF" w:rsidRDefault="004C1CCF" w:rsidP="00890553">
      <w:pPr>
        <w:spacing w:line="480" w:lineRule="auto"/>
      </w:pPr>
      <w:r w:rsidRPr="004C1CCF">
        <w:t>Studies from the National Institute on Drug Abuse (NIDA) highlight correlations between socioeconomic instability and higher addiction rates, while historical documentation from the U.S. Department of Health and Human Services underscores the role of misleading pharmaceutical marketing in fostering the crisis. This evidence points to systemic and societal influences on addiction, which the social sciences lens brings into sharper focus. Through the social sciences lens, the opioid crisis is understood as a systemic societal issue rather than solely an individual problem. This perspective shifts the narrative, emphasizing how external factors like socioeconomic conditions, healthcare accessibility, and corporate practices intersect to perpetuate the crisis. It reframes addiction as a collective challenge requiring systemic solutions, rather than placing blame on individuals for their struggles. This broader understanding helps illuminate the interconnectedness of personal experiences and societal structures.</w:t>
      </w:r>
    </w:p>
    <w:p w14:paraId="78E62386" w14:textId="63DE7677" w:rsidR="004C1CCF" w:rsidRPr="004C1CCF" w:rsidRDefault="004C1CCF" w:rsidP="004C1CCF"/>
    <w:p w14:paraId="2FEDD5C6" w14:textId="6873928A" w:rsidR="004C1CCF" w:rsidRPr="004C1CCF" w:rsidRDefault="004C1CCF" w:rsidP="004C1CCF">
      <w:pPr>
        <w:jc w:val="center"/>
      </w:pPr>
      <w:r w:rsidRPr="004C1CCF">
        <w:rPr>
          <w:b/>
          <w:bCs/>
        </w:rPr>
        <w:t>References</w:t>
      </w:r>
      <w:r>
        <w:rPr>
          <w:b/>
          <w:bCs/>
        </w:rPr>
        <w:t>:</w:t>
      </w:r>
    </w:p>
    <w:p w14:paraId="522EDDC7" w14:textId="77777777" w:rsidR="004C1CCF" w:rsidRPr="004C1CCF" w:rsidRDefault="004C1CCF" w:rsidP="004C1CCF">
      <w:pPr>
        <w:numPr>
          <w:ilvl w:val="0"/>
          <w:numId w:val="1"/>
        </w:numPr>
      </w:pPr>
      <w:r w:rsidRPr="004C1CCF">
        <w:t xml:space="preserve">National Institute on Drug Abuse (NIDA). (n.d.). </w:t>
      </w:r>
      <w:r w:rsidRPr="004C1CCF">
        <w:rPr>
          <w:i/>
          <w:iCs/>
        </w:rPr>
        <w:t>Trends &amp; statistics</w:t>
      </w:r>
      <w:r w:rsidRPr="004C1CCF">
        <w:t xml:space="preserve">. Retrieved from </w:t>
      </w:r>
      <w:hyperlink r:id="rId5" w:tgtFrame="_new" w:history="1">
        <w:r w:rsidRPr="004C1CCF">
          <w:rPr>
            <w:rStyle w:val="Hyperlink"/>
          </w:rPr>
          <w:t>https://nida.nih.gov</w:t>
        </w:r>
      </w:hyperlink>
    </w:p>
    <w:p w14:paraId="6AFEF4C1" w14:textId="77777777" w:rsidR="004C1CCF" w:rsidRPr="004C1CCF" w:rsidRDefault="004C1CCF" w:rsidP="004C1CCF">
      <w:pPr>
        <w:numPr>
          <w:ilvl w:val="0"/>
          <w:numId w:val="1"/>
        </w:numPr>
      </w:pPr>
      <w:r w:rsidRPr="004C1CCF">
        <w:lastRenderedPageBreak/>
        <w:t xml:space="preserve">U.S. Department of Health and Human Services (HHS). (n.d.). </w:t>
      </w:r>
      <w:r w:rsidRPr="004C1CCF">
        <w:rPr>
          <w:i/>
          <w:iCs/>
        </w:rPr>
        <w:t>The opioid epidemic: By the numbers</w:t>
      </w:r>
      <w:r w:rsidRPr="004C1CCF">
        <w:t xml:space="preserve">. Retrieved from </w:t>
      </w:r>
      <w:hyperlink r:id="rId6" w:tgtFrame="_new" w:history="1">
        <w:r w:rsidRPr="004C1CCF">
          <w:rPr>
            <w:rStyle w:val="Hyperlink"/>
          </w:rPr>
          <w:t>https://hhs.gov</w:t>
        </w:r>
      </w:hyperlink>
    </w:p>
    <w:p w14:paraId="52008BAB" w14:textId="77777777" w:rsidR="004C1CCF" w:rsidRPr="004C1CCF" w:rsidRDefault="004C1CCF" w:rsidP="004C1CCF">
      <w:pPr>
        <w:numPr>
          <w:ilvl w:val="0"/>
          <w:numId w:val="1"/>
        </w:numPr>
      </w:pPr>
      <w:r w:rsidRPr="004C1CCF">
        <w:t xml:space="preserve">Centers for Disease Control and Prevention (CDC). (2021). </w:t>
      </w:r>
      <w:r w:rsidRPr="004C1CCF">
        <w:rPr>
          <w:i/>
          <w:iCs/>
        </w:rPr>
        <w:t>Understanding the epidemic</w:t>
      </w:r>
      <w:r w:rsidRPr="004C1CCF">
        <w:t xml:space="preserve">. Retrieved from </w:t>
      </w:r>
      <w:hyperlink r:id="rId7" w:tgtFrame="_new" w:history="1">
        <w:r w:rsidRPr="004C1CCF">
          <w:rPr>
            <w:rStyle w:val="Hyperlink"/>
          </w:rPr>
          <w:t>https://cdc.gov</w:t>
        </w:r>
      </w:hyperlink>
    </w:p>
    <w:p w14:paraId="79FB0D30" w14:textId="77777777" w:rsidR="004C1CCF" w:rsidRPr="004C1CCF" w:rsidRDefault="004C1CCF" w:rsidP="004C1CCF">
      <w:pPr>
        <w:numPr>
          <w:ilvl w:val="0"/>
          <w:numId w:val="1"/>
        </w:numPr>
      </w:pPr>
      <w:r w:rsidRPr="004C1CCF">
        <w:t xml:space="preserve">Jones, C. M., Einstein, E. B., &amp; Compton, W. M. (2018). Changes in synthetic opioid involvement in drug overdose deaths in the United States, 2010–2016. </w:t>
      </w:r>
      <w:r w:rsidRPr="004C1CCF">
        <w:rPr>
          <w:i/>
          <w:iCs/>
        </w:rPr>
        <w:t>JAMA, 319</w:t>
      </w:r>
      <w:r w:rsidRPr="004C1CCF">
        <w:t xml:space="preserve">(17), 1819-1821. </w:t>
      </w:r>
      <w:hyperlink r:id="rId8" w:tgtFrame="_new" w:history="1">
        <w:r w:rsidRPr="004C1CCF">
          <w:rPr>
            <w:rStyle w:val="Hyperlink"/>
          </w:rPr>
          <w:t>https://doi.org/10.1001/jama.2018.2844</w:t>
        </w:r>
      </w:hyperlink>
    </w:p>
    <w:p w14:paraId="4BFBC5A6" w14:textId="496C8B69" w:rsidR="00630C24" w:rsidRDefault="00630C24" w:rsidP="004C1CCF"/>
    <w:sectPr w:rsidR="0063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016D8"/>
    <w:multiLevelType w:val="multilevel"/>
    <w:tmpl w:val="2BE0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49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30"/>
    <w:rsid w:val="00014B03"/>
    <w:rsid w:val="000D2ABF"/>
    <w:rsid w:val="004C1CCF"/>
    <w:rsid w:val="0057715D"/>
    <w:rsid w:val="005A59AF"/>
    <w:rsid w:val="00630C24"/>
    <w:rsid w:val="00890553"/>
    <w:rsid w:val="00D13AB9"/>
    <w:rsid w:val="00D22583"/>
    <w:rsid w:val="00DE1023"/>
    <w:rsid w:val="00F6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B631"/>
  <w15:chartTrackingRefBased/>
  <w15:docId w15:val="{B47F7BD2-06B9-42FB-B169-B0B128FE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30"/>
  </w:style>
  <w:style w:type="paragraph" w:styleId="Heading1">
    <w:name w:val="heading 1"/>
    <w:basedOn w:val="Normal"/>
    <w:next w:val="Normal"/>
    <w:link w:val="Heading1Char"/>
    <w:uiPriority w:val="9"/>
    <w:qFormat/>
    <w:rsid w:val="00F60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30"/>
    <w:rPr>
      <w:rFonts w:eastAsiaTheme="majorEastAsia" w:cstheme="majorBidi"/>
      <w:color w:val="272727" w:themeColor="text1" w:themeTint="D8"/>
    </w:rPr>
  </w:style>
  <w:style w:type="paragraph" w:styleId="Title">
    <w:name w:val="Title"/>
    <w:basedOn w:val="Normal"/>
    <w:next w:val="Normal"/>
    <w:link w:val="TitleChar"/>
    <w:uiPriority w:val="10"/>
    <w:qFormat/>
    <w:rsid w:val="00F60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30"/>
    <w:pPr>
      <w:spacing w:before="160"/>
      <w:jc w:val="center"/>
    </w:pPr>
    <w:rPr>
      <w:i/>
      <w:iCs/>
      <w:color w:val="404040" w:themeColor="text1" w:themeTint="BF"/>
    </w:rPr>
  </w:style>
  <w:style w:type="character" w:customStyle="1" w:styleId="QuoteChar">
    <w:name w:val="Quote Char"/>
    <w:basedOn w:val="DefaultParagraphFont"/>
    <w:link w:val="Quote"/>
    <w:uiPriority w:val="29"/>
    <w:rsid w:val="00F60930"/>
    <w:rPr>
      <w:i/>
      <w:iCs/>
      <w:color w:val="404040" w:themeColor="text1" w:themeTint="BF"/>
    </w:rPr>
  </w:style>
  <w:style w:type="paragraph" w:styleId="ListParagraph">
    <w:name w:val="List Paragraph"/>
    <w:basedOn w:val="Normal"/>
    <w:uiPriority w:val="34"/>
    <w:qFormat/>
    <w:rsid w:val="00F60930"/>
    <w:pPr>
      <w:ind w:left="720"/>
      <w:contextualSpacing/>
    </w:pPr>
  </w:style>
  <w:style w:type="character" w:styleId="IntenseEmphasis">
    <w:name w:val="Intense Emphasis"/>
    <w:basedOn w:val="DefaultParagraphFont"/>
    <w:uiPriority w:val="21"/>
    <w:qFormat/>
    <w:rsid w:val="00F60930"/>
    <w:rPr>
      <w:i/>
      <w:iCs/>
      <w:color w:val="0F4761" w:themeColor="accent1" w:themeShade="BF"/>
    </w:rPr>
  </w:style>
  <w:style w:type="paragraph" w:styleId="IntenseQuote">
    <w:name w:val="Intense Quote"/>
    <w:basedOn w:val="Normal"/>
    <w:next w:val="Normal"/>
    <w:link w:val="IntenseQuoteChar"/>
    <w:uiPriority w:val="30"/>
    <w:qFormat/>
    <w:rsid w:val="00F60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30"/>
    <w:rPr>
      <w:i/>
      <w:iCs/>
      <w:color w:val="0F4761" w:themeColor="accent1" w:themeShade="BF"/>
    </w:rPr>
  </w:style>
  <w:style w:type="character" w:styleId="IntenseReference">
    <w:name w:val="Intense Reference"/>
    <w:basedOn w:val="DefaultParagraphFont"/>
    <w:uiPriority w:val="32"/>
    <w:qFormat/>
    <w:rsid w:val="00F60930"/>
    <w:rPr>
      <w:b/>
      <w:bCs/>
      <w:smallCaps/>
      <w:color w:val="0F4761" w:themeColor="accent1" w:themeShade="BF"/>
      <w:spacing w:val="5"/>
    </w:rPr>
  </w:style>
  <w:style w:type="character" w:styleId="Hyperlink">
    <w:name w:val="Hyperlink"/>
    <w:basedOn w:val="DefaultParagraphFont"/>
    <w:uiPriority w:val="99"/>
    <w:unhideWhenUsed/>
    <w:rsid w:val="00630C24"/>
    <w:rPr>
      <w:color w:val="467886" w:themeColor="hyperlink"/>
      <w:u w:val="single"/>
    </w:rPr>
  </w:style>
  <w:style w:type="character" w:styleId="UnresolvedMention">
    <w:name w:val="Unresolved Mention"/>
    <w:basedOn w:val="DefaultParagraphFont"/>
    <w:uiPriority w:val="99"/>
    <w:semiHidden/>
    <w:unhideWhenUsed/>
    <w:rsid w:val="00630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689038">
      <w:bodyDiv w:val="1"/>
      <w:marLeft w:val="0"/>
      <w:marRight w:val="0"/>
      <w:marTop w:val="0"/>
      <w:marBottom w:val="0"/>
      <w:divBdr>
        <w:top w:val="none" w:sz="0" w:space="0" w:color="auto"/>
        <w:left w:val="none" w:sz="0" w:space="0" w:color="auto"/>
        <w:bottom w:val="none" w:sz="0" w:space="0" w:color="auto"/>
        <w:right w:val="none" w:sz="0" w:space="0" w:color="auto"/>
      </w:divBdr>
    </w:div>
    <w:div w:id="612370222">
      <w:bodyDiv w:val="1"/>
      <w:marLeft w:val="0"/>
      <w:marRight w:val="0"/>
      <w:marTop w:val="0"/>
      <w:marBottom w:val="0"/>
      <w:divBdr>
        <w:top w:val="none" w:sz="0" w:space="0" w:color="auto"/>
        <w:left w:val="none" w:sz="0" w:space="0" w:color="auto"/>
        <w:bottom w:val="none" w:sz="0" w:space="0" w:color="auto"/>
        <w:right w:val="none" w:sz="0" w:space="0" w:color="auto"/>
      </w:divBdr>
    </w:div>
    <w:div w:id="795025843">
      <w:bodyDiv w:val="1"/>
      <w:marLeft w:val="0"/>
      <w:marRight w:val="0"/>
      <w:marTop w:val="0"/>
      <w:marBottom w:val="0"/>
      <w:divBdr>
        <w:top w:val="none" w:sz="0" w:space="0" w:color="auto"/>
        <w:left w:val="none" w:sz="0" w:space="0" w:color="auto"/>
        <w:bottom w:val="none" w:sz="0" w:space="0" w:color="auto"/>
        <w:right w:val="none" w:sz="0" w:space="0" w:color="auto"/>
      </w:divBdr>
    </w:div>
    <w:div w:id="1106659442">
      <w:bodyDiv w:val="1"/>
      <w:marLeft w:val="0"/>
      <w:marRight w:val="0"/>
      <w:marTop w:val="0"/>
      <w:marBottom w:val="0"/>
      <w:divBdr>
        <w:top w:val="none" w:sz="0" w:space="0" w:color="auto"/>
        <w:left w:val="none" w:sz="0" w:space="0" w:color="auto"/>
        <w:bottom w:val="none" w:sz="0" w:space="0" w:color="auto"/>
        <w:right w:val="none" w:sz="0" w:space="0" w:color="auto"/>
      </w:divBdr>
      <w:divsChild>
        <w:div w:id="1531915344">
          <w:marLeft w:val="0"/>
          <w:marRight w:val="0"/>
          <w:marTop w:val="0"/>
          <w:marBottom w:val="0"/>
          <w:divBdr>
            <w:top w:val="none" w:sz="0" w:space="0" w:color="auto"/>
            <w:left w:val="none" w:sz="0" w:space="0" w:color="auto"/>
            <w:bottom w:val="none" w:sz="0" w:space="0" w:color="auto"/>
            <w:right w:val="none" w:sz="0" w:space="0" w:color="auto"/>
          </w:divBdr>
          <w:divsChild>
            <w:div w:id="1945727450">
              <w:marLeft w:val="0"/>
              <w:marRight w:val="0"/>
              <w:marTop w:val="0"/>
              <w:marBottom w:val="0"/>
              <w:divBdr>
                <w:top w:val="none" w:sz="0" w:space="0" w:color="auto"/>
                <w:left w:val="none" w:sz="0" w:space="0" w:color="auto"/>
                <w:bottom w:val="none" w:sz="0" w:space="0" w:color="auto"/>
                <w:right w:val="none" w:sz="0" w:space="0" w:color="auto"/>
              </w:divBdr>
              <w:divsChild>
                <w:div w:id="2084329878">
                  <w:marLeft w:val="0"/>
                  <w:marRight w:val="0"/>
                  <w:marTop w:val="0"/>
                  <w:marBottom w:val="0"/>
                  <w:divBdr>
                    <w:top w:val="none" w:sz="0" w:space="0" w:color="auto"/>
                    <w:left w:val="none" w:sz="0" w:space="0" w:color="auto"/>
                    <w:bottom w:val="none" w:sz="0" w:space="0" w:color="auto"/>
                    <w:right w:val="none" w:sz="0" w:space="0" w:color="auto"/>
                  </w:divBdr>
                  <w:divsChild>
                    <w:div w:id="6835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37934">
          <w:marLeft w:val="0"/>
          <w:marRight w:val="0"/>
          <w:marTop w:val="0"/>
          <w:marBottom w:val="0"/>
          <w:divBdr>
            <w:top w:val="none" w:sz="0" w:space="0" w:color="auto"/>
            <w:left w:val="none" w:sz="0" w:space="0" w:color="auto"/>
            <w:bottom w:val="none" w:sz="0" w:space="0" w:color="auto"/>
            <w:right w:val="none" w:sz="0" w:space="0" w:color="auto"/>
          </w:divBdr>
          <w:divsChild>
            <w:div w:id="1912275910">
              <w:marLeft w:val="0"/>
              <w:marRight w:val="0"/>
              <w:marTop w:val="0"/>
              <w:marBottom w:val="0"/>
              <w:divBdr>
                <w:top w:val="none" w:sz="0" w:space="0" w:color="auto"/>
                <w:left w:val="none" w:sz="0" w:space="0" w:color="auto"/>
                <w:bottom w:val="none" w:sz="0" w:space="0" w:color="auto"/>
                <w:right w:val="none" w:sz="0" w:space="0" w:color="auto"/>
              </w:divBdr>
              <w:divsChild>
                <w:div w:id="1546984319">
                  <w:marLeft w:val="0"/>
                  <w:marRight w:val="0"/>
                  <w:marTop w:val="0"/>
                  <w:marBottom w:val="0"/>
                  <w:divBdr>
                    <w:top w:val="none" w:sz="0" w:space="0" w:color="auto"/>
                    <w:left w:val="none" w:sz="0" w:space="0" w:color="auto"/>
                    <w:bottom w:val="none" w:sz="0" w:space="0" w:color="auto"/>
                    <w:right w:val="none" w:sz="0" w:space="0" w:color="auto"/>
                  </w:divBdr>
                  <w:divsChild>
                    <w:div w:id="143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6325">
      <w:bodyDiv w:val="1"/>
      <w:marLeft w:val="0"/>
      <w:marRight w:val="0"/>
      <w:marTop w:val="0"/>
      <w:marBottom w:val="0"/>
      <w:divBdr>
        <w:top w:val="none" w:sz="0" w:space="0" w:color="auto"/>
        <w:left w:val="none" w:sz="0" w:space="0" w:color="auto"/>
        <w:bottom w:val="none" w:sz="0" w:space="0" w:color="auto"/>
        <w:right w:val="none" w:sz="0" w:space="0" w:color="auto"/>
      </w:divBdr>
      <w:divsChild>
        <w:div w:id="1794518551">
          <w:marLeft w:val="0"/>
          <w:marRight w:val="0"/>
          <w:marTop w:val="0"/>
          <w:marBottom w:val="0"/>
          <w:divBdr>
            <w:top w:val="none" w:sz="0" w:space="0" w:color="auto"/>
            <w:left w:val="none" w:sz="0" w:space="0" w:color="auto"/>
            <w:bottom w:val="none" w:sz="0" w:space="0" w:color="auto"/>
            <w:right w:val="none" w:sz="0" w:space="0" w:color="auto"/>
          </w:divBdr>
          <w:divsChild>
            <w:div w:id="1655337601">
              <w:marLeft w:val="0"/>
              <w:marRight w:val="0"/>
              <w:marTop w:val="0"/>
              <w:marBottom w:val="0"/>
              <w:divBdr>
                <w:top w:val="none" w:sz="0" w:space="0" w:color="auto"/>
                <w:left w:val="none" w:sz="0" w:space="0" w:color="auto"/>
                <w:bottom w:val="none" w:sz="0" w:space="0" w:color="auto"/>
                <w:right w:val="none" w:sz="0" w:space="0" w:color="auto"/>
              </w:divBdr>
              <w:divsChild>
                <w:div w:id="171997335">
                  <w:marLeft w:val="0"/>
                  <w:marRight w:val="0"/>
                  <w:marTop w:val="0"/>
                  <w:marBottom w:val="0"/>
                  <w:divBdr>
                    <w:top w:val="none" w:sz="0" w:space="0" w:color="auto"/>
                    <w:left w:val="none" w:sz="0" w:space="0" w:color="auto"/>
                    <w:bottom w:val="none" w:sz="0" w:space="0" w:color="auto"/>
                    <w:right w:val="none" w:sz="0" w:space="0" w:color="auto"/>
                  </w:divBdr>
                  <w:divsChild>
                    <w:div w:id="1302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1482">
          <w:marLeft w:val="0"/>
          <w:marRight w:val="0"/>
          <w:marTop w:val="0"/>
          <w:marBottom w:val="0"/>
          <w:divBdr>
            <w:top w:val="none" w:sz="0" w:space="0" w:color="auto"/>
            <w:left w:val="none" w:sz="0" w:space="0" w:color="auto"/>
            <w:bottom w:val="none" w:sz="0" w:space="0" w:color="auto"/>
            <w:right w:val="none" w:sz="0" w:space="0" w:color="auto"/>
          </w:divBdr>
          <w:divsChild>
            <w:div w:id="2709595">
              <w:marLeft w:val="0"/>
              <w:marRight w:val="0"/>
              <w:marTop w:val="0"/>
              <w:marBottom w:val="0"/>
              <w:divBdr>
                <w:top w:val="none" w:sz="0" w:space="0" w:color="auto"/>
                <w:left w:val="none" w:sz="0" w:space="0" w:color="auto"/>
                <w:bottom w:val="none" w:sz="0" w:space="0" w:color="auto"/>
                <w:right w:val="none" w:sz="0" w:space="0" w:color="auto"/>
              </w:divBdr>
              <w:divsChild>
                <w:div w:id="1060980387">
                  <w:marLeft w:val="0"/>
                  <w:marRight w:val="0"/>
                  <w:marTop w:val="0"/>
                  <w:marBottom w:val="0"/>
                  <w:divBdr>
                    <w:top w:val="none" w:sz="0" w:space="0" w:color="auto"/>
                    <w:left w:val="none" w:sz="0" w:space="0" w:color="auto"/>
                    <w:bottom w:val="none" w:sz="0" w:space="0" w:color="auto"/>
                    <w:right w:val="none" w:sz="0" w:space="0" w:color="auto"/>
                  </w:divBdr>
                  <w:divsChild>
                    <w:div w:id="9185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3249">
      <w:bodyDiv w:val="1"/>
      <w:marLeft w:val="0"/>
      <w:marRight w:val="0"/>
      <w:marTop w:val="0"/>
      <w:marBottom w:val="0"/>
      <w:divBdr>
        <w:top w:val="none" w:sz="0" w:space="0" w:color="auto"/>
        <w:left w:val="none" w:sz="0" w:space="0" w:color="auto"/>
        <w:bottom w:val="none" w:sz="0" w:space="0" w:color="auto"/>
        <w:right w:val="none" w:sz="0" w:space="0" w:color="auto"/>
      </w:divBdr>
      <w:divsChild>
        <w:div w:id="1033461797">
          <w:marLeft w:val="0"/>
          <w:marRight w:val="0"/>
          <w:marTop w:val="0"/>
          <w:marBottom w:val="0"/>
          <w:divBdr>
            <w:top w:val="none" w:sz="0" w:space="0" w:color="auto"/>
            <w:left w:val="none" w:sz="0" w:space="0" w:color="auto"/>
            <w:bottom w:val="none" w:sz="0" w:space="0" w:color="auto"/>
            <w:right w:val="none" w:sz="0" w:space="0" w:color="auto"/>
          </w:divBdr>
          <w:divsChild>
            <w:div w:id="2073573682">
              <w:marLeft w:val="0"/>
              <w:marRight w:val="0"/>
              <w:marTop w:val="0"/>
              <w:marBottom w:val="0"/>
              <w:divBdr>
                <w:top w:val="none" w:sz="0" w:space="0" w:color="auto"/>
                <w:left w:val="none" w:sz="0" w:space="0" w:color="auto"/>
                <w:bottom w:val="none" w:sz="0" w:space="0" w:color="auto"/>
                <w:right w:val="none" w:sz="0" w:space="0" w:color="auto"/>
              </w:divBdr>
              <w:divsChild>
                <w:div w:id="1603100732">
                  <w:marLeft w:val="0"/>
                  <w:marRight w:val="0"/>
                  <w:marTop w:val="0"/>
                  <w:marBottom w:val="0"/>
                  <w:divBdr>
                    <w:top w:val="none" w:sz="0" w:space="0" w:color="auto"/>
                    <w:left w:val="none" w:sz="0" w:space="0" w:color="auto"/>
                    <w:bottom w:val="none" w:sz="0" w:space="0" w:color="auto"/>
                    <w:right w:val="none" w:sz="0" w:space="0" w:color="auto"/>
                  </w:divBdr>
                  <w:divsChild>
                    <w:div w:id="17263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4009">
          <w:marLeft w:val="0"/>
          <w:marRight w:val="0"/>
          <w:marTop w:val="0"/>
          <w:marBottom w:val="0"/>
          <w:divBdr>
            <w:top w:val="none" w:sz="0" w:space="0" w:color="auto"/>
            <w:left w:val="none" w:sz="0" w:space="0" w:color="auto"/>
            <w:bottom w:val="none" w:sz="0" w:space="0" w:color="auto"/>
            <w:right w:val="none" w:sz="0" w:space="0" w:color="auto"/>
          </w:divBdr>
          <w:divsChild>
            <w:div w:id="2066903739">
              <w:marLeft w:val="0"/>
              <w:marRight w:val="0"/>
              <w:marTop w:val="0"/>
              <w:marBottom w:val="0"/>
              <w:divBdr>
                <w:top w:val="none" w:sz="0" w:space="0" w:color="auto"/>
                <w:left w:val="none" w:sz="0" w:space="0" w:color="auto"/>
                <w:bottom w:val="none" w:sz="0" w:space="0" w:color="auto"/>
                <w:right w:val="none" w:sz="0" w:space="0" w:color="auto"/>
              </w:divBdr>
              <w:divsChild>
                <w:div w:id="273485798">
                  <w:marLeft w:val="0"/>
                  <w:marRight w:val="0"/>
                  <w:marTop w:val="0"/>
                  <w:marBottom w:val="0"/>
                  <w:divBdr>
                    <w:top w:val="none" w:sz="0" w:space="0" w:color="auto"/>
                    <w:left w:val="none" w:sz="0" w:space="0" w:color="auto"/>
                    <w:bottom w:val="none" w:sz="0" w:space="0" w:color="auto"/>
                    <w:right w:val="none" w:sz="0" w:space="0" w:color="auto"/>
                  </w:divBdr>
                  <w:divsChild>
                    <w:div w:id="5299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4182">
      <w:bodyDiv w:val="1"/>
      <w:marLeft w:val="0"/>
      <w:marRight w:val="0"/>
      <w:marTop w:val="0"/>
      <w:marBottom w:val="0"/>
      <w:divBdr>
        <w:top w:val="none" w:sz="0" w:space="0" w:color="auto"/>
        <w:left w:val="none" w:sz="0" w:space="0" w:color="auto"/>
        <w:bottom w:val="none" w:sz="0" w:space="0" w:color="auto"/>
        <w:right w:val="none" w:sz="0" w:space="0" w:color="auto"/>
      </w:divBdr>
    </w:div>
    <w:div w:id="1784224210">
      <w:bodyDiv w:val="1"/>
      <w:marLeft w:val="0"/>
      <w:marRight w:val="0"/>
      <w:marTop w:val="0"/>
      <w:marBottom w:val="0"/>
      <w:divBdr>
        <w:top w:val="none" w:sz="0" w:space="0" w:color="auto"/>
        <w:left w:val="none" w:sz="0" w:space="0" w:color="auto"/>
        <w:bottom w:val="none" w:sz="0" w:space="0" w:color="auto"/>
        <w:right w:val="none" w:sz="0" w:space="0" w:color="auto"/>
      </w:divBdr>
      <w:divsChild>
        <w:div w:id="419835747">
          <w:marLeft w:val="0"/>
          <w:marRight w:val="0"/>
          <w:marTop w:val="0"/>
          <w:marBottom w:val="0"/>
          <w:divBdr>
            <w:top w:val="none" w:sz="0" w:space="0" w:color="auto"/>
            <w:left w:val="none" w:sz="0" w:space="0" w:color="auto"/>
            <w:bottom w:val="none" w:sz="0" w:space="0" w:color="auto"/>
            <w:right w:val="none" w:sz="0" w:space="0" w:color="auto"/>
          </w:divBdr>
          <w:divsChild>
            <w:div w:id="1868911442">
              <w:marLeft w:val="0"/>
              <w:marRight w:val="0"/>
              <w:marTop w:val="0"/>
              <w:marBottom w:val="0"/>
              <w:divBdr>
                <w:top w:val="none" w:sz="0" w:space="0" w:color="auto"/>
                <w:left w:val="none" w:sz="0" w:space="0" w:color="auto"/>
                <w:bottom w:val="none" w:sz="0" w:space="0" w:color="auto"/>
                <w:right w:val="none" w:sz="0" w:space="0" w:color="auto"/>
              </w:divBdr>
              <w:divsChild>
                <w:div w:id="1778481130">
                  <w:marLeft w:val="0"/>
                  <w:marRight w:val="0"/>
                  <w:marTop w:val="0"/>
                  <w:marBottom w:val="0"/>
                  <w:divBdr>
                    <w:top w:val="none" w:sz="0" w:space="0" w:color="auto"/>
                    <w:left w:val="none" w:sz="0" w:space="0" w:color="auto"/>
                    <w:bottom w:val="none" w:sz="0" w:space="0" w:color="auto"/>
                    <w:right w:val="none" w:sz="0" w:space="0" w:color="auto"/>
                  </w:divBdr>
                  <w:divsChild>
                    <w:div w:id="4371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6873">
          <w:marLeft w:val="0"/>
          <w:marRight w:val="0"/>
          <w:marTop w:val="0"/>
          <w:marBottom w:val="0"/>
          <w:divBdr>
            <w:top w:val="none" w:sz="0" w:space="0" w:color="auto"/>
            <w:left w:val="none" w:sz="0" w:space="0" w:color="auto"/>
            <w:bottom w:val="none" w:sz="0" w:space="0" w:color="auto"/>
            <w:right w:val="none" w:sz="0" w:space="0" w:color="auto"/>
          </w:divBdr>
          <w:divsChild>
            <w:div w:id="1129126077">
              <w:marLeft w:val="0"/>
              <w:marRight w:val="0"/>
              <w:marTop w:val="0"/>
              <w:marBottom w:val="0"/>
              <w:divBdr>
                <w:top w:val="none" w:sz="0" w:space="0" w:color="auto"/>
                <w:left w:val="none" w:sz="0" w:space="0" w:color="auto"/>
                <w:bottom w:val="none" w:sz="0" w:space="0" w:color="auto"/>
                <w:right w:val="none" w:sz="0" w:space="0" w:color="auto"/>
              </w:divBdr>
              <w:divsChild>
                <w:div w:id="467362357">
                  <w:marLeft w:val="0"/>
                  <w:marRight w:val="0"/>
                  <w:marTop w:val="0"/>
                  <w:marBottom w:val="0"/>
                  <w:divBdr>
                    <w:top w:val="none" w:sz="0" w:space="0" w:color="auto"/>
                    <w:left w:val="none" w:sz="0" w:space="0" w:color="auto"/>
                    <w:bottom w:val="none" w:sz="0" w:space="0" w:color="auto"/>
                    <w:right w:val="none" w:sz="0" w:space="0" w:color="auto"/>
                  </w:divBdr>
                  <w:divsChild>
                    <w:div w:id="226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640">
      <w:bodyDiv w:val="1"/>
      <w:marLeft w:val="0"/>
      <w:marRight w:val="0"/>
      <w:marTop w:val="0"/>
      <w:marBottom w:val="0"/>
      <w:divBdr>
        <w:top w:val="none" w:sz="0" w:space="0" w:color="auto"/>
        <w:left w:val="none" w:sz="0" w:space="0" w:color="auto"/>
        <w:bottom w:val="none" w:sz="0" w:space="0" w:color="auto"/>
        <w:right w:val="none" w:sz="0" w:space="0" w:color="auto"/>
      </w:divBdr>
    </w:div>
    <w:div w:id="1885213563">
      <w:bodyDiv w:val="1"/>
      <w:marLeft w:val="0"/>
      <w:marRight w:val="0"/>
      <w:marTop w:val="0"/>
      <w:marBottom w:val="0"/>
      <w:divBdr>
        <w:top w:val="none" w:sz="0" w:space="0" w:color="auto"/>
        <w:left w:val="none" w:sz="0" w:space="0" w:color="auto"/>
        <w:bottom w:val="none" w:sz="0" w:space="0" w:color="auto"/>
        <w:right w:val="none" w:sz="0" w:space="0" w:color="auto"/>
      </w:divBdr>
    </w:div>
    <w:div w:id="1890074046">
      <w:bodyDiv w:val="1"/>
      <w:marLeft w:val="0"/>
      <w:marRight w:val="0"/>
      <w:marTop w:val="0"/>
      <w:marBottom w:val="0"/>
      <w:divBdr>
        <w:top w:val="none" w:sz="0" w:space="0" w:color="auto"/>
        <w:left w:val="none" w:sz="0" w:space="0" w:color="auto"/>
        <w:bottom w:val="none" w:sz="0" w:space="0" w:color="auto"/>
        <w:right w:val="none" w:sz="0" w:space="0" w:color="auto"/>
      </w:divBdr>
    </w:div>
    <w:div w:id="19744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2018.2844" TargetMode="External"/><Relationship Id="rId3" Type="http://schemas.openxmlformats.org/officeDocument/2006/relationships/settings" Target="settings.xml"/><Relationship Id="rId7" Type="http://schemas.openxmlformats.org/officeDocument/2006/relationships/hyperlink" Target="https://cdc.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hs.gov" TargetMode="External"/><Relationship Id="rId5" Type="http://schemas.openxmlformats.org/officeDocument/2006/relationships/hyperlink" Target="https://nida.nih.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5</cp:revision>
  <dcterms:created xsi:type="dcterms:W3CDTF">2024-12-05T18:11:00Z</dcterms:created>
  <dcterms:modified xsi:type="dcterms:W3CDTF">2024-12-05T18:40:00Z</dcterms:modified>
</cp:coreProperties>
</file>