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306" w:type="dxa"/>
        <w:jc w:val="left"/>
        <w:tblInd w:w="-4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2729"/>
        <w:gridCol w:w="991"/>
        <w:gridCol w:w="783"/>
        <w:gridCol w:w="1027"/>
        <w:gridCol w:w="106"/>
        <w:gridCol w:w="636"/>
        <w:gridCol w:w="72"/>
        <w:gridCol w:w="1031"/>
        <w:gridCol w:w="817"/>
        <w:gridCol w:w="1113"/>
      </w:tblGrid>
      <w:tr>
        <w:trPr>
          <w:trHeight w:val="425" w:hRule="exact"/>
        </w:trPr>
        <w:tc>
          <w:tcPr>
            <w:tcW w:w="3720" w:type="dxa"/>
            <w:gridSpan w:val="2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napToGrid w:val="false"/>
              <w:spacing w:lineRule="auto" w:line="240" w:before="0" w:after="0"/>
              <w:jc w:val="both"/>
              <w:rPr>
                <w:rFonts w:ascii="Cantarell" w:hAnsi="Cantarell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Cantarell" w:hAnsi="Cantarel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>Piotr Poleszak</w:t>
            </w:r>
          </w:p>
        </w:tc>
        <w:tc>
          <w:tcPr>
            <w:tcW w:w="78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napToGrid w:val="false"/>
              <w:spacing w:lineRule="auto" w:line="240" w:before="0" w:after="0"/>
              <w:jc w:val="both"/>
              <w:rPr>
                <w:rFonts w:ascii="Cantarell" w:hAnsi="Cantarell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  <w:u w:val="none"/>
              </w:rPr>
            </w:pPr>
            <w:r>
              <w:rPr>
                <w:rFonts w:cs="Times New Roman" w:ascii="Cantarell" w:hAnsi="Cantarel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</w:r>
          </w:p>
        </w:tc>
        <w:tc>
          <w:tcPr>
            <w:tcW w:w="1027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napToGrid w:val="false"/>
              <w:spacing w:lineRule="auto" w:line="240" w:before="0" w:after="0"/>
              <w:jc w:val="both"/>
              <w:rPr>
                <w:rFonts w:ascii="Cantarell" w:hAnsi="Cantarell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Cantarell" w:hAnsi="Cantarel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</w:r>
          </w:p>
        </w:tc>
        <w:tc>
          <w:tcPr>
            <w:tcW w:w="1845" w:type="dxa"/>
            <w:gridSpan w:val="4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napToGrid w:val="false"/>
              <w:spacing w:lineRule="auto" w:line="240" w:before="0" w:after="0"/>
              <w:jc w:val="both"/>
              <w:rPr>
                <w:rFonts w:ascii="Cantarell" w:hAnsi="Cantarell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Cantarell" w:hAnsi="Cantarel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>PSI</w:t>
            </w:r>
          </w:p>
        </w:tc>
        <w:tc>
          <w:tcPr>
            <w:tcW w:w="1930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napToGrid w:val="false"/>
              <w:spacing w:lineRule="auto" w:line="240" w:before="0" w:after="0"/>
              <w:jc w:val="both"/>
              <w:rPr>
                <w:rFonts w:ascii="Cantarell" w:hAnsi="Cantarell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Cantarell" w:hAnsi="Cantarel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>GC02</w:t>
            </w:r>
          </w:p>
        </w:tc>
      </w:tr>
      <w:tr>
        <w:trPr/>
        <w:tc>
          <w:tcPr>
            <w:tcW w:w="272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napToGrid w:val="false"/>
              <w:spacing w:lineRule="atLeast" w:line="100" w:before="0" w:after="0"/>
              <w:jc w:val="both"/>
              <w:rPr>
                <w:rFonts w:ascii="Cantarell" w:hAnsi="Cantarell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Cantarell" w:hAnsi="Cantarel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napToGrid w:val="false"/>
              <w:spacing w:lineRule="auto" w:line="240" w:before="0" w:after="0"/>
              <w:jc w:val="both"/>
              <w:rPr>
                <w:rFonts w:ascii="Cantarell" w:hAnsi="Cantarell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Cantarell" w:hAnsi="Cantarel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>AUTOR</w:t>
            </w:r>
          </w:p>
        </w:tc>
        <w:tc>
          <w:tcPr>
            <w:tcW w:w="78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160"/>
              <w:jc w:val="both"/>
              <w:rPr>
                <w:rFonts w:ascii="Cantarell" w:hAnsi="Cantarell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Cantarell" w:hAnsi="Cantarel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napToGrid w:val="false"/>
              <w:spacing w:lineRule="auto" w:line="240" w:before="0" w:after="0"/>
              <w:jc w:val="both"/>
              <w:rPr>
                <w:rFonts w:ascii="Cantarell" w:hAnsi="Cantarell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Cantarell" w:hAnsi="Cantarel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>ROK AKAD.</w:t>
            </w:r>
          </w:p>
        </w:tc>
        <w:tc>
          <w:tcPr>
            <w:tcW w:w="814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napToGrid w:val="false"/>
              <w:spacing w:lineRule="auto" w:line="240" w:before="0" w:after="0"/>
              <w:jc w:val="both"/>
              <w:rPr>
                <w:rFonts w:ascii="Cantarell" w:hAnsi="Cantarell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Cantarell" w:hAnsi="Cantarel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napToGrid w:val="false"/>
              <w:spacing w:lineRule="auto" w:line="240" w:before="0" w:after="0"/>
              <w:jc w:val="both"/>
              <w:rPr>
                <w:rFonts w:ascii="Cantarell" w:hAnsi="Cantarell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Cantarell" w:hAnsi="Cantarel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>SPEC.</w:t>
            </w:r>
          </w:p>
        </w:tc>
        <w:tc>
          <w:tcPr>
            <w:tcW w:w="8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napToGrid w:val="false"/>
              <w:spacing w:lineRule="auto" w:line="240" w:before="0" w:after="0"/>
              <w:jc w:val="both"/>
              <w:rPr>
                <w:rFonts w:ascii="Cantarell" w:hAnsi="Cantarell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Cantarell" w:hAnsi="Cantarel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napToGrid w:val="false"/>
              <w:spacing w:lineRule="auto" w:line="240" w:before="0" w:after="0"/>
              <w:jc w:val="both"/>
              <w:rPr>
                <w:rFonts w:ascii="Cantarell" w:hAnsi="Cantarell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Cantarell" w:hAnsi="Cantarel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>GRUPA</w:t>
            </w:r>
          </w:p>
        </w:tc>
      </w:tr>
      <w:tr>
        <w:trPr>
          <w:trHeight w:val="407" w:hRule="exact"/>
        </w:trPr>
        <w:tc>
          <w:tcPr>
            <w:tcW w:w="5636" w:type="dxa"/>
            <w:gridSpan w:val="5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napToGrid w:val="false"/>
              <w:spacing w:lineRule="auto" w:line="240" w:before="0" w:after="0"/>
              <w:jc w:val="both"/>
              <w:rPr>
                <w:rFonts w:ascii="Cantarell" w:hAnsi="Cantarell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Cantarell" w:hAnsi="Cantarel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>Analiza zbiorów danych z zastosowaniem algorytmów klasteryzacji</w:t>
            </w:r>
          </w:p>
        </w:tc>
        <w:tc>
          <w:tcPr>
            <w:tcW w:w="1739" w:type="dxa"/>
            <w:gridSpan w:val="3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napToGrid w:val="false"/>
              <w:spacing w:lineRule="auto" w:line="240" w:before="0" w:after="0"/>
              <w:jc w:val="both"/>
              <w:rPr>
                <w:rFonts w:ascii="Cantarell" w:hAnsi="Cantarell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Cantarell" w:hAnsi="Cantarel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</w:r>
          </w:p>
        </w:tc>
        <w:tc>
          <w:tcPr>
            <w:tcW w:w="19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napToGrid w:val="false"/>
              <w:spacing w:lineRule="auto" w:line="240" w:before="0" w:after="0"/>
              <w:jc w:val="both"/>
              <w:rPr>
                <w:rFonts w:ascii="Cantarell" w:hAnsi="Cantarell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Cantarell" w:hAnsi="Cantarel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>2</w:t>
            </w:r>
          </w:p>
        </w:tc>
      </w:tr>
      <w:tr>
        <w:trPr/>
        <w:tc>
          <w:tcPr>
            <w:tcW w:w="5636" w:type="dxa"/>
            <w:gridSpan w:val="5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28" w:type="dxa"/>
              <w:bottom w:w="28" w:type="dxa"/>
            </w:tcMar>
            <w:vAlign w:val="center"/>
          </w:tcPr>
          <w:p>
            <w:pPr>
              <w:pStyle w:val="Normal"/>
              <w:widowControl w:val="false"/>
              <w:spacing w:lineRule="auto" w:line="240" w:before="0" w:after="160"/>
              <w:jc w:val="both"/>
              <w:rPr>
                <w:rFonts w:ascii="Cantarell" w:hAnsi="Cantarell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Cantarell" w:hAnsi="Cantarel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</w:r>
          </w:p>
        </w:tc>
        <w:tc>
          <w:tcPr>
            <w:tcW w:w="17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28" w:type="dxa"/>
              <w:bottom w:w="28" w:type="dxa"/>
            </w:tcMar>
            <w:vAlign w:val="center"/>
          </w:tcPr>
          <w:p>
            <w:pPr>
              <w:pStyle w:val="Normal"/>
              <w:widowControl w:val="false"/>
              <w:snapToGrid w:val="false"/>
              <w:spacing w:lineRule="auto" w:line="240" w:before="0" w:after="0"/>
              <w:jc w:val="both"/>
              <w:rPr>
                <w:rFonts w:ascii="Cantarell" w:hAnsi="Cantarell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Cantarell" w:hAnsi="Cantarel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 xml:space="preserve">TEMAT </w:t>
            </w:r>
          </w:p>
        </w:tc>
        <w:tc>
          <w:tcPr>
            <w:tcW w:w="19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napToGrid w:val="false"/>
              <w:spacing w:lineRule="auto" w:line="240" w:before="0" w:after="0"/>
              <w:jc w:val="both"/>
              <w:rPr>
                <w:rFonts w:ascii="Cantarell" w:hAnsi="Cantarell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Cantarell" w:hAnsi="Cantarel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>NR SPRAWOZDANIA</w:t>
            </w:r>
          </w:p>
        </w:tc>
      </w:tr>
      <w:tr>
        <w:trPr>
          <w:trHeight w:val="424" w:hRule="atLeast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napToGrid w:val="false"/>
              <w:spacing w:lineRule="auto" w:line="240" w:before="0" w:after="0"/>
              <w:jc w:val="both"/>
              <w:rPr>
                <w:rFonts w:ascii="Cantarell" w:hAnsi="Cantarell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Cantarell" w:hAnsi="Cantarel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>05.11.2024</w:t>
            </w:r>
          </w:p>
        </w:tc>
        <w:tc>
          <w:tcPr>
            <w:tcW w:w="354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napToGrid w:val="false"/>
              <w:spacing w:lineRule="auto" w:line="240" w:before="0" w:after="0"/>
              <w:jc w:val="both"/>
              <w:rPr>
                <w:rFonts w:ascii="Cantarell" w:hAnsi="Cantarell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Cantarell" w:hAnsi="Cantarel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>LMAD</w:t>
            </w:r>
          </w:p>
        </w:tc>
        <w:tc>
          <w:tcPr>
            <w:tcW w:w="303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napToGrid w:val="false"/>
              <w:spacing w:lineRule="auto" w:line="240" w:before="0" w:after="0"/>
              <w:jc w:val="both"/>
              <w:rPr>
                <w:rFonts w:ascii="Cantarell" w:hAnsi="Cantarell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  <w:u w:val="none"/>
              </w:rPr>
            </w:pPr>
            <w:r>
              <w:rPr/>
            </w:r>
          </w:p>
        </w:tc>
      </w:tr>
      <w:tr>
        <w:trPr>
          <w:trHeight w:val="232" w:hRule="atLeast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28" w:type="dxa"/>
              <w:bottom w:w="28" w:type="dxa"/>
            </w:tcMar>
            <w:vAlign w:val="center"/>
          </w:tcPr>
          <w:p>
            <w:pPr>
              <w:pStyle w:val="Normal"/>
              <w:widowControl w:val="false"/>
              <w:snapToGrid w:val="false"/>
              <w:spacing w:lineRule="auto" w:line="240" w:before="0" w:after="0"/>
              <w:jc w:val="both"/>
              <w:rPr>
                <w:rFonts w:ascii="Cantarell" w:hAnsi="Cantarell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Cantarell" w:hAnsi="Cantarel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>DATA WYKONANIA</w:t>
            </w:r>
          </w:p>
        </w:tc>
        <w:tc>
          <w:tcPr>
            <w:tcW w:w="354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28" w:type="dxa"/>
              <w:bottom w:w="28" w:type="dxa"/>
            </w:tcMar>
            <w:vAlign w:val="center"/>
          </w:tcPr>
          <w:p>
            <w:pPr>
              <w:pStyle w:val="Normal"/>
              <w:widowControl w:val="false"/>
              <w:snapToGrid w:val="false"/>
              <w:spacing w:lineRule="auto" w:line="240" w:before="0" w:after="0"/>
              <w:jc w:val="both"/>
              <w:rPr>
                <w:rFonts w:ascii="Cantarell" w:hAnsi="Cantarell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Cantarell" w:hAnsi="Cantarel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>PRZEDMIOT</w:t>
            </w:r>
          </w:p>
        </w:tc>
        <w:tc>
          <w:tcPr>
            <w:tcW w:w="303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napToGrid w:val="false"/>
              <w:spacing w:lineRule="auto" w:line="240" w:before="0" w:after="0"/>
              <w:jc w:val="both"/>
              <w:rPr>
                <w:rFonts w:ascii="Cantarell" w:hAnsi="Cantarell"/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Cantarell" w:hAnsi="Cantarell"/>
                <w:b w:val="false"/>
                <w:bCs w:val="false"/>
                <w:i w:val="false"/>
                <w:iCs w:val="false"/>
                <w:sz w:val="24"/>
                <w:szCs w:val="24"/>
                <w:u w:val="none"/>
              </w:rPr>
              <w:t>PROWADZĄCY</w:t>
            </w:r>
          </w:p>
        </w:tc>
      </w:tr>
    </w:tbl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  <w:r>
        <w:br w:type="page"/>
      </w:r>
    </w:p>
    <w:p>
      <w:pPr>
        <w:pStyle w:val="Heading1"/>
        <w:numPr>
          <w:ilvl w:val="0"/>
          <w:numId w:val="1"/>
        </w:numPr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40"/>
          <w:szCs w:val="40"/>
          <w:u w:val="none"/>
        </w:rPr>
      </w:pPr>
      <w:r>
        <w:rPr>
          <w:rFonts w:cs="Times New Roman" w:ascii="Cantarell" w:hAnsi="Cantarell"/>
          <w:b/>
          <w:bCs/>
          <w:i w:val="false"/>
          <w:iCs w:val="false"/>
          <w:sz w:val="40"/>
          <w:szCs w:val="40"/>
          <w:u w:val="none"/>
        </w:rPr>
        <w:t>Cel</w:t>
      </w:r>
    </w:p>
    <w:p>
      <w:pPr>
        <w:pStyle w:val="Normal"/>
        <w:spacing w:before="0" w:after="0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TextBody"/>
        <w:spacing w:before="0" w:after="0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Celem projektu jest przeprowadzenie analizy trzech różnych zbiorów danych z wykorzystaniem algorytmów klasteryzacji i technik przetwarzania danych. Analiza obejmuje:</w:t>
      </w:r>
    </w:p>
    <w:p>
      <w:pPr>
        <w:pStyle w:val="TextBody"/>
        <w:numPr>
          <w:ilvl w:val="0"/>
          <w:numId w:val="14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Zadanie 1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: Segmentacja obrazu za pomocą algorytmu k-średnich.</w:t>
      </w:r>
    </w:p>
    <w:p>
      <w:pPr>
        <w:pStyle w:val="TextBody"/>
        <w:numPr>
          <w:ilvl w:val="0"/>
          <w:numId w:val="14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Zadanie 2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: Klasteryzacja zbioru danych </w:t>
      </w:r>
      <w:r>
        <w:rPr>
          <w:rStyle w:val="Emphasis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iris.csv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 przy użyciu algorytmów hierarchicznych i k-średnich.</w:t>
      </w:r>
    </w:p>
    <w:p>
      <w:pPr>
        <w:pStyle w:val="TextBody"/>
        <w:numPr>
          <w:ilvl w:val="0"/>
          <w:numId w:val="14"/>
        </w:numPr>
        <w:tabs>
          <w:tab w:val="clear" w:pos="708"/>
          <w:tab w:val="left" w:pos="0" w:leader="none"/>
        </w:tabs>
        <w:ind w:left="709" w:hanging="283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Zadanie 3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: Grupowanie wydatków klientów hurtowych w Portugalii za pomocą algorytmu DBSCAN.</w:t>
      </w:r>
    </w:p>
    <w:p>
      <w:pPr>
        <w:pStyle w:val="Normal"/>
        <w:spacing w:before="0" w:after="0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pacing w:val="3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pacing w:val="3"/>
          <w:sz w:val="24"/>
          <w:szCs w:val="24"/>
          <w:u w:val="none"/>
        </w:rPr>
      </w:r>
    </w:p>
    <w:p>
      <w:pPr>
        <w:pStyle w:val="Heading1"/>
        <w:numPr>
          <w:ilvl w:val="0"/>
          <w:numId w:val="1"/>
        </w:numPr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40"/>
          <w:szCs w:val="40"/>
          <w:u w:val="none"/>
        </w:rPr>
      </w:pPr>
      <w:r>
        <w:rPr>
          <w:rFonts w:cs="Times New Roman" w:ascii="Cantarell" w:hAnsi="Cantarell"/>
          <w:b/>
          <w:bCs/>
          <w:i w:val="false"/>
          <w:iCs w:val="false"/>
          <w:sz w:val="40"/>
          <w:szCs w:val="40"/>
          <w:u w:val="none"/>
        </w:rPr>
        <w:t>Materiały i metody</w:t>
      </w:r>
    </w:p>
    <w:p>
      <w:pPr>
        <w:pStyle w:val="Normal"/>
        <w:spacing w:before="0" w:after="0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Heading3"/>
        <w:spacing w:before="0" w:after="0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/>
          <w:bCs/>
          <w:i w:val="false"/>
          <w:iCs w:val="false"/>
          <w:sz w:val="24"/>
          <w:szCs w:val="24"/>
          <w:u w:val="none"/>
        </w:rPr>
        <w:t>2.1. Zbiory danych</w:t>
      </w:r>
    </w:p>
    <w:p>
      <w:pPr>
        <w:pStyle w:val="TextBody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Zadanie 1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: Zdjęcie </w:t>
      </w:r>
      <w:r>
        <w:rPr>
          <w:rStyle w:val="Emphasis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palm_tree.jpg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 pobrane z Pexels.</w:t>
      </w:r>
    </w:p>
    <w:p>
      <w:pPr>
        <w:pStyle w:val="TextBody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Zadanie 2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: Zbiór danych </w:t>
      </w:r>
      <w:r>
        <w:rPr>
          <w:rStyle w:val="Emphasis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iris.csv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 zawierający pomiary trzech gatunków irysów.</w:t>
      </w:r>
    </w:p>
    <w:p>
      <w:pPr>
        <w:pStyle w:val="TextBody"/>
        <w:numPr>
          <w:ilvl w:val="0"/>
          <w:numId w:val="10"/>
        </w:numPr>
        <w:tabs>
          <w:tab w:val="clear" w:pos="708"/>
          <w:tab w:val="left" w:pos="0" w:leader="none"/>
        </w:tabs>
        <w:ind w:left="709" w:hanging="283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Zadanie 3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: Dane klientów hurtowych z UCI MLR</w:t>
      </w:r>
    </w:p>
    <w:p>
      <w:pPr>
        <w:pStyle w:val="Heading3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2.2. Metody</w:t>
      </w:r>
    </w:p>
    <w:p>
      <w:pPr>
        <w:pStyle w:val="Heading4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Wczytywanie i przygotowanie danych</w:t>
      </w:r>
    </w:p>
    <w:p>
      <w:pPr>
        <w:pStyle w:val="TextBody"/>
        <w:numPr>
          <w:ilvl w:val="0"/>
          <w:numId w:val="11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Biblioteki Python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: Użyto bibliotek </w:t>
      </w: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pandas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, </w:t>
      </w: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numpy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, </w:t>
      </w: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matplotlib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, </w:t>
      </w: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seaborn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, </w:t>
      </w: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scikit-learn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 oraz </w:t>
      </w: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cv2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 do manipulacji danymi, wizualizacji i implementacji algorytmów klasteryzacji.</w:t>
      </w:r>
    </w:p>
    <w:p>
      <w:pPr>
        <w:pStyle w:val="TextBody"/>
        <w:numPr>
          <w:ilvl w:val="0"/>
          <w:numId w:val="11"/>
        </w:numPr>
        <w:tabs>
          <w:tab w:val="clear" w:pos="708"/>
          <w:tab w:val="left" w:pos="0" w:leader="none"/>
        </w:tabs>
        <w:ind w:left="709" w:hanging="283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Przetwarzanie danych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: Sprawdzono kompletność danych, wykonano standaryzację i normalizację tam gdzie było to wymagane.</w:t>
      </w:r>
    </w:p>
    <w:p>
      <w:pPr>
        <w:pStyle w:val="Heading4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Algorytmy klasteryzacji</w:t>
      </w:r>
    </w:p>
    <w:p>
      <w:pPr>
        <w:pStyle w:val="TextBody"/>
        <w:numPr>
          <w:ilvl w:val="0"/>
          <w:numId w:val="12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Algorytm k-średnich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: Zastosowany do kwantyzacji kolorów w obrazie oraz klasteryzacji zbioru danych </w:t>
      </w:r>
      <w:r>
        <w:rPr>
          <w:rStyle w:val="Emphasis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iris.csv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.</w:t>
      </w:r>
    </w:p>
    <w:p>
      <w:pPr>
        <w:pStyle w:val="TextBody"/>
        <w:numPr>
          <w:ilvl w:val="0"/>
          <w:numId w:val="12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Algorytmy hierarchiczne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: Użyto metod aglomeracyjnych z różnymi metodami łączenia (Warda, pojedynczego połączenia, całkowitego połączenia).</w:t>
      </w:r>
    </w:p>
    <w:p>
      <w:pPr>
        <w:pStyle w:val="TextBody"/>
        <w:numPr>
          <w:ilvl w:val="0"/>
          <w:numId w:val="12"/>
        </w:numPr>
        <w:tabs>
          <w:tab w:val="clear" w:pos="708"/>
          <w:tab w:val="left" w:pos="0" w:leader="none"/>
        </w:tabs>
        <w:ind w:left="709" w:hanging="283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Algorytm DBSCAN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: Wykorzystany do identyfikacji klastrów i punktów odstających w danych klientów hurtowych.</w:t>
      </w:r>
    </w:p>
    <w:p>
      <w:pPr>
        <w:pStyle w:val="Heading4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Wizualizacja</w:t>
      </w:r>
    </w:p>
    <w:p>
      <w:pPr>
        <w:pStyle w:val="TextBody"/>
        <w:numPr>
          <w:ilvl w:val="0"/>
          <w:numId w:val="13"/>
        </w:numPr>
        <w:tabs>
          <w:tab w:val="clear" w:pos="708"/>
          <w:tab w:val="left" w:pos="0" w:leader="none"/>
        </w:tabs>
        <w:ind w:left="709" w:hanging="283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Matplotlib i Seaborn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: Użyto do tworzenia wykresów i wizualizacji w celu interpretacji wyników klasteryzacji.</w:t>
      </w:r>
    </w:p>
    <w:p>
      <w:pPr>
        <w:pStyle w:val="TextBody"/>
        <w:spacing w:before="0" w:after="0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spacing w:before="0" w:after="0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spacing w:before="0" w:after="0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Heading1"/>
        <w:numPr>
          <w:ilvl w:val="0"/>
          <w:numId w:val="1"/>
        </w:numPr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40"/>
          <w:szCs w:val="40"/>
          <w:u w:val="none"/>
        </w:rPr>
      </w:pPr>
      <w:r>
        <w:rPr>
          <w:rFonts w:cs="Times New Roman" w:ascii="Cantarell" w:hAnsi="Cantarell"/>
          <w:b/>
          <w:bCs/>
          <w:i w:val="false"/>
          <w:iCs w:val="false"/>
          <w:sz w:val="40"/>
          <w:szCs w:val="40"/>
          <w:u w:val="none"/>
        </w:rPr>
        <w:t>Wyniki i dyskusja</w:t>
      </w:r>
    </w:p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Heading3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/>
          <w:bCs/>
          <w:i w:val="false"/>
          <w:iCs w:val="false"/>
          <w:sz w:val="24"/>
          <w:szCs w:val="24"/>
          <w:u w:val="none"/>
        </w:rPr>
        <w:t>3.1. Zadanie 1: Segmentacja obrazu za pomocą algorytmu k-średnich</w:t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3.1.1. Wyświetlenie kodów RGB dla każdego piksela</w:t>
      </w:r>
    </w:p>
    <w:p>
      <w:pPr>
        <w:pStyle w:val="TextBody"/>
        <w:jc w:val="both"/>
        <w:rPr/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Zaimportowano obraz </w:t>
      </w:r>
      <w:r>
        <w:rPr>
          <w:rStyle w:val="Emphasis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palm_tree.jpg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 i przekonwertowano go do formatu RGB. Kody RGB dla każdego piksela zostały wyświetlone w postaci macierzy.</w:t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3.1.2. Wyświetlenie oryginalnego zdjęcia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Oryginalne zdjęcie zostało wyświetlone przy użyciu biblioteki Matplotlib. </w:t>
      </w:r>
    </w:p>
    <w:p>
      <w:pPr>
        <w:pStyle w:val="TextBody"/>
        <w:jc w:val="both"/>
        <w:rPr>
          <w:rStyle w:val="Emphasis"/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106680</wp:posOffset>
            </wp:positionH>
            <wp:positionV relativeFrom="paragraph">
              <wp:posOffset>635</wp:posOffset>
            </wp:positionV>
            <wp:extent cx="5201285" cy="390080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3.1.3. Kwantyzacja kolorów za pomocą algorytmu k-średnich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Przeprowadzono kwantyzację kolorów, stosując algorytm k-średnich z 6 klastrami. Dane obrazu zostały przekształcone z formatu 3D (szerokość, wysokość, kanały kolorów) do 2D (liczba pikseli, kanały kolorów), aby algorytm mógł je przetworzyć.</w:t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3.1.4. Wyświetlenie rozmiarów zdjęcia i liczby kanałów kolorów (RGB)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Rozmiary zdjęcia zostały określone na podstawie jego wymiarów: szerokość, wysokość oraz liczba kanałów kolorów. </w:t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3.1.5. Przekształcenie danych z formatu 3D do 2D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Dane obrazu zostały przekształcone do formatu 2D o wymiarach odpowiadających liczbie pikseli i liczbie kanałów kolorów.</w:t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3.1.6. Zastosowanie algorytmu k-średnich dla 6 klastrów</w:t>
      </w:r>
    </w:p>
    <w:p>
      <w:pPr>
        <w:pStyle w:val="TextBody"/>
        <w:jc w:val="both"/>
        <w:rPr/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Algorytm k-średnich został zastosowany z parametrem </w:t>
      </w:r>
      <w:r>
        <w:rPr>
          <w:rStyle w:val="Emphasis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n_clusters=6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. Pozwoliło to na podział kolorów w obrazie na 6 głównych grup.</w:t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3.1.7. Wyświetlenie etykiet klastrów dla każdego piksela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Etykiety klastrów zostały przypisane do każdego piksela w obrazie, tworząc macierz etykiet o rozmiarach odpowiadających wymiarom obrazu.</w:t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3.1.8. Wyświetlenie współrzędnych centroidów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Współrzędne centroidów zostały wyświetlone. Centroidy reprezentują dominujące kolory w obrazie po kwantyzacji.</w:t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3.1.9. Zaokrąglenie współrzędnych centroidów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Centroidy zostały zaokrąglone do liczb całkowitych, aby mogły reprezentować wartości RGB (zakres od 0 do 255).</w:t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3.1.10. Utworzenie skwantyzowanego obrazu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Każdy piksel w oryginalnym obrazie został zastąpiony odpowiadającym mu centroidem (średnim kolorem klastra), tworząc skwantyzowany obraz z ograniczoną paletą kolorów.</w:t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3.1.11. Wyświetlenie obrazu po kwantyzacji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Obraz po kwantyzacji został wyświetlony, ukazując efekt redukcji liczby kolorów do 6. Obraz zachowuje ogólny wygląd oryginału, ale z wyraźnie mniejszą liczbą odcieni.</w:t>
      </w:r>
    </w:p>
    <w:p>
      <w:pPr>
        <w:pStyle w:val="TextBody"/>
        <w:jc w:val="both"/>
        <w:rPr>
          <w:rStyle w:val="Emphasis"/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25670" cy="35445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Dyskusja: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Kwantyzacja kolorów zredukowała liczbę kolorów w obrazie, co pozwoliło na segmentację obrazu na podstawie podobieństwa kolorów. Jest to przydatne w kompresji obrazu oraz w uproszczeniu analizy obrazów np. w identyfikacji obiektów na podstawie koloru.</w:t>
      </w:r>
    </w:p>
    <w:p>
      <w:pPr>
        <w:pStyle w:val="Heading3"/>
        <w:jc w:val="both"/>
        <w:rPr/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 xml:space="preserve">3.2. Zadanie 2: Analiza zbioru danych </w:t>
      </w:r>
      <w:r>
        <w:rPr>
          <w:rStyle w:val="Emphasis"/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iris.csv</w:t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3.2.1. Wczytanie danych i sprawdzenie kompletności</w:t>
      </w:r>
    </w:p>
    <w:p>
      <w:pPr>
        <w:pStyle w:val="TextBody"/>
        <w:jc w:val="both"/>
        <w:rPr/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Dane zostały wczytane z pliku </w:t>
      </w:r>
      <w:r>
        <w:rPr>
          <w:rStyle w:val="Emphasis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iris.csv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. Sprawdzono, że nie zawierają brakujących wartości. Zbiór danych zawiera 150 obserwacji, każda z czterema cechami (długość i szerokość kielicha oraz płatka) oraz etykietą gatunku.</w:t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3.2.2. Statystyki podstawowe i informacje o danych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Przeanalizowano statystyki opisowe, takie jak średnia, odchylenie standardowe, wartości minimalne i maksymalne dla każdej cechy. Informacje o danych potwierdziły, że wszystkie kolumny są typu numerycznego, a kolumna 'species' jest typu kategorycznego.</w:t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3.2.3. Wykres punktowy zależności długości płatka w funkcji szerokości płatka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Wykres punktowy pokazał zależność między długością a szerokością płatka dla wszystkich obserwacji. Dane naturalnie grupują się w trzy skupienia, sugerując możliwość podziału na trzy klastry.</w:t>
      </w:r>
    </w:p>
    <w:p>
      <w:pPr>
        <w:pStyle w:val="TextBody"/>
        <w:jc w:val="both"/>
        <w:rPr>
          <w:rStyle w:val="Emphasis"/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432054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3.2.4. Wykres punktowy różnicowany za pomocą gatunku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Dane zostały zwizualizowane z podziałem na gatunki, co uwidoczniło wyraźne rozdzielenie między trzema gatunkami irysów na podstawie cech płatka.</w:t>
      </w:r>
    </w:p>
    <w:p>
      <w:pPr>
        <w:pStyle w:val="TextBody"/>
        <w:jc w:val="both"/>
        <w:rPr>
          <w:rStyle w:val="Emphasis"/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432054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3.2.5. Przygotowanie danych do klasteryzacji</w:t>
      </w:r>
    </w:p>
    <w:p>
      <w:pPr>
        <w:pStyle w:val="TextBody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Usunięcie kolumny 'species'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: Aby skupić się na danych numerycznych.</w:t>
      </w:r>
    </w:p>
    <w:p>
      <w:pPr>
        <w:pStyle w:val="TextBody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Standaryzacja danych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: Dane zostały zestandaryzowane, aby każda cecha miała średnią zero i odchylenie standardowe jeden.</w:t>
      </w:r>
    </w:p>
    <w:p>
      <w:pPr>
        <w:pStyle w:val="TextBody"/>
        <w:numPr>
          <w:ilvl w:val="0"/>
          <w:numId w:val="4"/>
        </w:numPr>
        <w:tabs>
          <w:tab w:val="clear" w:pos="708"/>
          <w:tab w:val="left" w:pos="0" w:leader="none"/>
        </w:tabs>
        <w:ind w:left="709" w:hanging="283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Normalizacja danych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: Dane zostały znormalizowane do zakresu [0,1].</w:t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3.2.6. Heatmapy korelacji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Utworzono mapy korelacji dla danych oryginalnych, zestandaryzowanych i znormalizowanych. Mapy te pokazały, że istnieje silna dodatnia korelacja między długością i szerokością płatka, a słabsza korelacja między cechami kielicha.</w:t>
      </w:r>
    </w:p>
    <w:p>
      <w:pPr>
        <w:pStyle w:val="TextBody"/>
        <w:jc w:val="both"/>
        <w:rPr>
          <w:rStyle w:val="Emphasis"/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84048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86360</wp:posOffset>
            </wp:positionH>
            <wp:positionV relativeFrom="paragraph">
              <wp:posOffset>4300220</wp:posOffset>
            </wp:positionV>
            <wp:extent cx="5760720" cy="384048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84048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3.2.7. Klasteryzacja danych oryginalnych</w:t>
      </w:r>
    </w:p>
    <w:p>
      <w:pPr>
        <w:pStyle w:val="TextBody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Algorytm hierarchiczny (metoda aglomeracyjna):</w:t>
      </w:r>
    </w:p>
    <w:p>
      <w:pPr>
        <w:pStyle w:val="TextBody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Zastosowano trzy metody łączenia:</w:t>
      </w:r>
    </w:p>
    <w:p>
      <w:pPr>
        <w:pStyle w:val="TextBody"/>
        <w:numPr>
          <w:ilvl w:val="1"/>
          <w:numId w:val="5"/>
        </w:numPr>
        <w:tabs>
          <w:tab w:val="clear" w:pos="708"/>
          <w:tab w:val="left" w:pos="0" w:leader="none"/>
        </w:tabs>
        <w:spacing w:before="0" w:after="0"/>
        <w:ind w:left="1418" w:hanging="283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Warda</w:t>
      </w:r>
    </w:p>
    <w:p>
      <w:pPr>
        <w:pStyle w:val="TextBody"/>
        <w:numPr>
          <w:ilvl w:val="1"/>
          <w:numId w:val="5"/>
        </w:numPr>
        <w:tabs>
          <w:tab w:val="clear" w:pos="708"/>
          <w:tab w:val="left" w:pos="0" w:leader="none"/>
        </w:tabs>
        <w:spacing w:before="0" w:after="0"/>
        <w:ind w:left="1418" w:hanging="283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Pojedynczego połączenia</w:t>
      </w:r>
    </w:p>
    <w:p>
      <w:pPr>
        <w:pStyle w:val="TextBody"/>
        <w:numPr>
          <w:ilvl w:val="1"/>
          <w:numId w:val="5"/>
        </w:numPr>
        <w:tabs>
          <w:tab w:val="clear" w:pos="708"/>
          <w:tab w:val="left" w:pos="0" w:leader="none"/>
        </w:tabs>
        <w:spacing w:before="0" w:after="0"/>
        <w:ind w:left="1418" w:hanging="283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Całkowitego połączenia</w:t>
      </w:r>
    </w:p>
    <w:p>
      <w:pPr>
        <w:pStyle w:val="TextBody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Dla każdej metody przeprowadzono klasteryzację na trzy klastry.</w:t>
      </w:r>
    </w:p>
    <w:p>
      <w:pPr>
        <w:pStyle w:val="TextBody"/>
        <w:numPr>
          <w:ilvl w:val="0"/>
          <w:numId w:val="5"/>
        </w:numPr>
        <w:tabs>
          <w:tab w:val="clear" w:pos="708"/>
          <w:tab w:val="left" w:pos="0" w:leader="none"/>
        </w:tabs>
        <w:ind w:left="709" w:hanging="283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Obliczono współczynnik sylwetki dla oceny jakości klasteryzacji.</w:t>
      </w:r>
    </w:p>
    <w:p>
      <w:pPr>
        <w:pStyle w:val="TextBody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Algorytm k-średnich:</w:t>
      </w:r>
    </w:p>
    <w:p>
      <w:pPr>
        <w:pStyle w:val="TextBody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/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Zastosowano z parametrem </w:t>
      </w:r>
      <w:r>
        <w:rPr>
          <w:rStyle w:val="Emphasis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n_clusters=3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.</w:t>
      </w:r>
    </w:p>
    <w:p>
      <w:pPr>
        <w:pStyle w:val="TextBody"/>
        <w:numPr>
          <w:ilvl w:val="0"/>
          <w:numId w:val="6"/>
        </w:numPr>
        <w:tabs>
          <w:tab w:val="clear" w:pos="708"/>
          <w:tab w:val="left" w:pos="0" w:leader="none"/>
        </w:tabs>
        <w:ind w:left="709" w:hanging="283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Obliczono współczynnik sylwetki.</w:t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3.2.8. Wykresy punktowe z etykietami klastrów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Dla każdej metody klasteryzacji utworzono wykresy punktowe, gdzie punkty były różnicowane za pomocą etykiet nadanych przez algorytmy.</w:t>
      </w:r>
    </w:p>
    <w:p>
      <w:pPr>
        <w:pStyle w:val="TextBody"/>
        <w:jc w:val="both"/>
        <w:rPr>
          <w:rStyle w:val="Emphasis"/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180340</wp:posOffset>
            </wp:positionH>
            <wp:positionV relativeFrom="paragraph">
              <wp:posOffset>-69215</wp:posOffset>
            </wp:positionV>
            <wp:extent cx="5123180" cy="384238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8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135890</wp:posOffset>
            </wp:positionH>
            <wp:positionV relativeFrom="paragraph">
              <wp:posOffset>3724275</wp:posOffset>
            </wp:positionV>
            <wp:extent cx="5443855" cy="408305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-155575</wp:posOffset>
            </wp:positionH>
            <wp:positionV relativeFrom="paragraph">
              <wp:posOffset>-12065</wp:posOffset>
            </wp:positionV>
            <wp:extent cx="5760720" cy="432054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3.2.9. Porównanie wyników klasteryzacji z rzeczywistymi gatunkami</w:t>
      </w:r>
    </w:p>
    <w:p>
      <w:pPr>
        <w:pStyle w:val="TextBody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Metoda Warda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 i </w:t>
      </w: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algorytm k-średnich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 dały wyniki klasteryzacji zbliżone do rzeczywistych gatunków.</w:t>
      </w:r>
    </w:p>
    <w:p>
      <w:pPr>
        <w:pStyle w:val="TextBody"/>
        <w:numPr>
          <w:ilvl w:val="0"/>
          <w:numId w:val="7"/>
        </w:numPr>
        <w:tabs>
          <w:tab w:val="clear" w:pos="708"/>
          <w:tab w:val="left" w:pos="0" w:leader="none"/>
        </w:tabs>
        <w:ind w:left="709" w:hanging="283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Metody pojedynczego i całkowitego połączenia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 miały gorsze wyniki, co potwierdziły niższe wartości współczynnika sylwetki.</w:t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3.2.10. Klasteryzacja na danych zestandaryzowanych i znormalizowanych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Proces klasteryzacji został powtórzony dla danych zestandaryzowanych i znormalizowanych. Standaryzacja danych poprawiła wyniki klasteryzacji, co objawiło się wyższymi wartościami współczynnika sylwetki.</w:t>
      </w:r>
    </w:p>
    <w:p>
      <w:pPr>
        <w:pStyle w:val="TextBody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Dyskusja: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Standaryzacja i normalizacja danych mają wpływ na wyniki klasteryzacji. W przypadku zbioru Iris standaryzacja pozwoliła na lepsze dopasowanie modeli klasteryzacji do naturalnej struktury danych.</w:t>
      </w:r>
    </w:p>
    <w:p>
      <w:pPr>
        <w:pStyle w:val="Heading3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3.3. Zadanie 3: Grupowanie wydatków klientów hurtowych za pomocą algorytmu DBSCAN</w:t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3.3.1. Wczytanie danych i przygotowanie</w:t>
      </w:r>
    </w:p>
    <w:p>
      <w:pPr>
        <w:pStyle w:val="TextBody"/>
        <w:jc w:val="both"/>
        <w:rPr/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Dane zostały wczytane z pliku </w:t>
      </w:r>
      <w:r>
        <w:rPr>
          <w:rStyle w:val="Emphasis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Wholesale Customers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. Zawierają informacje o wydatkach klientów hurtowych na różne kategorie produktów oraz informacje o kanale sprzedaży i regionie.</w:t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3.3.2. Wykres punktowy 'Milk' vs 'Grocery' różnicowany przez 'Channel'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Wykres pokazał zależność między wydatkami na mleko a wydatkami na artykuły spożywcze, różnicując punkty na podstawie kanału sprzedaży (hotel/ restauracja/ kawiarnia vs detaliści).</w:t>
      </w:r>
    </w:p>
    <w:p>
      <w:pPr>
        <w:pStyle w:val="TextBody"/>
        <w:jc w:val="both"/>
        <w:rPr>
          <w:rStyle w:val="Emphasis"/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432054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3.3.3. Histogram wydatków na mleko na podstawie 'Channel'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Histogram ukazał rozkład wydatków na mleko dla obu kanałów sprzedaży, pozwalając zauważyć różnice w zachowaniach zakupowych.</w:t>
      </w:r>
    </w:p>
    <w:p>
      <w:pPr>
        <w:pStyle w:val="TextBody"/>
        <w:jc w:val="both"/>
        <w:rPr>
          <w:rStyle w:val="Emphasis"/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4320540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3.3.4. Mapa korelacji wydatków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Mapa korelacji między wydatkami na różne kategorie produktów wykazała, które kategorie są ze sobą powiązane. Na przykład, silna korelacja między wydatkami na artykuły spożywcze a detergentami.</w:t>
      </w:r>
    </w:p>
    <w:p>
      <w:pPr>
        <w:pStyle w:val="TextBody"/>
        <w:jc w:val="both"/>
        <w:rPr>
          <w:rStyle w:val="Emphasis"/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4608195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3.3.5. Macierz par zmiennych różnicowanych przez 'Region'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Utworzono macierz par, aby zbadać zależności między wszystkimi parami zmiennych, różnicując punkty na podstawie regionu (Lizbona, Porto, inny).</w:t>
      </w:r>
    </w:p>
    <w:p>
      <w:pPr>
        <w:pStyle w:val="TextBody"/>
        <w:jc w:val="both"/>
        <w:rPr>
          <w:rStyle w:val="Emphasis"/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5575300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3.3.6. Standaryzacja danych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Dane zostały zestandaryzowane (z wyłączeniem kolumn 'Channel' i 'Region'), aby wszystkie cechy miały średnią zero i odchylenie standardowe jeden. Było to konieczne przed zastosowaniem algorytmu DBSCAN.</w:t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3.3.7. Analiza punktów odstających przy użyciu DBSCAN</w:t>
      </w:r>
    </w:p>
    <w:p>
      <w:pPr>
        <w:pStyle w:val="TextBody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/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Przeprowadzono analizę liczby punktów odstających w zależności od wartości parametru epsilon (</w:t>
      </w:r>
      <w:r>
        <w:rPr>
          <w:rStyle w:val="Emphasis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eps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).</w:t>
      </w:r>
    </w:p>
    <w:p>
      <w:pPr>
        <w:pStyle w:val="TextBody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/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Parametr </w:t>
      </w:r>
      <w:r>
        <w:rPr>
          <w:rStyle w:val="Emphasis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eps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 zmieniał się od 0.001 do 3, przy 50 równomiernie rozłożonych wartościach.</w:t>
      </w:r>
    </w:p>
    <w:p>
      <w:pPr>
        <w:pStyle w:val="TextBody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/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Parametr </w:t>
      </w:r>
      <w:r>
        <w:rPr>
          <w:rStyle w:val="Emphasis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min_samples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 ustawiono na dwukrotność liczby cech.</w:t>
      </w:r>
    </w:p>
    <w:p>
      <w:pPr>
        <w:pStyle w:val="TextBody"/>
        <w:numPr>
          <w:ilvl w:val="0"/>
          <w:numId w:val="8"/>
        </w:numPr>
        <w:tabs>
          <w:tab w:val="clear" w:pos="708"/>
          <w:tab w:val="left" w:pos="0" w:leader="none"/>
        </w:tabs>
        <w:ind w:left="709" w:hanging="283"/>
        <w:jc w:val="both"/>
        <w:rPr/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Dla każdej wartości </w:t>
      </w:r>
      <w:r>
        <w:rPr>
          <w:rStyle w:val="Emphasis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eps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 obliczono procent punktów zaklasyfikowanych jako wartości odstające.</w:t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3.3.8. Wykres procenta punktów odstających w funkcji epsilon</w:t>
      </w:r>
    </w:p>
    <w:p>
      <w:pPr>
        <w:pStyle w:val="TextBody"/>
        <w:jc w:val="both"/>
        <w:rPr/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Utworzono wykres liniowy przedstawiający zależność procenta punktów odstających od wartości </w:t>
      </w:r>
      <w:r>
        <w:rPr>
          <w:rStyle w:val="Emphasis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eps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. Wykres pomógł w wyborze optymalnej wartości </w:t>
      </w:r>
      <w:r>
        <w:rPr>
          <w:rStyle w:val="Emphasis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eps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, która balansuje między liczbą klastrów a liczbą punktów odstających.</w:t>
      </w:r>
    </w:p>
    <w:p>
      <w:pPr>
        <w:pStyle w:val="TextBody"/>
        <w:jc w:val="both"/>
        <w:rPr>
          <w:rStyle w:val="Emphasis"/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4320540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3.3.9. Ponowna nauka modelu DBSCAN z odpowiednią wartością epsilon</w:t>
      </w:r>
    </w:p>
    <w:p>
      <w:pPr>
        <w:pStyle w:val="TextBody"/>
        <w:jc w:val="both"/>
        <w:rPr/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Na podstawie wykresu wybrano optymalną wartość </w:t>
      </w:r>
      <w:r>
        <w:rPr>
          <w:rStyle w:val="Emphasis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eps wynoszącą 1,225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 i ponownie przeprowadzono klasteryzację przy użyciu algorytmu DBSCAN.</w:t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3.3.10. Wykresy punktowe z etykietami DBSCAN</w:t>
      </w:r>
    </w:p>
    <w:p>
      <w:pPr>
        <w:pStyle w:val="TextBody"/>
        <w:jc w:val="both"/>
        <w:rPr/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a. </w:t>
      </w: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'Milk' vs 'Grocery'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Wykres przedstawia zależność między wydatkami na mleko a artykuły spożywcze, różnicując punkty na podstawie etykiet nadanych przez algorytm DBSCAN.</w:t>
      </w:r>
    </w:p>
    <w:p>
      <w:pPr>
        <w:pStyle w:val="TextBody"/>
        <w:jc w:val="both"/>
        <w:rPr>
          <w:rStyle w:val="Emphasis"/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4320540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TextBody"/>
        <w:jc w:val="both"/>
        <w:rPr/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b. </w:t>
      </w: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'Milk' vs 'Detergents_Paper'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Podobnie jak wyżej, ale dla wydatków na mleko i artykuły papiernicze/detergenty.</w:t>
      </w:r>
    </w:p>
    <w:p>
      <w:pPr>
        <w:pStyle w:val="TextBody"/>
        <w:jc w:val="both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4320540"/>
            <wp:effectExtent l="0" t="0" r="0" b="0"/>
            <wp:wrapTopAndBottom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3.3.11. Analiza klastrów</w:t>
      </w:r>
    </w:p>
    <w:p>
      <w:pPr>
        <w:pStyle w:val="TextBody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Dodano kolumnę 'Labels' z etykietami klastrów nadanych przez DBSCAN.</w:t>
      </w:r>
    </w:p>
    <w:p>
      <w:pPr>
        <w:pStyle w:val="TextBody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Usunięto kolumny 'Channel' i 'Region', aby skupić się na wydatkach.</w:t>
      </w:r>
    </w:p>
    <w:p>
      <w:pPr>
        <w:pStyle w:val="TextBody"/>
        <w:numPr>
          <w:ilvl w:val="0"/>
          <w:numId w:val="9"/>
        </w:numPr>
        <w:tabs>
          <w:tab w:val="clear" w:pos="708"/>
          <w:tab w:val="left" w:pos="0" w:leader="none"/>
        </w:tabs>
        <w:ind w:left="709" w:hanging="283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Porównano średnie wydatków w klastrach i punktach odstających.</w:t>
      </w:r>
    </w:p>
    <w:p>
      <w:pPr>
        <w:pStyle w:val="Heading4"/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/>
          <w:bCs/>
          <w:i w:val="false"/>
          <w:iCs w:val="false"/>
          <w:sz w:val="24"/>
          <w:szCs w:val="24"/>
          <w:u w:val="none"/>
        </w:rPr>
        <w:t>3.3.12. Identyfikacja kategorii z największymi różnicami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Obliczono wariancję wydatków w poszczególnych kategoriach między klastrami. Kategoria z największą wariancją wskazuje na największe różnice w zachowaniach zakupowych między klastrami.</w:t>
      </w:r>
    </w:p>
    <w:p>
      <w:pPr>
        <w:pStyle w:val="TextBody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Wynik:</w:t>
      </w:r>
    </w:p>
    <w:p>
      <w:pPr>
        <w:pStyle w:val="TextBody"/>
        <w:jc w:val="both"/>
        <w:rPr/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Kategoria wydatków z największymi różnicami między klastrami to </w:t>
      </w: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'Grocery'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.</w:t>
      </w:r>
    </w:p>
    <w:p>
      <w:pPr>
        <w:pStyle w:val="TextBody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Dyskusja: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Analiza wykazała, że wydatki na kategorię 'Grocery' różniły się najbardziej między klastrami, co sugeruje, że ta kategoria jest kluczowa w segmentacji klientów. Może to wskazywać na różne strategie zakupowe lub potrzeby klientów w zależności od klastra</w:t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Heading1"/>
        <w:numPr>
          <w:ilvl w:val="0"/>
          <w:numId w:val="1"/>
        </w:numPr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40"/>
          <w:szCs w:val="40"/>
          <w:u w:val="none"/>
        </w:rPr>
      </w:pPr>
      <w:r>
        <w:rPr>
          <w:rFonts w:cs="Times New Roman" w:ascii="Cantarell" w:hAnsi="Cantarell"/>
          <w:b/>
          <w:bCs/>
          <w:i w:val="false"/>
          <w:iCs w:val="false"/>
          <w:sz w:val="40"/>
          <w:szCs w:val="40"/>
          <w:u w:val="none"/>
        </w:rPr>
        <w:t>Podsumowanie</w:t>
      </w:r>
    </w:p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TextBody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W projekcie zastosowano różne algorytmy klasteryzacji do analizy trzech zbiorów danych:</w:t>
      </w:r>
    </w:p>
    <w:p>
      <w:pPr>
        <w:pStyle w:val="TextBody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Segmentacja obrazu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: Algorytm k-średnich zredukował liczbę kolorów, segmentując obraz na podstawie podobieństwa kolorów. Pozwoliło to na uproszczenie obrazu i może być wykorzystane w kompresji czy analizie obrazów.</w:t>
      </w:r>
    </w:p>
    <w:p>
      <w:pPr>
        <w:pStyle w:val="TextBody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Klasteryzacja irysów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: Zarówno algorytmy hierarchiczne, jak i k-średnich z powodzeniem podzieliły dane na skupienia odpowiadające rzeczywistym gatunkom. Standaryzacja danych poprawiła jakość klasteryzacji.</w:t>
      </w:r>
    </w:p>
    <w:p>
      <w:pPr>
        <w:pStyle w:val="TextBody"/>
        <w:numPr>
          <w:ilvl w:val="0"/>
          <w:numId w:val="3"/>
        </w:numPr>
        <w:tabs>
          <w:tab w:val="clear" w:pos="708"/>
          <w:tab w:val="left" w:pos="0" w:leader="none"/>
        </w:tabs>
        <w:ind w:left="709" w:hanging="283"/>
        <w:jc w:val="both"/>
        <w:rPr/>
      </w:pPr>
      <w:r>
        <w:rPr>
          <w:rStyle w:val="Strong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Grupowanie klientów hurtowych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: Algorytm DBSCAN pozwolił na identyfikację klastrów oraz punktów odstających, ujawniając różnice w wydatkach na różne kategorie produktów. Analiza pokazała, które kategorie wydatków są najbardziej różnicujące dla segmentacji klientów.</w:t>
      </w:r>
    </w:p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Heading1"/>
        <w:numPr>
          <w:ilvl w:val="0"/>
          <w:numId w:val="1"/>
        </w:numPr>
        <w:jc w:val="both"/>
        <w:rPr>
          <w:rFonts w:ascii="Cantarell" w:hAnsi="Cantarell"/>
          <w:b/>
          <w:b/>
          <w:bCs/>
          <w:i w:val="false"/>
          <w:i w:val="false"/>
          <w:iCs w:val="false"/>
          <w:sz w:val="40"/>
          <w:szCs w:val="40"/>
          <w:u w:val="none"/>
        </w:rPr>
      </w:pPr>
      <w:r>
        <w:rPr>
          <w:rFonts w:cs="Times New Roman" w:ascii="Cantarell" w:hAnsi="Cantarell"/>
          <w:b/>
          <w:bCs/>
          <w:i w:val="false"/>
          <w:iCs w:val="false"/>
          <w:sz w:val="40"/>
          <w:szCs w:val="40"/>
          <w:u w:val="none"/>
        </w:rPr>
        <w:t>Bibliografia</w:t>
      </w:r>
    </w:p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TextBody"/>
        <w:numPr>
          <w:ilvl w:val="0"/>
          <w:numId w:val="15"/>
        </w:numPr>
        <w:jc w:val="both"/>
        <w:rPr/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Pexels. (2020). </w:t>
      </w:r>
      <w:r>
        <w:rPr>
          <w:rStyle w:val="Emphasis"/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Silhouette of Palm Trees Near Shoreline</w:t>
      </w: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. Pobrano z https://www.pexels.com/photo/silhouette-of-palm-trees-near-shoreline-461940/</w:t>
      </w:r>
    </w:p>
    <w:p>
      <w:pPr>
        <w:pStyle w:val="TextBody"/>
        <w:numPr>
          <w:ilvl w:val="0"/>
          <w:numId w:val="15"/>
        </w:numPr>
        <w:tabs>
          <w:tab w:val="clear" w:pos="708"/>
          <w:tab w:val="left" w:pos="0" w:leader="none"/>
        </w:tabs>
        <w:spacing w:before="0" w:after="0"/>
        <w:jc w:val="both"/>
        <w:rPr/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Dua, D., &amp; Graff, C. (2019). </w:t>
      </w:r>
      <w:r>
        <w:rPr>
          <w:rStyle w:val="Emphasis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UCI Machine Learning Repository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. Irvine, CA: University of California, School of Information and Computer Science. Dostępne na: </w:t>
      </w:r>
      <w:hyperlink r:id="rId19" w:tgtFrame="_new">
        <w:r>
          <w:rPr>
            <w:rStyle w:val="InternetLink"/>
            <w:rFonts w:ascii="Cantarell" w:hAnsi="Cantarell"/>
            <w:b w:val="false"/>
            <w:bCs w:val="false"/>
            <w:i w:val="false"/>
            <w:iCs w:val="false"/>
            <w:sz w:val="24"/>
            <w:szCs w:val="24"/>
            <w:u w:val="none"/>
          </w:rPr>
          <w:t>http://archive.ics.uci.edu/ml</w:t>
        </w:r>
      </w:hyperlink>
    </w:p>
    <w:p>
      <w:pPr>
        <w:pStyle w:val="TextBody"/>
        <w:numPr>
          <w:ilvl w:val="0"/>
          <w:numId w:val="15"/>
        </w:numPr>
        <w:tabs>
          <w:tab w:val="clear" w:pos="708"/>
          <w:tab w:val="left" w:pos="0" w:leader="none"/>
        </w:tabs>
        <w:spacing w:before="0" w:after="0"/>
        <w:jc w:val="both"/>
        <w:rPr/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Pedregosa, F., Varoquaux, G., Gramfort, A., i in. (2011). Scikit-learn: Machine Learning in Python. </w:t>
      </w:r>
      <w:r>
        <w:rPr>
          <w:rStyle w:val="Emphasis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Journal of Machine Learning Research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, 12, 2825–2830.</w:t>
      </w:r>
    </w:p>
    <w:p>
      <w:pPr>
        <w:pStyle w:val="TextBody"/>
        <w:numPr>
          <w:ilvl w:val="0"/>
          <w:numId w:val="15"/>
        </w:numPr>
        <w:tabs>
          <w:tab w:val="clear" w:pos="708"/>
          <w:tab w:val="left" w:pos="0" w:leader="none"/>
        </w:tabs>
        <w:spacing w:before="0" w:after="0"/>
        <w:jc w:val="both"/>
        <w:rPr/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Hunter, J. D. (2007). Matplotlib: A 2D Graphics Environment. </w:t>
      </w:r>
      <w:r>
        <w:rPr>
          <w:rStyle w:val="Emphasis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Computing in Science &amp; Engineering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, 9(3), 90–95.</w:t>
      </w:r>
    </w:p>
    <w:p>
      <w:pPr>
        <w:pStyle w:val="TextBody"/>
        <w:numPr>
          <w:ilvl w:val="0"/>
          <w:numId w:val="15"/>
        </w:numPr>
        <w:tabs>
          <w:tab w:val="clear" w:pos="708"/>
          <w:tab w:val="left" w:pos="0" w:leader="none"/>
        </w:tabs>
        <w:spacing w:before="0" w:after="0"/>
        <w:jc w:val="both"/>
        <w:rPr/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McKinney, W. (2010). Data Structures for Statistical Computing in Python. </w:t>
      </w:r>
      <w:r>
        <w:rPr>
          <w:rStyle w:val="Emphasis"/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Proceedings of the 9th Python in Science Conference</w:t>
      </w: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, 51–56.</w:t>
      </w:r>
    </w:p>
    <w:p>
      <w:pPr>
        <w:pStyle w:val="TextBody"/>
        <w:numPr>
          <w:ilvl w:val="0"/>
          <w:numId w:val="15"/>
        </w:numPr>
        <w:tabs>
          <w:tab w:val="clear" w:pos="708"/>
          <w:tab w:val="left" w:pos="0" w:leader="none"/>
        </w:tabs>
        <w:spacing w:before="0" w:after="0"/>
        <w:jc w:val="both"/>
        <w:rPr/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Scikit-learn: Machine Learning in Python. Dostępne na: </w:t>
      </w:r>
      <w:hyperlink r:id="rId20" w:tgtFrame="_new">
        <w:r>
          <w:rPr>
            <w:rStyle w:val="InternetLink"/>
            <w:rFonts w:ascii="Cantarell" w:hAnsi="Cantarell"/>
            <w:b w:val="false"/>
            <w:bCs w:val="false"/>
            <w:i w:val="false"/>
            <w:iCs w:val="false"/>
            <w:sz w:val="24"/>
            <w:szCs w:val="24"/>
            <w:u w:val="none"/>
          </w:rPr>
          <w:t>https://scikit-learn.org/</w:t>
        </w:r>
      </w:hyperlink>
    </w:p>
    <w:p>
      <w:pPr>
        <w:pStyle w:val="TextBody"/>
        <w:numPr>
          <w:ilvl w:val="0"/>
          <w:numId w:val="15"/>
        </w:numPr>
        <w:tabs>
          <w:tab w:val="clear" w:pos="708"/>
          <w:tab w:val="left" w:pos="0" w:leader="none"/>
        </w:tabs>
        <w:spacing w:before="0" w:after="0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Seaborn: Statistical Data Visualization. Dostępne na: https://seaborn.pydata.org/</w:t>
      </w:r>
    </w:p>
    <w:p>
      <w:pPr>
        <w:pStyle w:val="TextBody"/>
        <w:numPr>
          <w:ilvl w:val="0"/>
          <w:numId w:val="15"/>
        </w:numPr>
        <w:tabs>
          <w:tab w:val="clear" w:pos="708"/>
          <w:tab w:val="left" w:pos="0" w:leader="none"/>
        </w:tabs>
        <w:jc w:val="both"/>
        <w:rPr/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 xml:space="preserve">OpenCV: Open Source Computer Vision Library. Dostępne na: </w:t>
      </w:r>
      <w:hyperlink r:id="rId21" w:tgtFrame="_new">
        <w:r>
          <w:rPr>
            <w:rStyle w:val="InternetLink"/>
            <w:rFonts w:ascii="Cantarell" w:hAnsi="Cantarell"/>
            <w:b w:val="false"/>
            <w:bCs w:val="false"/>
            <w:i w:val="false"/>
            <w:iCs w:val="false"/>
            <w:sz w:val="24"/>
            <w:szCs w:val="24"/>
            <w:u w:val="none"/>
          </w:rPr>
          <w:t>https://opencv.org/</w:t>
        </w:r>
      </w:hyperlink>
    </w:p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jc w:val="both"/>
        <w:rPr>
          <w:rFonts w:ascii="Cantarell" w:hAnsi="Cantarell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>
          <w:rFonts w:cs="Times New Roman"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</w:r>
    </w:p>
    <w:p>
      <w:pPr>
        <w:pStyle w:val="Normal"/>
        <w:spacing w:before="0" w:after="160"/>
        <w:jc w:val="both"/>
        <w:rPr>
          <w:rFonts w:ascii="Cantarell" w:hAnsi="Cantarell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</w:rPr>
      </w:pPr>
      <w:r>
        <w:rPr/>
      </w:r>
    </w:p>
    <w:sectPr>
      <w:footerReference w:type="default" r:id="rId22"/>
      <w:type w:val="nextPage"/>
      <w:pgSz w:w="11906" w:h="16838"/>
      <w:pgMar w:left="1417" w:right="1417" w:gutter="0" w:header="0" w:top="1417" w:footer="708" w:bottom="1417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ntarell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35035343"/>
    </w:sdtPr>
    <w:sdtContent>
      <w:p>
        <w:pPr>
          <w:pStyle w:val="Footer"/>
          <w:jc w:val="center"/>
          <w:rPr/>
        </w:pPr>
        <w:r>
          <w:rPr>
            <w:rFonts w:cs="Times New Roman" w:ascii="Times New Roman" w:hAnsi="Times New Roman"/>
          </w:rPr>
          <w:fldChar w:fldCharType="begin"/>
        </w:r>
        <w:r>
          <w:rPr>
            <w:rFonts w:cs="Times New Roman" w:ascii="Times New Roman" w:hAnsi="Times New Roman"/>
          </w:rPr>
          <w:instrText xml:space="preserve"> PAGE </w:instrText>
        </w:r>
        <w:r>
          <w:rPr>
            <w:rFonts w:cs="Times New Roman" w:ascii="Times New Roman" w:hAnsi="Times New Roman"/>
          </w:rPr>
          <w:fldChar w:fldCharType="separate"/>
        </w:r>
        <w:r>
          <w:rPr>
            <w:rFonts w:cs="Times New Roman" w:ascii="Times New Roman" w:hAnsi="Times New Roman"/>
          </w:rPr>
          <w:t>20</w:t>
        </w:r>
        <w:r>
          <w:rPr>
            <w:rFonts w:cs="Times New Roman" w:ascii="Times New Roman" w:hAnsi="Times New Roman"/>
          </w:rPr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440"/>
      </w:pPr>
      <w:rPr/>
    </w:lvl>
  </w:abstractNum>
  <w:abstractNum w:abstractNumId="2">
    <w:lvl w:ilvl="0">
      <w:start w:val="1"/>
      <w:numFmt w:val="decimal"/>
      <w:lvlText w:val="2.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l-P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l-PL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paragraph" w:styleId="Heading1">
    <w:name w:val="Heading 1"/>
    <w:basedOn w:val="Normal"/>
    <w:next w:val="Normal"/>
    <w:link w:val="Nagwek1Znak"/>
    <w:uiPriority w:val="9"/>
    <w:qFormat/>
    <w:rsid w:val="00230f07"/>
    <w:pPr>
      <w:keepNext w:val="true"/>
      <w:keepLines/>
      <w:numPr>
        <w:ilvl w:val="0"/>
        <w:numId w:val="1"/>
      </w:numPr>
      <w:spacing w:before="240" w:after="0"/>
      <w:outlineLvl w:val="0"/>
    </w:pPr>
    <w:rPr>
      <w:rFonts w:ascii="Times New Roman" w:hAnsi="Times New Roman" w:eastAsia="" w:cs="" w:cstheme="majorBidi" w:eastAsiaTheme="majorEastAsia"/>
      <w:b/>
      <w:sz w:val="32"/>
      <w:szCs w:val="32"/>
    </w:rPr>
  </w:style>
  <w:style w:type="paragraph" w:styleId="Heading2">
    <w:name w:val="Heading 2"/>
    <w:basedOn w:val="Normal"/>
    <w:next w:val="Normal"/>
    <w:link w:val="Nagwek2Znak"/>
    <w:uiPriority w:val="9"/>
    <w:unhideWhenUsed/>
    <w:qFormat/>
    <w:rsid w:val="00230f07"/>
    <w:pPr>
      <w:keepNext w:val="true"/>
      <w:keepLines/>
      <w:numPr>
        <w:ilvl w:val="0"/>
        <w:numId w:val="2"/>
      </w:numPr>
      <w:spacing w:before="40" w:after="0"/>
      <w:outlineLvl w:val="1"/>
    </w:pPr>
    <w:rPr>
      <w:rFonts w:ascii="Times New Roman" w:hAnsi="Times New Roman" w:eastAsia="" w:cs="" w:cstheme="majorBidi" w:eastAsiaTheme="majorEastAsia"/>
      <w:color w:val="000000" w:themeColor="text1"/>
      <w:sz w:val="24"/>
      <w:szCs w:val="26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DejaVu Sans" w:cs="DejaVu Sans"/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spacing w:before="120" w:after="120"/>
      <w:outlineLvl w:val="3"/>
    </w:pPr>
    <w:rPr>
      <w:rFonts w:ascii="Liberation Serif" w:hAnsi="Liberation Serif" w:eastAsia="DejaVu Sans" w:cs="DejaVu Sans"/>
      <w:b/>
      <w:bCs/>
      <w:sz w:val="24"/>
      <w:szCs w:val="24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Nagwek1Znak" w:customStyle="1">
    <w:name w:val="Nagłówek 1 Znak"/>
    <w:basedOn w:val="DefaultParagraphFont"/>
    <w:link w:val="Heading1"/>
    <w:uiPriority w:val="9"/>
    <w:qFormat/>
    <w:rsid w:val="00230f07"/>
    <w:rPr>
      <w:rFonts w:ascii="Times New Roman" w:hAnsi="Times New Roman" w:eastAsia="" w:cs="" w:cstheme="majorBidi" w:eastAsiaTheme="majorEastAsia"/>
      <w:b/>
      <w:sz w:val="32"/>
      <w:szCs w:val="32"/>
    </w:rPr>
  </w:style>
  <w:style w:type="character" w:styleId="Nagwek2Znak" w:customStyle="1">
    <w:name w:val="Nagłówek 2 Znak"/>
    <w:basedOn w:val="DefaultParagraphFont"/>
    <w:link w:val="Heading2"/>
    <w:uiPriority w:val="9"/>
    <w:qFormat/>
    <w:rsid w:val="00230f07"/>
    <w:rPr>
      <w:rFonts w:ascii="Times New Roman" w:hAnsi="Times New Roman" w:eastAsia="" w:cs="" w:cstheme="majorBidi" w:eastAsiaTheme="majorEastAsia"/>
      <w:color w:val="000000" w:themeColor="text1"/>
      <w:sz w:val="24"/>
      <w:szCs w:val="26"/>
    </w:rPr>
  </w:style>
  <w:style w:type="character" w:styleId="NagwekZnak" w:customStyle="1">
    <w:name w:val="Nagłówek Znak"/>
    <w:basedOn w:val="DefaultParagraphFont"/>
    <w:link w:val="Header"/>
    <w:uiPriority w:val="99"/>
    <w:qFormat/>
    <w:rsid w:val="00b602da"/>
    <w:rPr/>
  </w:style>
  <w:style w:type="character" w:styleId="StopkaZnak" w:customStyle="1">
    <w:name w:val="Stopka Znak"/>
    <w:basedOn w:val="DefaultParagraphFont"/>
    <w:link w:val="Footer"/>
    <w:uiPriority w:val="99"/>
    <w:qFormat/>
    <w:rsid w:val="00b602da"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Emphasis">
    <w:name w:val="Emphasis"/>
    <w:qFormat/>
    <w:rPr>
      <w:i/>
      <w:iCs/>
    </w:rPr>
  </w:style>
  <w:style w:type="character" w:styleId="InternetLink">
    <w:name w:val="Hyperlink"/>
    <w:rPr>
      <w:color w:val="000080"/>
      <w:u w:val="single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230f07"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NagwekZnak"/>
    <w:uiPriority w:val="99"/>
    <w:unhideWhenUsed/>
    <w:rsid w:val="00b602da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opkaZnak"/>
    <w:uiPriority w:val="99"/>
    <w:unhideWhenUsed/>
    <w:rsid w:val="00b602da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Default" w:customStyle="1">
    <w:name w:val="Default"/>
    <w:qFormat/>
    <w:rsid w:val="002e50f8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pl-PL" w:eastAsia="en-US" w:bidi="ar-SA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yperlink" Target="http://archive.ics.uci.edu/ml" TargetMode="External"/><Relationship Id="rId20" Type="http://schemas.openxmlformats.org/officeDocument/2006/relationships/hyperlink" Target="https://scikit-learn.org/" TargetMode="External"/><Relationship Id="rId21" Type="http://schemas.openxmlformats.org/officeDocument/2006/relationships/hyperlink" Target="https://opencv.org/" TargetMode="External"/><Relationship Id="rId22" Type="http://schemas.openxmlformats.org/officeDocument/2006/relationships/footer" Target="footer1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Application>LibreOffice/7.4.7.2$Linux_X86_64 LibreOffice_project/40$Build-2</Application>
  <AppVersion>15.0000</AppVersion>
  <Pages>20</Pages>
  <Words>1573</Words>
  <Characters>10779</Characters>
  <CharactersWithSpaces>12154</CharactersWithSpaces>
  <Paragraphs>150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2024-09-19T11:05:00Z</dcterms:created>
  <dc:creator>Ania</dc:creator>
  <dc:description/>
  <dc:language>en-US</dc:language>
  <cp:lastModifiedBy/>
  <cp:lastPrinted>2022-05-23T19:01:00Z</cp:lastPrinted>
  <dcterms:modified xsi:type="dcterms:W3CDTF">2024-11-30T14:21:12Z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