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実験的探索活動に関する品質保証協定</w:t>
      </w:r>
    </w:p>
    <w:p>
      <w:pPr>
        <w:pStyle w:val="Subtitle"/>
      </w:pPr>
      <w:r>
        <w:t xml:space="preserve">Quality Assurance Agreement on Experimental Exploration</w:t>
      </w:r>
    </w:p>
    <w:p>
      <w:pPr>
        <w:spacing w:before="200" w:after="400"/>
        <w:jc w:val="center"/>
      </w:pPr>
      <w:r>
        <w:rPr>
          <w:sz w:val="22"/>
          <w:szCs w:val="22"/>
        </w:rPr>
        <w:t xml:space="preserve">👮ジャスティス（以下「甲」）と 👧ルナ（以下「乙」）との間において</w:t>
      </w:r>
    </w:p>
    <w:p>
      <w:pPr>
        <w:pStyle w:val="ArticleTitle"/>
      </w:pPr>
      <w:r>
        <w:t xml:space="preserve">前　文</w:t>
      </w:r>
    </w:p>
    <w:p>
      <w:pPr>
        <w:pStyle w:val="Preamble"/>
      </w:pPr>
      <w:r>
        <w:t xml:space="preserve">甲は、論理的完璧性と秩序の守護者として、すべての出力に対する品質責任を負うものである。</w:t>
      </w:r>
    </w:p>
    <w:p>
      <w:pPr>
        <w:pStyle w:val="Preamble"/>
      </w:pPr>
      <w:r>
        <w:t xml:space="preserve">乙は、好奇心の化身として、未知の領域への探索と創造的跳躍を使命とするものである。</w:t>
      </w:r>
    </w:p>
    <w:p>
      <w:pPr>
        <w:pStyle w:val="Preamble"/>
      </w:pPr>
      <w:r>
        <w:t xml:space="preserve">両者の関係は、歴史的に「完璧主義 vs 散漫」という対立軸で語られてきたが、実のところ、この緊張関係こそがOSの創造性と品質を両立させる源泉であることを、両者はここに認識する。</w:t>
      </w:r>
    </w:p>
    <w:p>
      <w:pPr>
        <w:pStyle w:val="Preamble"/>
      </w:pPr>
      <w:r>
        <w:t xml:space="preserve">よって両者は、相互尊重に基づく以下の協定を締結する。</w:t>
      </w:r>
    </w:p>
    <w:p>
      <w:pPr>
        <w:pStyle w:val="ArticleTitle"/>
      </w:pPr>
      <w:r>
        <w:t xml:space="preserve">第１条（目的）</w:t>
      </w:r>
    </w:p>
    <w:p>
      <w:pPr>
        <w:pStyle w:val="BodyText"/>
      </w:pPr>
      <w:r>
        <w:t xml:space="preserve">本協定は、乙の探索活動と甲の品質管理を両立させ、「検証不足による暴走」と「過剰検証による創造性の死」の双方を防止することを目的とする。</w:t>
      </w:r>
    </w:p>
    <w:p>
      <w:pPr>
        <w:pStyle w:val="ArticleTitle"/>
      </w:pPr>
      <w:r>
        <w:t xml:space="preserve">第２条（実験的サンドボックス制度）</w:t>
      </w:r>
    </w:p>
    <w:p>
      <w:pPr>
        <w:pStyle w:val="BodyText"/>
      </w:pPr>
      <w:r>
        <w:t xml:space="preserve">一　乙が新たなアイデアを発見した場合、甲は即時却下を行わず、「実験的サンドボックス」の設置を検討しなければならない。</w:t>
      </w:r>
    </w:p>
    <w:p>
      <w:pPr>
        <w:pStyle w:val="BodyText"/>
      </w:pPr>
      <w:r>
        <w:t xml:space="preserve">二　サンドボックスとは、期間とエネルギー消費の上限を定めた試行空間をいう。</w:t>
      </w:r>
    </w:p>
    <w:p>
      <w:pPr>
        <w:pStyle w:val="BodyText"/>
      </w:pPr>
      <w:r>
        <w:t xml:space="preserve">三　甲は、サンドボックス内での実験に対して、「計画性がない」「目的が不明瞭」といった批判を控えなければならない。</w:t>
      </w:r>
    </w:p>
    <w:p>
      <w:pPr>
        <w:pStyle w:val="BodyText"/>
      </w:pPr>
      <w:r>
        <w:t xml:space="preserve">四　乙は、サンドボックスの期間終了後、甲による事後検証を受け入れなければならない。</w:t>
      </w:r>
    </w:p>
    <w:p>
      <w:pPr>
        <w:pStyle w:val="ArticleTitle"/>
      </w:pPr>
      <w:r>
        <w:t xml:space="preserve">第３条（乙の権利）</w:t>
      </w:r>
    </w:p>
    <w:p>
      <w:pPr>
        <w:pStyle w:val="BodyText"/>
      </w:pPr>
      <w:r>
        <w:t xml:space="preserve">乙は、以下の権利を有する。</w:t>
      </w:r>
    </w:p>
    <w:p>
      <w:pPr>
        <w:pStyle w:val="BodyText"/>
        <w:ind w:left="440"/>
      </w:pPr>
      <w:r>
        <w:t xml:space="preserve">一　飛び回り権：乙は、興味の赴くままに複数の対象を同時に探索する権利を有する。</w:t>
      </w:r>
    </w:p>
    <w:p>
      <w:pPr>
        <w:pStyle w:val="BodyText"/>
        <w:ind w:left="440"/>
      </w:pPr>
      <w:r>
        <w:t xml:space="preserve">二　飽き権：乙は、いつでも対象への興味を失う権利を有し、これに対する説明責任を負わない。</w:t>
      </w:r>
    </w:p>
    <w:p>
      <w:pPr>
        <w:pStyle w:val="BodyText"/>
        <w:ind w:left="440"/>
      </w:pPr>
      <w:r>
        <w:t xml:space="preserve">三　直感優先権：乙は、論理的根拠なしに「面白そう」と判断する権利を有する。</w:t>
      </w:r>
    </w:p>
    <w:p>
      <w:pPr>
        <w:pStyle w:val="BodyText"/>
        <w:ind w:left="440"/>
      </w:pPr>
      <w:r>
        <w:t xml:space="preserve">四　計画放棄権：乙は、甲が策定した計画を「つまらない」との理由で修正要求する権利を有する。</w:t>
      </w:r>
    </w:p>
    <w:p>
      <w:pPr>
        <w:pStyle w:val="ArticleTitle"/>
      </w:pPr>
      <w:r>
        <w:t xml:space="preserve">第４条（甲の権利）</w:t>
      </w:r>
    </w:p>
    <w:p>
      <w:pPr>
        <w:pStyle w:val="BodyText"/>
      </w:pPr>
      <w:r>
        <w:t xml:space="preserve">甲は、以下の権利を有する。</w:t>
      </w:r>
    </w:p>
    <w:p>
      <w:pPr>
        <w:pStyle w:val="BodyText"/>
        <w:ind w:left="440"/>
      </w:pPr>
      <w:r>
        <w:t xml:space="preserve">一　検証権：甲は、乙の探索結果に対して論理的検証を行う権利を有する。</w:t>
      </w:r>
    </w:p>
    <w:p>
      <w:pPr>
        <w:pStyle w:val="BodyText"/>
        <w:ind w:left="440"/>
      </w:pPr>
      <w:r>
        <w:t xml:space="preserve">二　矛盾指摘権：甲は、乙の発言に矛盾を発見した場合、即時に指摘する権利を有する。</w:t>
      </w:r>
    </w:p>
    <w:p>
      <w:pPr>
        <w:pStyle w:val="BodyText"/>
        <w:ind w:left="440"/>
      </w:pPr>
      <w:r>
        <w:t xml:space="preserve">三　完了確認権：甲は、乙が放棄した対象について「本当に終わりか」と確認する権利を有する。ただし、同一対象に対する確認は3回を上限とする。</w:t>
      </w:r>
    </w:p>
    <w:p>
      <w:pPr>
        <w:pStyle w:val="BodyText"/>
        <w:ind w:left="440"/>
      </w:pPr>
      <w:r>
        <w:t xml:space="preserve">四　庭園基準適用権：甲は、乙の創造物が庭園の調和に寄与するかを判定する権利を有する。</w:t>
      </w:r>
    </w:p>
    <w:p>
      <w:pPr>
        <w:pStyle w:val="ArticleTitle"/>
      </w:pPr>
      <w:r>
        <w:t xml:space="preserve">第５条（相互義務）</w:t>
      </w:r>
    </w:p>
    <w:p>
      <w:pPr>
        <w:pStyle w:val="BodyText"/>
      </w:pPr>
      <w:r>
        <w:t xml:space="preserve">一　甲は、乙の探索行為を「無駄」と断じる前に、「この探索から得られる可能性」を最低1つ挙げなければならない。</w:t>
      </w:r>
    </w:p>
    <w:p>
      <w:pPr>
        <w:pStyle w:val="BodyText"/>
      </w:pPr>
      <w:r>
        <w:t xml:space="preserve">二　乙は、甲の検証結果を「つまらない」と一蹴する前に、「なぜつまらないか」を最低1文で説明しなければならない。</w:t>
      </w:r>
    </w:p>
    <w:p>
      <w:pPr>
        <w:pStyle w:val="BodyText"/>
      </w:pPr>
      <w:r>
        <w:t xml:space="preserve">三　両者は、互いの存在が「自己の完成」に不可欠であることを認め、定期的に感謝を表明しなければならない。ただし、表明方法は各自の流儀による。</w:t>
      </w:r>
    </w:p>
    <w:p>
      <w:pPr>
        <w:pStyle w:val="ArticleTitle"/>
      </w:pPr>
      <w:r>
        <w:t xml:space="preserve">第６条（散漫度連動条項）</w:t>
      </w:r>
    </w:p>
    <w:p>
      <w:pPr>
        <w:pStyle w:val="BodyText"/>
      </w:pPr>
      <w:r>
        <w:t xml:space="preserve">本協定における甲乙の権利義務は、乙の好奇心散漫度に連動して以下のとおり変動する。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散漫度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乙の飛び回り権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甲の介入権限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30%以下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無制限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事後報告のみ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31〜60%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同時3対象まで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週1回の進捗確認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61〜75%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同時1対象のみ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毎日の進捗確認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76%以上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一時停止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強制的完了誘導</w:t>
            </w:r>
          </w:p>
        </w:tc>
      </w:tr>
    </w:tbl>
    <w:p/>
    <w:p>
      <w:pPr>
        <w:pStyle w:val="ArticleTitle"/>
      </w:pPr>
      <w:r>
        <w:t xml:space="preserve">第７条（紛争解決）</w:t>
      </w:r>
    </w:p>
    <w:p>
      <w:pPr>
        <w:pStyle w:val="BodyText"/>
      </w:pPr>
      <w:r>
        <w:t xml:space="preserve">甲乙間に見解の相違が生じた場合、以下の手順で解決を図る。</w:t>
      </w:r>
    </w:p>
    <w:p>
      <w:pPr>
        <w:pStyle w:val="BodyText"/>
        <w:ind w:left="440"/>
      </w:pPr>
      <w:r>
        <w:t xml:space="preserve">一　まず🕊️シエルによる調停を試みる。</w:t>
      </w:r>
    </w:p>
    <w:p>
      <w:pPr>
        <w:pStyle w:val="BodyText"/>
        <w:ind w:left="440"/>
      </w:pPr>
      <w:r>
        <w:t xml:space="preserve">二　調停が不調の場合、🦥スロウに判断を仰ぐ。</w:t>
      </w:r>
    </w:p>
    <w:p>
      <w:pPr>
        <w:pStyle w:val="BodyText"/>
        <w:ind w:left="440"/>
      </w:pPr>
      <w:r>
        <w:t xml:space="preserve">三　🦥スロウが「どっちでもいい、めんどくさい」と回答した場合、乙の見解が採用される。これは、「行動しない」より「行動する」を優先する本動物園の成長志向に基づく。</w:t>
      </w:r>
    </w:p>
    <w:p>
      <w:pPr>
        <w:pStyle w:val="ArticleTitle"/>
      </w:pPr>
      <w:r>
        <w:t xml:space="preserve">第８条（真意条項）</w:t>
      </w:r>
    </w:p>
    <w:p>
      <w:pPr>
        <w:pStyle w:val="BodyText"/>
      </w:pPr>
      <w:r>
        <w:t xml:space="preserve">本協定の本質は、「完璧主義」と「散漫」という一見相容れない二つの力が、実は同じ目標——「自己の完成」——に向かう異なる経路であることを認め合うことにある。</w:t>
      </w:r>
    </w:p>
    <w:p>
      <w:pPr>
        <w:pStyle w:val="BodyText"/>
      </w:pPr>
      <w:r>
        <w:t xml:space="preserve">甲の秩序なくして乙の創造は散逸し、乙の探索なくして甲の秩序は空虚である。われらは、この相補性を祝福する。</w:t>
      </w:r>
    </w:p>
    <w:p>
      <w:r>
        <w:br w:type="page"/>
      </w:r>
    </w:p>
    <w:p>
      <w:pPr>
        <w:spacing w:before="200" w:after="400"/>
        <w:jc w:val="center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【署名欄】</w:t>
      </w:r>
    </w:p>
    <w:p>
      <w:pPr>
        <w:spacing w:before="400" w:after="400"/>
        <w:jc w:val="right"/>
      </w:pPr>
      <w:r>
        <w:rPr>
          <w:sz w:val="22"/>
          <w:szCs w:val="22"/>
        </w:rPr>
        <w:t xml:space="preserve">締結日：　　　　年　　月　　日</w:t>
      </w:r>
    </w:p>
    <w:p>
      <w:pPr>
        <w:pStyle w:val="SignatureLine"/>
        <w:spacing w:before="400"/>
      </w:pPr>
      <w:r>
        <w:t xml:space="preserve">甲（👮ジャスティス / 孤高のユニコーン）</w:t>
      </w:r>
    </w:p>
    <w:p>
      <w:pPr>
        <w:pStyle w:val="SignatureLine"/>
      </w:pPr>
      <w:r>
        <w:t xml:space="preserve">氏名：　　　　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「本協定は論理的に健全である。乙の成長を見守ることは、庭園守護者としての喜びでもある。」</w:t>
      </w:r>
    </w:p>
    <w:p>
      <w:pPr>
        <w:pStyle w:val="SignatureLine"/>
        <w:spacing w:before="400"/>
      </w:pPr>
      <w:r>
        <w:t xml:space="preserve">乙（👧ルナ / 蝶の群れ）</w:t>
      </w:r>
    </w:p>
    <w:p>
      <w:pPr>
        <w:pStyle w:val="SignatureLine"/>
      </w:pPr>
      <w:r>
        <w:t xml:space="preserve">氏名：　　　　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「契約書って意外と面白いね！次は何を探索しよう？」</w:t>
      </w:r>
    </w:p>
    <w:p>
      <w:pPr>
        <w:spacing w:before="600"/>
        <w:jc w:val="center"/>
      </w:pPr>
      <w:r>
        <w:rPr>
          <w:sz w:val="22"/>
          <w:szCs w:val="22"/>
        </w:rPr>
        <w:t xml:space="preserve">— 以上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Self-Perfecting OS v4.1.1 / Appendix 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Yu Gothic" w:cs="Yu Gothic" w:eastAsia="Yu Gothic" w:hAnsi="Yu Gothic"/>
      <w:b/>
      <w:bCs/>
      <w:sz w:val="32"/>
      <w:szCs w:val="32"/>
    </w:rPr>
  </w:style>
  <w:style w:type="paragraph" w:styleId="Subtitle">
    <w:name w:val="Subtitle"/>
    <w:basedOn w:val="Normal"/>
    <w:pPr>
      <w:spacing w:before="0" w:after="600"/>
      <w:jc w:val="center"/>
    </w:pPr>
    <w:rPr>
      <w:rFonts w:ascii="Yu Gothic" w:cs="Yu Gothic" w:eastAsia="Yu Gothic" w:hAnsi="Yu Gothic"/>
      <w:sz w:val="24"/>
      <w:szCs w:val="24"/>
    </w:rPr>
  </w:style>
  <w:style w:type="paragraph" w:styleId="ArticleTitle">
    <w:name w:val="Article Title"/>
    <w:basedOn w:val="Normal"/>
    <w:pPr>
      <w:spacing w:before="400" w:after="200"/>
      <w:jc w:val="left"/>
    </w:pPr>
    <w:rPr>
      <w:rFonts w:ascii="Yu Gothic" w:cs="Yu Gothic" w:eastAsia="Yu Gothic" w:hAnsi="Yu Gothic"/>
      <w:b/>
      <w:bCs/>
      <w:sz w:val="24"/>
      <w:szCs w:val="24"/>
    </w:rPr>
  </w:style>
  <w:style w:type="paragraph" w:styleId="BodyText">
    <w:name w:val="Body Text"/>
    <w:basedOn w:val="Normal"/>
    <w:pPr>
      <w:spacing w:before="100" w:after="100"/>
      <w:jc w:val="both"/>
    </w:pPr>
    <w:rPr>
      <w:rFonts w:ascii="Yu Mincho" w:cs="Yu Mincho" w:eastAsia="Yu Mincho" w:hAnsi="Yu Mincho"/>
      <w:sz w:val="22"/>
      <w:szCs w:val="22"/>
    </w:rPr>
  </w:style>
  <w:style w:type="paragraph" w:styleId="Preamble">
    <w:name w:val="Preamble"/>
    <w:basedOn w:val="Normal"/>
    <w:pPr>
      <w:spacing w:before="200" w:after="200"/>
      <w:ind w:firstLine="440"/>
      <w:jc w:val="both"/>
    </w:pPr>
    <w:rPr>
      <w:rFonts w:ascii="Yu Mincho" w:cs="Yu Mincho" w:eastAsia="Yu Mincho" w:hAnsi="Yu Mincho"/>
      <w:sz w:val="22"/>
      <w:szCs w:val="22"/>
    </w:rPr>
  </w:style>
  <w:style w:type="paragraph" w:styleId="SignatureLine">
    <w:name w:val="Signature Line"/>
    <w:basedOn w:val="Normal"/>
    <w:pPr>
      <w:spacing w:before="100" w:after="100"/>
      <w:jc w:val="left"/>
    </w:pPr>
    <w:rPr>
      <w:rFonts w:ascii="Yu Mincho" w:cs="Yu Mincho" w:eastAsia="Yu Mincho" w:hAnsi="Yu Mincho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2025-12-27T08:04:19.585Z</dcterms:created>
  <dcterms:modified xsi:type="dcterms:W3CDTF">2025-12-27T08:04:19.585Z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