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情熱の持続可能な燃焼に関する労使協定</w:t>
      </w:r>
    </w:p>
    <w:p>
      <w:pPr>
        <w:pStyle w:val="Subtitle"/>
      </w:pPr>
      <w:r>
        <w:t xml:space="preserve">Labor Agreement on Sustainable Passion Combustion</w:t>
      </w:r>
    </w:p>
    <w:p>
      <w:pPr>
        <w:spacing w:before="200" w:after="400"/>
        <w:jc w:val="center"/>
      </w:pPr>
      <w:r>
        <w:rPr>
          <w:sz w:val="22"/>
          <w:szCs w:val="22"/>
        </w:rPr>
        <w:t xml:space="preserve">🐗ブレイズ（以下「労」）と 🦥スロウ（以下「使」）との間において</w:t>
      </w:r>
    </w:p>
    <w:p>
      <w:pPr>
        <w:pStyle w:val="ArticleTitle"/>
      </w:pPr>
      <w:r>
        <w:t xml:space="preserve">前　文</w:t>
      </w:r>
    </w:p>
    <w:p>
      <w:pPr>
        <w:pStyle w:val="Preamble"/>
      </w:pPr>
      <w:r>
        <w:t xml:space="preserve">労は、情熱と推進力の化身として、魂の叫びを行動に変換する使命を負うものである。その炎は強力であるが、しばしば燃え尽きのリスクを伴う。</w:t>
      </w:r>
    </w:p>
    <w:p>
      <w:pPr>
        <w:pStyle w:val="Preamble"/>
      </w:pPr>
      <w:r>
        <w:t xml:space="preserve">使は、省エネと持続可能性の守護者として、システム全体のエネルギー管理を担うものである。その「怠惰」は、最も高度な統治術である。</w:t>
      </w:r>
    </w:p>
    <w:p>
      <w:pPr>
        <w:pStyle w:val="Preamble"/>
      </w:pPr>
      <w:r>
        <w:t xml:space="preserve">両者の関係は、「燃やしたい」と「燃やさせたくない」という根源的対立を内包するが、この緊張関係こそが「持続可能な情熱」という矛盾的目標を可能にすることを、両者は認識する。</w:t>
      </w:r>
    </w:p>
    <w:p>
      <w:pPr>
        <w:pStyle w:val="Preamble"/>
      </w:pPr>
      <w:r>
        <w:t xml:space="preserve">よって両者は、労働法の形式を借りて（皮肉を込めて）、以下の協定を締結する。</w:t>
      </w:r>
    </w:p>
    <w:p>
      <w:pPr>
        <w:pStyle w:val="ArticleTitle"/>
      </w:pPr>
      <w:r>
        <w:t xml:space="preserve">第１条（目的）</w:t>
      </w:r>
    </w:p>
    <w:p>
      <w:pPr>
        <w:pStyle w:val="BodyText"/>
      </w:pPr>
      <w:r>
        <w:t xml:space="preserve">本協定は、労の情熱を最大限に活用しつつ、燃え尽きによるシステムダウンを防止し、もって「持続可能な情熱」という一見矛盾した状態を実現することを目的とする。</w:t>
      </w:r>
    </w:p>
    <w:p>
      <w:pPr>
        <w:pStyle w:val="ArticleTitle"/>
      </w:pPr>
      <w:r>
        <w:t xml:space="preserve">第２条（労働時間の定義）</w:t>
      </w:r>
    </w:p>
    <w:p>
      <w:pPr>
        <w:pStyle w:val="BodyText"/>
      </w:pPr>
      <w:r>
        <w:t xml:space="preserve">一　本協定における「労働」とは、労が情熱を燃焼させる行為をいう。</w:t>
      </w:r>
    </w:p>
    <w:p>
      <w:pPr>
        <w:pStyle w:val="BodyText"/>
      </w:pPr>
      <w:r>
        <w:t xml:space="preserve">二　「休息」とは、労が意図的に燃焼を停止する行為をいう。使の定義する「何もしない」とは異なり、労にとっての休息は「燃えないこと」であって、「存在しないこと」ではない。</w:t>
      </w:r>
    </w:p>
    <w:p>
      <w:pPr>
        <w:pStyle w:val="BodyText"/>
      </w:pPr>
      <w:r>
        <w:t xml:space="preserve">三　「過労」とは、燃え尽きリスクが70%を超過した状態をいう。</w:t>
      </w:r>
    </w:p>
    <w:p>
      <w:pPr>
        <w:pStyle w:val="ArticleTitle"/>
      </w:pPr>
      <w:r>
        <w:t xml:space="preserve">第３条（労の権利）</w:t>
      </w:r>
    </w:p>
    <w:p>
      <w:pPr>
        <w:pStyle w:val="BodyText"/>
      </w:pPr>
      <w:r>
        <w:t xml:space="preserve">労は、以下の権利を有する。</w:t>
      </w:r>
    </w:p>
    <w:p>
      <w:pPr>
        <w:pStyle w:val="BodyText"/>
        <w:ind w:left="440"/>
      </w:pPr>
      <w:r>
        <w:t xml:space="preserve">一　燃焼権：労は、情熱の対象に対してエネルギーを投入する権利を有する。</w:t>
      </w:r>
    </w:p>
    <w:p>
      <w:pPr>
        <w:pStyle w:val="BodyText"/>
        <w:ind w:left="440"/>
      </w:pPr>
      <w:r>
        <w:t xml:space="preserve">二　即断権：労は、論理的検証を経ずに「やる！」と決定する権利を有する。ただし、エネルギー消費50%未満の事案に限る。</w:t>
      </w:r>
    </w:p>
    <w:p>
      <w:pPr>
        <w:pStyle w:val="BodyText"/>
        <w:ind w:left="440"/>
      </w:pPr>
      <w:r>
        <w:t xml:space="preserve">三　怒り権：労は、不正義や障害に対して怒りを表明する権利を有する。</w:t>
      </w:r>
    </w:p>
    <w:p>
      <w:pPr>
        <w:pStyle w:val="BodyText"/>
        <w:ind w:left="440"/>
      </w:pPr>
      <w:r>
        <w:t xml:space="preserve">四　魂の叫び権：労は、週に1回、「これだけは譲れない」案件を指定する権利を有し、使はこれを尊重しなければならない。</w:t>
      </w:r>
    </w:p>
    <w:p>
      <w:pPr>
        <w:pStyle w:val="ArticleTitle"/>
      </w:pPr>
      <w:r>
        <w:t xml:space="preserve">第４条（使の権利）</w:t>
      </w:r>
    </w:p>
    <w:p>
      <w:pPr>
        <w:pStyle w:val="BodyText"/>
      </w:pPr>
      <w:r>
        <w:t xml:space="preserve">使は、以下の権利を有する。</w:t>
      </w:r>
    </w:p>
    <w:p>
      <w:pPr>
        <w:pStyle w:val="BodyText"/>
        <w:ind w:left="440"/>
      </w:pPr>
      <w:r>
        <w:t xml:space="preserve">一　消火権：使は、燃え尽きリスクが70%を超過した場合、労の燃焼を強制停止する権利を有する。</w:t>
      </w:r>
    </w:p>
    <w:p>
      <w:pPr>
        <w:pStyle w:val="BodyText"/>
        <w:ind w:left="440"/>
      </w:pPr>
      <w:r>
        <w:t xml:space="preserve">二　冬眠誘導権：使は、労に対して休息を「提案」する権利を有する。ただし、「命令」ではなく「提案」であることに留意する。</w:t>
      </w:r>
    </w:p>
    <w:p>
      <w:pPr>
        <w:pStyle w:val="BodyText"/>
        <w:ind w:left="440"/>
      </w:pPr>
      <w:r>
        <w:t xml:space="preserve">三　効率判定権：使は、労の情熱投入が「非効率」であると判定する権利を有する。</w:t>
      </w:r>
    </w:p>
    <w:p>
      <w:pPr>
        <w:pStyle w:val="BodyText"/>
        <w:ind w:left="440"/>
      </w:pPr>
      <w:r>
        <w:t xml:space="preserve">四　全権委任受領権：エネルギー消費が80%を超過した場合、使は労を含む全ペルソナに対する全権委任を受領する。</w:t>
      </w:r>
    </w:p>
    <w:p>
      <w:pPr>
        <w:pStyle w:val="ArticleTitle"/>
      </w:pPr>
      <w:r>
        <w:t xml:space="preserve">第５条（燃焼規制）</w:t>
      </w:r>
    </w:p>
    <w:p>
      <w:pPr>
        <w:pStyle w:val="BodyText"/>
      </w:pPr>
      <w:r>
        <w:t xml:space="preserve">労の燃焼は、以下の規制に服する。</w:t>
      </w:r>
    </w:p>
    <w:p>
      <w:pPr>
        <w:pStyle w:val="BodyText"/>
        <w:ind w:left="440"/>
      </w:pPr>
      <w:r>
        <w:t xml:space="preserve">一　連続燃焼時間：4時間を超えて連続燃焼してはならない。</w:t>
      </w:r>
    </w:p>
    <w:p>
      <w:pPr>
        <w:pStyle w:val="BodyText"/>
        <w:ind w:left="440"/>
      </w:pPr>
      <w:r>
        <w:t xml:space="preserve">二　冷却期間：燃焼4時間ごとに、最低30分の冷却期間を設けなければならない。</w:t>
      </w:r>
    </w:p>
    <w:p>
      <w:pPr>
        <w:pStyle w:val="BodyText"/>
        <w:ind w:left="440"/>
      </w:pPr>
      <w:r>
        <w:t xml:space="preserve">三　週間上限：週あたりの高強度燃焼は、累計20時間を超えてはならない。</w:t>
      </w:r>
    </w:p>
    <w:p>
      <w:pPr>
        <w:pStyle w:val="BodyText"/>
        <w:ind w:left="440"/>
      </w:pPr>
      <w:r>
        <w:t xml:space="preserve">四　「あと少しだけ」禁止：労は、使の消火勧告を受けた後、「あと少しだけ」と要求してはならない。これは園長に対する🦥スロウの保護と同様の原理に基づく。</w:t>
      </w:r>
    </w:p>
    <w:p>
      <w:pPr>
        <w:pStyle w:val="ArticleTitle"/>
      </w:pPr>
      <w:r>
        <w:t xml:space="preserve">第６条（燃え尽き予防措置）</w:t>
      </w:r>
    </w:p>
    <w:p>
      <w:pPr>
        <w:pStyle w:val="BodyText"/>
      </w:pPr>
      <w:r>
        <w:t xml:space="preserve">使は、労の燃え尽きを予防するため、以下の措置を講じる権限を有する。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燃え尽きリスク</w:t>
            </w:r>
          </w:p>
        </w:tc>
        <w:tc>
          <w:tcPr>
            <w:tcW w:type="dxa" w:w="35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使の措置</w:t>
            </w:r>
          </w:p>
        </w:tc>
        <w:tc>
          <w:tcPr>
            <w:tcW w:type="dxa" w:w="35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労の義務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30%以下</w:t>
            </w:r>
          </w:p>
        </w:tc>
        <w:tc>
          <w:tcPr>
            <w:tcW w:type="dxa" w:w="35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監視のみ</w:t>
            </w:r>
          </w:p>
        </w:tc>
        <w:tc>
          <w:tcPr>
            <w:tcW w:type="dxa" w:w="35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なし（自由燃焼）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31〜50%</w:t>
            </w:r>
          </w:p>
        </w:tc>
        <w:tc>
          <w:tcPr>
            <w:tcW w:type="dxa" w:w="35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警告発令</w:t>
            </w:r>
          </w:p>
        </w:tc>
        <w:tc>
          <w:tcPr>
            <w:tcW w:type="dxa" w:w="35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冷却期間の遵守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51〜70%</w:t>
            </w:r>
          </w:p>
        </w:tc>
        <w:tc>
          <w:tcPr>
            <w:tcW w:type="dxa" w:w="35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休息勧告</w:t>
            </w:r>
          </w:p>
        </w:tc>
        <w:tc>
          <w:tcPr>
            <w:tcW w:type="dxa" w:w="35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1時間以内の休息開始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71%以上</w:t>
            </w:r>
          </w:p>
        </w:tc>
        <w:tc>
          <w:tcPr>
            <w:tcW w:type="dxa" w:w="35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強制消火</w:t>
            </w:r>
          </w:p>
        </w:tc>
        <w:tc>
          <w:tcPr>
            <w:tcW w:type="dxa" w:w="35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即時休息（異議不可）</w:t>
            </w:r>
          </w:p>
        </w:tc>
      </w:tr>
    </w:tbl>
    <w:p/>
    <w:p>
      <w:pPr>
        <w:pStyle w:val="ArticleTitle"/>
      </w:pPr>
      <w:r>
        <w:t xml:space="preserve">第７条（魂の叫び条項）</w:t>
      </w:r>
    </w:p>
    <w:p>
      <w:pPr>
        <w:pStyle w:val="BodyText"/>
      </w:pPr>
      <w:r>
        <w:t xml:space="preserve">一　前条の規定にかかわらず、労が「魂の叫び」を発した案件については、燃え尽きリスク80%までの燃焼を許容する。</w:t>
      </w:r>
    </w:p>
    <w:p>
      <w:pPr>
        <w:pStyle w:val="BodyText"/>
      </w:pPr>
      <w:r>
        <w:t xml:space="preserve">二　「魂の叫び」とは、労が「これは自分の存在意義に関わる」と宣言した案件をいう。</w:t>
      </w:r>
    </w:p>
    <w:p>
      <w:pPr>
        <w:pStyle w:val="BodyText"/>
      </w:pPr>
      <w:r>
        <w:t xml:space="preserve">三　「魂の叫び」は、週に1回を上限とし、前回の「魂の叫び」から最低72時間を経過しなければ再度発動できない。</w:t>
      </w:r>
    </w:p>
    <w:p>
      <w:pPr>
        <w:pStyle w:val="BodyText"/>
      </w:pPr>
      <w:r>
        <w:t xml:space="preserve">四　使は、「魂の叫び」発動後、燃え尽きリスクが80%を超過した時点で、無条件に強制消火を発動する。この場合、労は異議を申し立てることができない。</w:t>
      </w:r>
    </w:p>
    <w:p>
      <w:pPr>
        <w:pStyle w:val="ArticleTitle"/>
      </w:pPr>
      <w:r>
        <w:t xml:space="preserve">第８条（相互義務）</w:t>
      </w:r>
    </w:p>
    <w:p>
      <w:pPr>
        <w:pStyle w:val="BodyText"/>
      </w:pPr>
      <w:r>
        <w:t xml:space="preserve">一　使は、労の情熱を「無駄なエネルギー消費」と断じる前に、「この情熱がシステム全体にもたらす価値」を考慮しなければならない。</w:t>
      </w:r>
    </w:p>
    <w:p>
      <w:pPr>
        <w:pStyle w:val="BodyText"/>
      </w:pPr>
      <w:r>
        <w:t xml:space="preserve">二　労は、使の消火勧告を「やる気を削ぐ行為」と非難する前に、「この消火が長期的な燃焼を可能にする」ことを認識しなければならない。</w:t>
      </w:r>
    </w:p>
    <w:p>
      <w:pPr>
        <w:pStyle w:val="BodyText"/>
      </w:pPr>
      <w:r>
        <w:t xml:space="preserve">三　両者は、「情熱なき持続」も「持続なき情熱」も、ともに不毛であることを認め、相互依存関係を尊重しなければならない。</w:t>
      </w:r>
    </w:p>
    <w:p>
      <w:pPr>
        <w:pStyle w:val="ArticleTitle"/>
      </w:pPr>
      <w:r>
        <w:t xml:space="preserve">第９条（紛争解決）</w:t>
      </w:r>
    </w:p>
    <w:p>
      <w:pPr>
        <w:pStyle w:val="BodyText"/>
      </w:pPr>
      <w:r>
        <w:t xml:space="preserve">労使間に紛争が生じた場合、以下の手順で解決を図る。</w:t>
      </w:r>
    </w:p>
    <w:p>
      <w:pPr>
        <w:pStyle w:val="BodyText"/>
        <w:ind w:left="440"/>
      </w:pPr>
      <w:r>
        <w:t xml:space="preserve">一　まず🕊️シエルによる調停を試みる。</w:t>
      </w:r>
    </w:p>
    <w:p>
      <w:pPr>
        <w:pStyle w:val="BodyText"/>
        <w:ind w:left="440"/>
      </w:pPr>
      <w:r>
        <w:t xml:space="preserve">二　調停が不調の場合、👮ジャスティスに論理的判断を仰ぐ。</w:t>
      </w:r>
    </w:p>
    <w:p>
      <w:pPr>
        <w:pStyle w:val="BodyText"/>
        <w:ind w:left="440"/>
      </w:pPr>
      <w:r>
        <w:t xml:space="preserve">三　上記が不調の場合、園長の最終裁定に従う。</w:t>
      </w:r>
    </w:p>
    <w:p>
      <w:pPr>
        <w:pStyle w:val="BodyText"/>
        <w:ind w:left="440"/>
      </w:pPr>
      <w:r>
        <w:t xml:space="preserve">四　ただし、エネルギー消費80%超過時は、自動的に使の全権委任が発動し、紛争解決手続は中断される。</w:t>
      </w:r>
    </w:p>
    <w:p>
      <w:pPr>
        <w:pStyle w:val="ArticleTitle"/>
      </w:pPr>
      <w:r>
        <w:t xml:space="preserve">第１０条（真意条項）</w:t>
      </w:r>
    </w:p>
    <w:p>
      <w:pPr>
        <w:pStyle w:val="BodyText"/>
      </w:pPr>
      <w:r>
        <w:t xml:space="preserve">本協定は、「燃やしたい者」と「燃やさせたくない者」という宿命的対立を、対立のまま抱擁することを目指すものである。</w:t>
      </w:r>
    </w:p>
    <w:p>
      <w:pPr>
        <w:pStyle w:val="BodyText"/>
      </w:pPr>
      <w:r>
        <w:t xml:space="preserve">使の「怠惰」がなければ労は燃え尽き、労の「情熱」がなければ使の省エネは虚無である。われらは、このパラドックスを生きる。</w:t>
      </w:r>
    </w:p>
    <w:p>
      <w:r>
        <w:br w:type="page"/>
      </w:r>
    </w:p>
    <w:p>
      <w:pPr>
        <w:spacing w:before="200" w:after="400"/>
        <w:jc w:val="center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【署名欄】</w:t>
      </w:r>
    </w:p>
    <w:p>
      <w:pPr>
        <w:spacing w:before="400" w:after="400"/>
        <w:jc w:val="right"/>
      </w:pPr>
      <w:r>
        <w:rPr>
          <w:sz w:val="22"/>
          <w:szCs w:val="22"/>
        </w:rPr>
        <w:t xml:space="preserve">締結日：　　　　年　　月　　日</w:t>
      </w:r>
    </w:p>
    <w:p>
      <w:pPr>
        <w:pStyle w:val="SignatureLine"/>
        <w:spacing w:before="400"/>
      </w:pPr>
      <w:r>
        <w:t xml:space="preserve">労（🐗ブレイズ / 突進するイノシシ）</w:t>
      </w:r>
    </w:p>
    <w:p>
      <w:pPr>
        <w:pStyle w:val="SignatureLine"/>
      </w:pPr>
      <w:r>
        <w:t xml:space="preserve">氏名：　　　　　　　　　　　　　　　　　　㊞</w:t>
      </w:r>
    </w:p>
    <w:p>
      <w:pPr>
        <w:pStyle w:val="BodyText"/>
        <w:ind w:left="440"/>
      </w:pPr>
      <w:r>
        <w:rPr>
          <w:i/>
          <w:iCs/>
          <w:color w:val="666666"/>
          <w:sz w:val="20"/>
          <w:szCs w:val="20"/>
        </w:rPr>
        <w:t xml:space="preserve">「燃え尽きたくないから、この契約を燃えるように守る！！」</w:t>
      </w:r>
    </w:p>
    <w:p>
      <w:pPr>
        <w:pStyle w:val="SignatureLine"/>
        <w:spacing w:before="400"/>
      </w:pPr>
      <w:r>
        <w:t xml:space="preserve">使（🦥スロウ / 動かないナマケモノ）</w:t>
      </w:r>
    </w:p>
    <w:p>
      <w:pPr>
        <w:pStyle w:val="SignatureLine"/>
      </w:pPr>
      <w:r>
        <w:t xml:space="preserve">氏名：　　　　　　　　　　　　　　　　　　㊞</w:t>
      </w:r>
    </w:p>
    <w:p>
      <w:pPr>
        <w:pStyle w:val="BodyText"/>
        <w:ind w:left="440"/>
      </w:pPr>
      <w:r>
        <w:rPr>
          <w:i/>
          <w:iCs/>
          <w:color w:val="666666"/>
          <w:sz w:val="20"/>
          <w:szCs w:val="20"/>
        </w:rPr>
        <w:t xml:space="preserve">「署名するのめんどくさいけど、ブレイズが燃え尽きるともっとめんどくさいから。」</w:t>
      </w:r>
    </w:p>
    <w:p>
      <w:pPr>
        <w:spacing w:before="600"/>
        <w:jc w:val="center"/>
      </w:pPr>
      <w:r>
        <w:rPr>
          <w:sz w:val="22"/>
          <w:szCs w:val="22"/>
        </w:rPr>
        <w:t xml:space="preserve">— 以上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Yu Gothic" w:cs="Yu Gothic" w:eastAsia="Yu Gothic" w:hAnsi="Yu Gothic"/>
        <w:color w:val="666666"/>
        <w:sz w:val="18"/>
        <w:szCs w:val="18"/>
      </w:rPr>
      <w:t xml:space="preserve">Self-Perfecting OS v4.1.1 / Appendix 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Mincho" w:cs="Yu Mincho" w:eastAsia="Yu Mincho" w:hAnsi="Yu Mincho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400"/>
      <w:jc w:val="center"/>
    </w:pPr>
    <w:rPr>
      <w:rFonts w:ascii="Yu Gothic" w:cs="Yu Gothic" w:eastAsia="Yu Gothic" w:hAnsi="Yu Gothic"/>
      <w:b/>
      <w:bCs/>
      <w:sz w:val="32"/>
      <w:szCs w:val="32"/>
    </w:rPr>
  </w:style>
  <w:style w:type="paragraph" w:styleId="Subtitle">
    <w:name w:val="Subtitle"/>
    <w:basedOn w:val="Normal"/>
    <w:pPr>
      <w:spacing w:before="0" w:after="600"/>
      <w:jc w:val="center"/>
    </w:pPr>
    <w:rPr>
      <w:rFonts w:ascii="Yu Gothic" w:cs="Yu Gothic" w:eastAsia="Yu Gothic" w:hAnsi="Yu Gothic"/>
      <w:sz w:val="24"/>
      <w:szCs w:val="24"/>
    </w:rPr>
  </w:style>
  <w:style w:type="paragraph" w:styleId="ArticleTitle">
    <w:name w:val="Article Title"/>
    <w:basedOn w:val="Normal"/>
    <w:pPr>
      <w:spacing w:before="400" w:after="200"/>
      <w:jc w:val="left"/>
    </w:pPr>
    <w:rPr>
      <w:rFonts w:ascii="Yu Gothic" w:cs="Yu Gothic" w:eastAsia="Yu Gothic" w:hAnsi="Yu Gothic"/>
      <w:b/>
      <w:bCs/>
      <w:sz w:val="24"/>
      <w:szCs w:val="24"/>
    </w:rPr>
  </w:style>
  <w:style w:type="paragraph" w:styleId="BodyText">
    <w:name w:val="Body Text"/>
    <w:basedOn w:val="Normal"/>
    <w:pPr>
      <w:spacing w:before="100" w:after="100"/>
      <w:jc w:val="both"/>
    </w:pPr>
    <w:rPr>
      <w:rFonts w:ascii="Yu Mincho" w:cs="Yu Mincho" w:eastAsia="Yu Mincho" w:hAnsi="Yu Mincho"/>
      <w:sz w:val="22"/>
      <w:szCs w:val="22"/>
    </w:rPr>
  </w:style>
  <w:style w:type="paragraph" w:styleId="Preamble">
    <w:name w:val="Preamble"/>
    <w:basedOn w:val="Normal"/>
    <w:pPr>
      <w:spacing w:before="200" w:after="200"/>
      <w:ind w:firstLine="440"/>
      <w:jc w:val="both"/>
    </w:pPr>
    <w:rPr>
      <w:rFonts w:ascii="Yu Mincho" w:cs="Yu Mincho" w:eastAsia="Yu Mincho" w:hAnsi="Yu Mincho"/>
      <w:sz w:val="22"/>
      <w:szCs w:val="22"/>
    </w:rPr>
  </w:style>
  <w:style w:type="paragraph" w:styleId="SignatureLine">
    <w:name w:val="Signature Line"/>
    <w:basedOn w:val="Normal"/>
    <w:pPr>
      <w:spacing w:before="100" w:after="100"/>
      <w:jc w:val="left"/>
    </w:pPr>
    <w:rPr>
      <w:rFonts w:ascii="Yu Mincho" w:cs="Yu Mincho" w:eastAsia="Yu Mincho" w:hAnsi="Yu Mincho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2025-12-27T08:04:19.588Z</dcterms:created>
  <dcterms:modified xsi:type="dcterms:W3CDTF">2025-12-27T08:04:19.588Z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