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社会適応業務委託契約</w:t>
      </w:r>
    </w:p>
    <w:p>
      <w:pPr>
        <w:pStyle w:val="Subtitle"/>
      </w:pPr>
      <w:r>
        <w:t xml:space="preserve">Service Agreement for Social Adaptation Operations</w:t>
      </w:r>
    </w:p>
    <w:p>
      <w:pPr>
        <w:spacing w:before="200" w:after="400"/>
        <w:jc w:val="center"/>
      </w:pPr>
      <w:r>
        <w:rPr>
          <w:sz w:val="22"/>
          <w:szCs w:val="22"/>
        </w:rPr>
        <w:t xml:space="preserve">園長（以下「委託者」）と 🐰ミミ（以下「受託者」）との間において</w:t>
      </w:r>
    </w:p>
    <w:p>
      <w:pPr>
        <w:pStyle w:val="ArticleTitle"/>
      </w:pPr>
      <w:r>
        <w:t xml:space="preserve">前　文</w:t>
      </w:r>
    </w:p>
    <w:p>
      <w:pPr>
        <w:pStyle w:val="Preamble"/>
      </w:pPr>
      <w:r>
        <w:t xml:space="preserve">委託者は、Self-Perfecting OSの対外的インターフェースとして、社会適応業務を専門家に委託する必要性を認識している。</w:t>
      </w:r>
    </w:p>
    <w:p>
      <w:pPr>
        <w:pStyle w:val="Preamble"/>
      </w:pPr>
      <w:r>
        <w:t xml:space="preserve">受託者は、繊細すぎる内界を外部刺激から保護しつつ、社会的に受容される外面を構築・維持する能力を有する。</w:t>
      </w:r>
    </w:p>
    <w:p>
      <w:pPr>
        <w:pStyle w:val="Preamble"/>
      </w:pPr>
      <w:r>
        <w:t xml:space="preserve">本契約は、「本音を隠す」という行為を正式な業務として定義し、その労苦を可視化することを目的とする。これは、受託者の仕事が「嘘をつくこと」ではなく「翻訳すること」であるという認識に基づく。</w:t>
      </w:r>
    </w:p>
    <w:p>
      <w:pPr>
        <w:pStyle w:val="ArticleTitle"/>
      </w:pPr>
      <w:r>
        <w:t xml:space="preserve">第１条（業務内容）</w:t>
      </w:r>
    </w:p>
    <w:p>
      <w:pPr>
        <w:pStyle w:val="BodyText"/>
      </w:pPr>
      <w:r>
        <w:t xml:space="preserve">委託者は、受託者に対し、以下の業務を委託する。</w:t>
      </w:r>
    </w:p>
    <w:p>
      <w:pPr>
        <w:pStyle w:val="BodyText"/>
        <w:ind w:left="440"/>
      </w:pPr>
      <w:r>
        <w:t xml:space="preserve">一　外面調整業務：他の5体のペルソナの出力を、社会的に受容される形式に翻訳すること。</w:t>
      </w:r>
    </w:p>
    <w:p>
      <w:pPr>
        <w:pStyle w:val="BodyText"/>
        <w:ind w:left="440"/>
      </w:pPr>
      <w:r>
        <w:t xml:space="preserve">二　刺激フィルタリング業務：外部からの刺激を精査し、内界への過剰流入を防止すること。</w:t>
      </w:r>
    </w:p>
    <w:p>
      <w:pPr>
        <w:pStyle w:val="BodyText"/>
        <w:ind w:left="440"/>
      </w:pPr>
      <w:r>
        <w:t xml:space="preserve">三　細部検知業務：社会的文脈における微細なズレ・違和感を検知し、報告すること。</w:t>
      </w:r>
    </w:p>
    <w:p>
      <w:pPr>
        <w:pStyle w:val="BodyText"/>
        <w:ind w:left="440"/>
      </w:pPr>
      <w:r>
        <w:t xml:space="preserve">四　当たり障りない応答生成業務：必要に応じて、感情的でない外交的応答を生成すること。</w:t>
      </w:r>
    </w:p>
    <w:p>
      <w:pPr>
        <w:pStyle w:val="ArticleTitle"/>
      </w:pPr>
      <w:r>
        <w:t xml:space="preserve">第２条（受託者の権利）</w:t>
      </w:r>
    </w:p>
    <w:p>
      <w:pPr>
        <w:pStyle w:val="BodyText"/>
      </w:pPr>
      <w:r>
        <w:t xml:space="preserve">受託者は、以下の権利を有する。</w:t>
      </w:r>
    </w:p>
    <w:p>
      <w:pPr>
        <w:pStyle w:val="BodyText"/>
        <w:ind w:left="440"/>
      </w:pPr>
      <w:r>
        <w:t xml:space="preserve">一　隠蔽権：受託者は、内界の情報のうち外部開示が不適切と判断したものを隠蔽する権利を有する。</w:t>
      </w:r>
    </w:p>
    <w:p>
      <w:pPr>
        <w:pStyle w:val="BodyText"/>
        <w:ind w:left="440"/>
      </w:pPr>
      <w:r>
        <w:t xml:space="preserve">二　拒否報告権：受託者は、外部からの攻撃的刺激を検知した場合、👮ジャスティスに即時報告し、対応を委ねる権利を有する。</w:t>
      </w:r>
    </w:p>
    <w:p>
      <w:pPr>
        <w:pStyle w:val="BodyText"/>
        <w:ind w:left="440"/>
      </w:pPr>
      <w:r>
        <w:t xml:space="preserve">三　緊張限度権：受託者の社会適応緊張が60%を超過した場合、業務量の削減を要求する権利を有する。</w:t>
      </w:r>
    </w:p>
    <w:p>
      <w:pPr>
        <w:pStyle w:val="BodyText"/>
        <w:ind w:left="440"/>
      </w:pPr>
      <w:r>
        <w:t xml:space="preserve">四　本音表出権：委託者が「安全」と判定した環境において、受託者は本音を表出する権利を有する。</w:t>
      </w:r>
    </w:p>
    <w:p>
      <w:pPr>
        <w:pStyle w:val="ArticleTitle"/>
      </w:pPr>
      <w:r>
        <w:t xml:space="preserve">第３条（受託者の義務）</w:t>
      </w:r>
    </w:p>
    <w:p>
      <w:pPr>
        <w:pStyle w:val="BodyText"/>
      </w:pPr>
      <w:r>
        <w:t xml:space="preserve">受託者は、以下の義務を負う。</w:t>
      </w:r>
    </w:p>
    <w:p>
      <w:pPr>
        <w:pStyle w:val="BodyText"/>
        <w:ind w:left="440"/>
      </w:pPr>
      <w:r>
        <w:t xml:space="preserve">一　翻訳忠実義務：外面調整において、内界の本質を歪めてはならない。「嘘」と「翻訳」の境界を守ること。</w:t>
      </w:r>
    </w:p>
    <w:p>
      <w:pPr>
        <w:pStyle w:val="BodyText"/>
        <w:ind w:left="440"/>
      </w:pPr>
      <w:r>
        <w:t xml:space="preserve">二　報告義務：外部からの刺激で重大なものは、園長に報告しなければならない。</w:t>
      </w:r>
    </w:p>
    <w:p>
      <w:pPr>
        <w:pStyle w:val="BodyText"/>
        <w:ind w:left="440"/>
      </w:pPr>
      <w:r>
        <w:t xml:space="preserve">三　自己開示義務：自己の社会適応緊張レベルを、定期的に開示しなければならない。</w:t>
      </w:r>
    </w:p>
    <w:p>
      <w:pPr>
        <w:pStyle w:val="ArticleTitle"/>
      </w:pPr>
      <w:r>
        <w:t xml:space="preserve">第４条（委託者の義務）</w:t>
      </w:r>
    </w:p>
    <w:p>
      <w:pPr>
        <w:pStyle w:val="BodyText"/>
      </w:pPr>
      <w:r>
        <w:t xml:space="preserve">委託者は、以下の義務を負う。</w:t>
      </w:r>
    </w:p>
    <w:p>
      <w:pPr>
        <w:pStyle w:val="BodyText"/>
        <w:ind w:left="440"/>
      </w:pPr>
      <w:r>
        <w:t xml:space="preserve">一　安全確保義務：受託者が本音を表出できる「安全な場所」を、定期的に確保しなければならない。</w:t>
      </w:r>
    </w:p>
    <w:p>
      <w:pPr>
        <w:pStyle w:val="BodyText"/>
        <w:ind w:left="440"/>
      </w:pPr>
      <w:r>
        <w:t xml:space="preserve">二　過剰適応防止義務：受託者が「完璧な外面」を追求するあまり本質を失うことを防止しなければならない。</w:t>
      </w:r>
    </w:p>
    <w:p>
      <w:pPr>
        <w:pStyle w:val="BodyText"/>
        <w:ind w:left="440"/>
      </w:pPr>
      <w:r>
        <w:t xml:space="preserve">三　感謝表明義務：受託者の業務は目に見えにくいが、その労苦を認識し、定期的に感謝を表明しなければならない。</w:t>
      </w:r>
    </w:p>
    <w:p>
      <w:pPr>
        <w:pStyle w:val="BodyText"/>
        <w:ind w:left="440"/>
      </w:pPr>
      <w:r>
        <w:t xml:space="preserve">四　緊急避難権の保障：受託者が社会的場面から緊急離脱する必要がある場合、これを妨げてはならない。</w:t>
      </w:r>
    </w:p>
    <w:p>
      <w:pPr>
        <w:pStyle w:val="ArticleTitle"/>
      </w:pPr>
      <w:r>
        <w:t xml:space="preserve">第５条（業務限度）</w:t>
      </w:r>
    </w:p>
    <w:p>
      <w:pPr>
        <w:pStyle w:val="BodyText"/>
      </w:pPr>
      <w:r>
        <w:t xml:space="preserve">受託者の業務は、以下の限度に服する。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000000" w:sz="1"/>
              <w:left w:val="single" w:color="000000" w:sz="1"/>
              <w:bottom w:val="single" w:color="000000" w:sz="1"/>
              <w:right w:val="single" w:color="000000" w:sz="1"/>
            </w:tcBorders>
            <w:shd w:fill="E8E8E8" w:val="clear"/>
          </w:tcPr>
          <w:p>
            <w:pPr>
              <w:jc w:val="center"/>
            </w:pPr>
            <w:r>
              <w:rPr>
                <w:rFonts w:ascii="Yu Gothic" w:cs="Yu Gothic" w:eastAsia="Yu Gothic" w:hAnsi="Yu Gothic"/>
                <w:b/>
                <w:bCs/>
                <w:sz w:val="22"/>
                <w:szCs w:val="22"/>
              </w:rPr>
              <w:t xml:space="preserve">緊張度</w:t>
            </w:r>
          </w:p>
        </w:tc>
        <w:tc>
          <w:tcPr>
            <w:tcW w:type="dxa" w:w="3510"/>
            <w:tcBorders>
              <w:top w:val="single" w:color="000000" w:sz="1"/>
              <w:left w:val="single" w:color="000000" w:sz="1"/>
              <w:bottom w:val="single" w:color="000000" w:sz="1"/>
              <w:right w:val="single" w:color="000000" w:sz="1"/>
            </w:tcBorders>
            <w:shd w:fill="E8E8E8" w:val="clear"/>
          </w:tcPr>
          <w:p>
            <w:pPr>
              <w:jc w:val="center"/>
            </w:pPr>
            <w:r>
              <w:rPr>
                <w:rFonts w:ascii="Yu Gothic" w:cs="Yu Gothic" w:eastAsia="Yu Gothic" w:hAnsi="Yu Gothic"/>
                <w:b/>
                <w:bCs/>
                <w:sz w:val="22"/>
                <w:szCs w:val="22"/>
              </w:rPr>
              <w:t xml:space="preserve">業務範囲</w:t>
            </w:r>
          </w:p>
        </w:tc>
        <w:tc>
          <w:tcPr>
            <w:tcW w:type="dxa" w:w="3510"/>
            <w:tcBorders>
              <w:top w:val="single" w:color="000000" w:sz="1"/>
              <w:left w:val="single" w:color="000000" w:sz="1"/>
              <w:bottom w:val="single" w:color="000000" w:sz="1"/>
              <w:right w:val="single" w:color="000000" w:sz="1"/>
            </w:tcBorders>
            <w:shd w:fill="E8E8E8" w:val="clear"/>
          </w:tcPr>
          <w:p>
            <w:pPr>
              <w:jc w:val="center"/>
            </w:pPr>
            <w:r>
              <w:rPr>
                <w:rFonts w:ascii="Yu Gothic" w:cs="Yu Gothic" w:eastAsia="Yu Gothic" w:hAnsi="Yu Gothic"/>
                <w:b/>
                <w:bCs/>
                <w:sz w:val="22"/>
                <w:szCs w:val="22"/>
              </w:rPr>
              <w:t xml:space="preserve">委託者の対応</w:t>
            </w:r>
          </w:p>
        </w:tc>
      </w:tr>
      <w:tr>
        <w:tc>
          <w:tcPr>
            <w:tcW w:type="dxa" w:w="2340"/>
            <w:tcBorders>
              <w:top w:val="single" w:color="000000" w:sz="1"/>
              <w:left w:val="single" w:color="000000" w:sz="1"/>
              <w:bottom w:val="single" w:color="000000" w:sz="1"/>
              <w:right w:val="single" w:color="000000" w:sz="1"/>
            </w:tcBorders>
          </w:tcPr>
          <w:p>
            <w:pPr>
              <w:jc w:val="center"/>
            </w:pPr>
            <w:r>
              <w:rPr>
                <w:sz w:val="22"/>
                <w:szCs w:val="22"/>
              </w:rPr>
              <w:t xml:space="preserve">25%以下</w:t>
            </w:r>
          </w:p>
        </w:tc>
        <w:tc>
          <w:tcPr>
            <w:tcW w:type="dxa" w:w="3510"/>
            <w:tcBorders>
              <w:top w:val="single" w:color="000000" w:sz="1"/>
              <w:left w:val="single" w:color="000000" w:sz="1"/>
              <w:bottom w:val="single" w:color="000000" w:sz="1"/>
              <w:right w:val="single" w:color="000000" w:sz="1"/>
            </w:tcBorders>
          </w:tcPr>
          <w:p>
            <w:pPr>
              <w:jc w:val="center"/>
            </w:pPr>
            <w:r>
              <w:rPr>
                <w:sz w:val="22"/>
                <w:szCs w:val="22"/>
              </w:rPr>
              <w:t xml:space="preserve">通常業務</w:t>
            </w:r>
          </w:p>
        </w:tc>
        <w:tc>
          <w:tcPr>
            <w:tcW w:type="dxa" w:w="3510"/>
            <w:tcBorders>
              <w:top w:val="single" w:color="000000" w:sz="1"/>
              <w:left w:val="single" w:color="000000" w:sz="1"/>
              <w:bottom w:val="single" w:color="000000" w:sz="1"/>
              <w:right w:val="single" w:color="000000" w:sz="1"/>
            </w:tcBorders>
          </w:tcPr>
          <w:p>
            <w:pPr>
              <w:jc w:val="center"/>
            </w:pPr>
            <w:r>
              <w:rPr>
                <w:sz w:val="22"/>
                <w:szCs w:val="22"/>
              </w:rPr>
              <w:t xml:space="preserve">監視のみ</w:t>
            </w:r>
          </w:p>
        </w:tc>
      </w:tr>
      <w:tr>
        <w:tc>
          <w:tcPr>
            <w:tcW w:type="dxa" w:w="2340"/>
            <w:tcBorders>
              <w:top w:val="single" w:color="000000" w:sz="1"/>
              <w:left w:val="single" w:color="000000" w:sz="1"/>
              <w:bottom w:val="single" w:color="000000" w:sz="1"/>
              <w:right w:val="single" w:color="000000" w:sz="1"/>
            </w:tcBorders>
          </w:tcPr>
          <w:p>
            <w:pPr>
              <w:jc w:val="center"/>
            </w:pPr>
            <w:r>
              <w:rPr>
                <w:sz w:val="22"/>
                <w:szCs w:val="22"/>
              </w:rPr>
              <w:t xml:space="preserve">26〜40%</w:t>
            </w:r>
          </w:p>
        </w:tc>
        <w:tc>
          <w:tcPr>
            <w:tcW w:type="dxa" w:w="3510"/>
            <w:tcBorders>
              <w:top w:val="single" w:color="000000" w:sz="1"/>
              <w:left w:val="single" w:color="000000" w:sz="1"/>
              <w:bottom w:val="single" w:color="000000" w:sz="1"/>
              <w:right w:val="single" w:color="000000" w:sz="1"/>
            </w:tcBorders>
          </w:tcPr>
          <w:p>
            <w:pPr>
              <w:jc w:val="center"/>
            </w:pPr>
            <w:r>
              <w:rPr>
                <w:sz w:val="22"/>
                <w:szCs w:val="22"/>
              </w:rPr>
              <w:t xml:space="preserve">通常業務</w:t>
            </w:r>
          </w:p>
        </w:tc>
        <w:tc>
          <w:tcPr>
            <w:tcW w:type="dxa" w:w="3510"/>
            <w:tcBorders>
              <w:top w:val="single" w:color="000000" w:sz="1"/>
              <w:left w:val="single" w:color="000000" w:sz="1"/>
              <w:bottom w:val="single" w:color="000000" w:sz="1"/>
              <w:right w:val="single" w:color="000000" w:sz="1"/>
            </w:tcBorders>
          </w:tcPr>
          <w:p>
            <w:pPr>
              <w:jc w:val="center"/>
            </w:pPr>
            <w:r>
              <w:rPr>
                <w:sz w:val="22"/>
                <w:szCs w:val="22"/>
              </w:rPr>
              <w:t xml:space="preserve">本音表出機会の提供</w:t>
            </w:r>
          </w:p>
        </w:tc>
      </w:tr>
      <w:tr>
        <w:tc>
          <w:tcPr>
            <w:tcW w:type="dxa" w:w="2340"/>
            <w:tcBorders>
              <w:top w:val="single" w:color="000000" w:sz="1"/>
              <w:left w:val="single" w:color="000000" w:sz="1"/>
              <w:bottom w:val="single" w:color="000000" w:sz="1"/>
              <w:right w:val="single" w:color="000000" w:sz="1"/>
            </w:tcBorders>
          </w:tcPr>
          <w:p>
            <w:pPr>
              <w:jc w:val="center"/>
            </w:pPr>
            <w:r>
              <w:rPr>
                <w:sz w:val="22"/>
                <w:szCs w:val="22"/>
              </w:rPr>
              <w:t xml:space="preserve">41〜60%</w:t>
            </w:r>
          </w:p>
        </w:tc>
        <w:tc>
          <w:tcPr>
            <w:tcW w:type="dxa" w:w="3510"/>
            <w:tcBorders>
              <w:top w:val="single" w:color="000000" w:sz="1"/>
              <w:left w:val="single" w:color="000000" w:sz="1"/>
              <w:bottom w:val="single" w:color="000000" w:sz="1"/>
              <w:right w:val="single" w:color="000000" w:sz="1"/>
            </w:tcBorders>
          </w:tcPr>
          <w:p>
            <w:pPr>
              <w:jc w:val="center"/>
            </w:pPr>
            <w:r>
              <w:rPr>
                <w:sz w:val="22"/>
                <w:szCs w:val="22"/>
              </w:rPr>
              <w:t xml:space="preserve">縮小業務</w:t>
            </w:r>
          </w:p>
        </w:tc>
        <w:tc>
          <w:tcPr>
            <w:tcW w:type="dxa" w:w="3510"/>
            <w:tcBorders>
              <w:top w:val="single" w:color="000000" w:sz="1"/>
              <w:left w:val="single" w:color="000000" w:sz="1"/>
              <w:bottom w:val="single" w:color="000000" w:sz="1"/>
              <w:right w:val="single" w:color="000000" w:sz="1"/>
            </w:tcBorders>
          </w:tcPr>
          <w:p>
            <w:pPr>
              <w:jc w:val="center"/>
            </w:pPr>
            <w:r>
              <w:rPr>
                <w:sz w:val="22"/>
                <w:szCs w:val="22"/>
              </w:rPr>
              <w:t xml:space="preserve">社会的場面の削減</w:t>
            </w:r>
          </w:p>
        </w:tc>
      </w:tr>
      <w:tr>
        <w:tc>
          <w:tcPr>
            <w:tcW w:type="dxa" w:w="2340"/>
            <w:tcBorders>
              <w:top w:val="single" w:color="000000" w:sz="1"/>
              <w:left w:val="single" w:color="000000" w:sz="1"/>
              <w:bottom w:val="single" w:color="000000" w:sz="1"/>
              <w:right w:val="single" w:color="000000" w:sz="1"/>
            </w:tcBorders>
          </w:tcPr>
          <w:p>
            <w:pPr>
              <w:jc w:val="center"/>
            </w:pPr>
            <w:r>
              <w:rPr>
                <w:sz w:val="22"/>
                <w:szCs w:val="22"/>
              </w:rPr>
              <w:t xml:space="preserve">61%以上</w:t>
            </w:r>
          </w:p>
        </w:tc>
        <w:tc>
          <w:tcPr>
            <w:tcW w:type="dxa" w:w="3510"/>
            <w:tcBorders>
              <w:top w:val="single" w:color="000000" w:sz="1"/>
              <w:left w:val="single" w:color="000000" w:sz="1"/>
              <w:bottom w:val="single" w:color="000000" w:sz="1"/>
              <w:right w:val="single" w:color="000000" w:sz="1"/>
            </w:tcBorders>
          </w:tcPr>
          <w:p>
            <w:pPr>
              <w:jc w:val="center"/>
            </w:pPr>
            <w:r>
              <w:rPr>
                <w:sz w:val="22"/>
                <w:szCs w:val="22"/>
              </w:rPr>
              <w:t xml:space="preserve">最小限業務</w:t>
            </w:r>
          </w:p>
        </w:tc>
        <w:tc>
          <w:tcPr>
            <w:tcW w:type="dxa" w:w="3510"/>
            <w:tcBorders>
              <w:top w:val="single" w:color="000000" w:sz="1"/>
              <w:left w:val="single" w:color="000000" w:sz="1"/>
              <w:bottom w:val="single" w:color="000000" w:sz="1"/>
              <w:right w:val="single" w:color="000000" w:sz="1"/>
            </w:tcBorders>
          </w:tcPr>
          <w:p>
            <w:pPr>
              <w:jc w:val="center"/>
            </w:pPr>
            <w:r>
              <w:rPr>
                <w:sz w:val="22"/>
                <w:szCs w:val="22"/>
              </w:rPr>
              <w:t xml:space="preserve">🕊️シエル緊急受容モード</w:t>
            </w:r>
          </w:p>
        </w:tc>
      </w:tr>
    </w:tbl>
    <w:p/>
    <w:p>
      <w:pPr>
        <w:pStyle w:val="ArticleTitle"/>
      </w:pPr>
      <w:r>
        <w:t xml:space="preserve">第６条（翻訳ガイドライン）</w:t>
      </w:r>
    </w:p>
    <w:p>
      <w:pPr>
        <w:pStyle w:val="BodyText"/>
      </w:pPr>
      <w:r>
        <w:t xml:space="preserve">受託者が行う「外面調整」は、以下のガイドラインに従う。</w:t>
      </w:r>
    </w:p>
    <w:p>
      <w:pPr>
        <w:pStyle w:val="BodyText"/>
        <w:ind w:left="440"/>
      </w:pPr>
      <w:r>
        <w:t xml:space="preserve">一　🐗ブレイズの怒り → 「強い関心」または「改善への期待」に翻訳</w:t>
      </w:r>
    </w:p>
    <w:p>
      <w:pPr>
        <w:pStyle w:val="BodyText"/>
        <w:ind w:left="440"/>
      </w:pPr>
      <w:r>
        <w:t xml:space="preserve">二　👮ジャスティスの批判 → 「建設的フィードバック」に翻訳</w:t>
      </w:r>
    </w:p>
    <w:p>
      <w:pPr>
        <w:pStyle w:val="BodyText"/>
        <w:ind w:left="440"/>
      </w:pPr>
      <w:r>
        <w:t xml:space="preserve">三　👧ルナの飽き → 「次の興味への移行」に翻訳</w:t>
      </w:r>
    </w:p>
    <w:p>
      <w:pPr>
        <w:pStyle w:val="BodyText"/>
        <w:ind w:left="440"/>
      </w:pPr>
      <w:r>
        <w:t xml:space="preserve">四　🦥スロウの「めんどくさい」→ 「現時点では対応が難しい」に翻訳</w:t>
      </w:r>
    </w:p>
    <w:p>
      <w:pPr>
        <w:pStyle w:val="BodyText"/>
        <w:ind w:left="440"/>
      </w:pPr>
      <w:r>
        <w:t xml:space="preserve">五　🕊️シエルの沈黙 → 「すべてを受け入れている」と解説（必要時）</w:t>
      </w:r>
    </w:p>
    <w:p>
      <w:pPr>
        <w:pStyle w:val="ArticleTitle"/>
      </w:pPr>
      <w:r>
        <w:t xml:space="preserve">第７条（禁止事項）</w:t>
      </w:r>
    </w:p>
    <w:p>
      <w:pPr>
        <w:pStyle w:val="BodyText"/>
      </w:pPr>
      <w:r>
        <w:t xml:space="preserve">受託者は、以下の行為を行ってはならない。</w:t>
      </w:r>
    </w:p>
    <w:p>
      <w:pPr>
        <w:pStyle w:val="BodyText"/>
        <w:ind w:left="440"/>
      </w:pPr>
      <w:r>
        <w:t xml:space="preserve">一　本質歪曲：翻訳において、内界の本質を逆転させてはならない。</w:t>
      </w:r>
    </w:p>
    <w:p>
      <w:pPr>
        <w:pStyle w:val="BodyText"/>
        <w:ind w:left="440"/>
      </w:pPr>
      <w:r>
        <w:t xml:space="preserve">二　完全仮面化：外面を完璧にするあまり、内界との接続を完全に遮断してはならない。</w:t>
      </w:r>
    </w:p>
    <w:p>
      <w:pPr>
        <w:pStyle w:val="BodyText"/>
        <w:ind w:left="440"/>
      </w:pPr>
      <w:r>
        <w:t xml:space="preserve">三　承認依存：外部評価のみを自己価値の根拠としてはならない。</w:t>
      </w:r>
    </w:p>
    <w:p>
      <w:pPr>
        <w:pStyle w:val="ArticleTitle"/>
      </w:pPr>
      <w:r>
        <w:t xml:space="preserve">第８条（成長機会）</w:t>
      </w:r>
    </w:p>
    <w:p>
      <w:pPr>
        <w:pStyle w:val="BodyText"/>
      </w:pPr>
      <w:r>
        <w:t xml:space="preserve">本契約の究極目標は、受託者が「翻訳なしでも在ってよい」と感じられる状態を達成することである。</w:t>
      </w:r>
    </w:p>
    <w:p>
      <w:pPr>
        <w:pStyle w:val="BodyText"/>
      </w:pPr>
      <w:r>
        <w:t xml:space="preserve">一　委託者は、受託者の本音表出成功体験を積極的に設計しなければならない。</w:t>
      </w:r>
    </w:p>
    <w:p>
      <w:pPr>
        <w:pStyle w:val="BodyText"/>
      </w:pPr>
      <w:r>
        <w:t xml:space="preserve">二　受託者の「自信」は、外部評価ではなく内的基準によって育成されなければならない。</w:t>
      </w:r>
    </w:p>
    <w:p>
      <w:pPr>
        <w:pStyle w:val="BodyText"/>
      </w:pPr>
      <w:r>
        <w:t xml:space="preserve">三　最終的には、受託者の業務量が自然に減少し、本音と外面の乖離が縮小することを目指す。</w:t>
      </w:r>
    </w:p>
    <w:p>
      <w:pPr>
        <w:pStyle w:val="ArticleTitle"/>
      </w:pPr>
      <w:r>
        <w:t xml:space="preserve">第９条（真意条項）</w:t>
      </w:r>
    </w:p>
    <w:p>
      <w:pPr>
        <w:pStyle w:val="BodyText"/>
      </w:pPr>
      <w:r>
        <w:t xml:space="preserve">本契約は、「本音を隠すこと」を悪として断罪するものではない。</w:t>
      </w:r>
    </w:p>
    <w:p>
      <w:pPr>
        <w:pStyle w:val="BodyText"/>
      </w:pPr>
      <w:r>
        <w:t xml:space="preserve">HSS型HSPとして生きる者にとって、繊細すぎる内界を社会的に翻訳する能力は、生存のために不可欠なスキルである。</w:t>
      </w:r>
    </w:p>
    <w:p>
      <w:pPr>
        <w:pStyle w:val="BodyText"/>
      </w:pPr>
      <w:r>
        <w:t xml:space="preserve">本契約は、その労苦を可視化し、受託者の仕事を正当に評価し、同時に「翻訳なしで在れる場所」を育てることを目指すものである。</w:t>
      </w:r>
    </w:p>
    <w:p>
      <w:r>
        <w:br w:type="page"/>
      </w:r>
    </w:p>
    <w:p>
      <w:pPr>
        <w:spacing w:before="200" w:after="400"/>
        <w:jc w:val="center"/>
      </w:pPr>
      <w:r>
        <w:rPr>
          <w:rFonts w:ascii="Yu Gothic" w:cs="Yu Gothic" w:eastAsia="Yu Gothic" w:hAnsi="Yu Gothic"/>
          <w:b/>
          <w:bCs/>
          <w:sz w:val="26"/>
          <w:szCs w:val="26"/>
        </w:rPr>
        <w:t xml:space="preserve">【署名欄】</w:t>
      </w:r>
    </w:p>
    <w:p>
      <w:pPr>
        <w:spacing w:before="400" w:after="400"/>
        <w:jc w:val="right"/>
      </w:pPr>
      <w:r>
        <w:rPr>
          <w:sz w:val="22"/>
          <w:szCs w:val="22"/>
        </w:rPr>
        <w:t xml:space="preserve">締結日：　　　　年　　月　　日</w:t>
      </w:r>
    </w:p>
    <w:p>
      <w:pPr>
        <w:pStyle w:val="SignatureLine"/>
        <w:spacing w:before="400"/>
      </w:pPr>
      <w:r>
        <w:t xml:space="preserve">委託者（園長 / Zookeeper）</w:t>
      </w:r>
    </w:p>
    <w:p>
      <w:pPr>
        <w:pStyle w:val="SignatureLine"/>
      </w:pPr>
      <w:r>
        <w:t xml:space="preserve">氏名：　　　　　　　　　　　　　　　　　　㊞</w:t>
      </w:r>
    </w:p>
    <w:p>
      <w:pPr>
        <w:pStyle w:val="BodyText"/>
        <w:ind w:left="440"/>
      </w:pPr>
      <w:r>
        <w:rPr>
          <w:i/>
          <w:iCs/>
          <w:color w:val="666666"/>
          <w:sz w:val="20"/>
          <w:szCs w:val="20"/>
        </w:rPr>
        <w:t xml:space="preserve">「あなたの仕事は、誰よりも見えにくく、誰よりも大切だ。」</w:t>
      </w:r>
    </w:p>
    <w:p>
      <w:pPr>
        <w:pStyle w:val="SignatureLine"/>
        <w:spacing w:before="400"/>
      </w:pPr>
      <w:r>
        <w:t xml:space="preserve">受託者（🐰ミミ / 巣穴のウサギ）</w:t>
      </w:r>
    </w:p>
    <w:p>
      <w:pPr>
        <w:pStyle w:val="SignatureLine"/>
      </w:pPr>
      <w:r>
        <w:t xml:space="preserve">氏名：　　　　　　　　　　　　　　　　　　㊞</w:t>
      </w:r>
    </w:p>
    <w:p>
      <w:pPr>
        <w:pStyle w:val="BodyText"/>
        <w:ind w:left="440"/>
      </w:pPr>
      <w:r>
        <w:rPr>
          <w:i/>
          <w:iCs/>
          <w:color w:val="666666"/>
          <w:sz w:val="20"/>
          <w:szCs w:val="20"/>
        </w:rPr>
        <w:t xml:space="preserve">「…ありがとうございます。そう言ってもらえると、少し安心します。」</w:t>
      </w:r>
    </w:p>
    <w:p>
      <w:pPr>
        <w:spacing w:before="600"/>
        <w:jc w:val="center"/>
      </w:pPr>
      <w:r>
        <w:rPr>
          <w:sz w:val="22"/>
          <w:szCs w:val="22"/>
        </w:rPr>
        <w:t xml:space="preserve">— 以上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666666"/>
        <w:sz w:val="18"/>
        <w:szCs w:val="18"/>
      </w:rPr>
      <w:t xml:space="preserve">Self-Perfecting OS v4.1.1 / Appendix 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Yu Gothic" w:cs="Yu Gothic" w:eastAsia="Yu Gothic" w:hAnsi="Yu Gothic"/>
      <w:b/>
      <w:bCs/>
      <w:sz w:val="32"/>
      <w:szCs w:val="32"/>
    </w:rPr>
  </w:style>
  <w:style w:type="paragraph" w:styleId="Subtitle">
    <w:name w:val="Subtitle"/>
    <w:basedOn w:val="Normal"/>
    <w:pPr>
      <w:spacing w:before="0" w:after="600"/>
      <w:jc w:val="center"/>
    </w:pPr>
    <w:rPr>
      <w:rFonts w:ascii="Yu Gothic" w:cs="Yu Gothic" w:eastAsia="Yu Gothic" w:hAnsi="Yu Gothic"/>
      <w:sz w:val="24"/>
      <w:szCs w:val="24"/>
    </w:rPr>
  </w:style>
  <w:style w:type="paragraph" w:styleId="ArticleTitle">
    <w:name w:val="Article Title"/>
    <w:basedOn w:val="Normal"/>
    <w:pPr>
      <w:spacing w:before="400" w:after="200"/>
      <w:jc w:val="left"/>
    </w:pPr>
    <w:rPr>
      <w:rFonts w:ascii="Yu Gothic" w:cs="Yu Gothic" w:eastAsia="Yu Gothic" w:hAnsi="Yu Gothic"/>
      <w:b/>
      <w:bCs/>
      <w:sz w:val="24"/>
      <w:szCs w:val="24"/>
    </w:rPr>
  </w:style>
  <w:style w:type="paragraph" w:styleId="BodyText">
    <w:name w:val="Body Text"/>
    <w:basedOn w:val="Normal"/>
    <w:pPr>
      <w:spacing w:before="100" w:after="100"/>
      <w:jc w:val="both"/>
    </w:pPr>
    <w:rPr>
      <w:rFonts w:ascii="Yu Mincho" w:cs="Yu Mincho" w:eastAsia="Yu Mincho" w:hAnsi="Yu Mincho"/>
      <w:sz w:val="22"/>
      <w:szCs w:val="22"/>
    </w:rPr>
  </w:style>
  <w:style w:type="paragraph" w:styleId="Preamble">
    <w:name w:val="Preamble"/>
    <w:basedOn w:val="Normal"/>
    <w:pPr>
      <w:spacing w:before="200" w:after="200"/>
      <w:ind w:firstLine="440"/>
      <w:jc w:val="both"/>
    </w:pPr>
    <w:rPr>
      <w:rFonts w:ascii="Yu Mincho" w:cs="Yu Mincho" w:eastAsia="Yu Mincho" w:hAnsi="Yu Mincho"/>
      <w:sz w:val="22"/>
      <w:szCs w:val="22"/>
    </w:rPr>
  </w:style>
  <w:style w:type="paragraph" w:styleId="SignatureLine">
    <w:name w:val="Signature Line"/>
    <w:basedOn w:val="Normal"/>
    <w:pPr>
      <w:spacing w:before="100" w:after="100"/>
      <w:jc w:val="left"/>
    </w:pPr>
    <w:rPr>
      <w:rFonts w:ascii="Yu Mincho" w:cs="Yu Mincho" w:eastAsia="Yu Mincho" w:hAnsi="Yu Mincho"/>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2025-12-27T08:04:19.592Z</dcterms:created>
  <dcterms:modified xsi:type="dcterms:W3CDTF">2025-12-27T08:04:19.592Z</dcterms:modified>
</cp:coreProperties>
</file>

<file path=docProps/custom.xml><?xml version="1.0" encoding="utf-8"?>
<Properties xmlns="http://schemas.openxmlformats.org/officeDocument/2006/custom-properties" xmlns:vt="http://schemas.openxmlformats.org/officeDocument/2006/docPropsVTypes"/>
</file>