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04 - 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Robote Guilliman Primarca de los Ultramarines, Dominicano, mayor de edad, portador de la cédula de identidad y electoral No.:__________________________, domiciliado y residente en __________________________, de esta Ciudad de Santo Domingo, por medio del presente documento DECLARO, haber recibido de él/la Sr(a).:__________________________, portador de la cédula de identidad y electoral No.:__________________________,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Teléfono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Teléfono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Teléfono MARCA RECONOCIDA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Warhammear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24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