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D101" w14:textId="77777777" w:rsidR="00126F20" w:rsidRDefault="00000000">
      <w:pPr>
        <w:spacing w:after="60"/>
        <w:jc w:val="center"/>
      </w:pPr>
      <w:proofErr w:type="spellStart"/>
      <w:r>
        <w:rPr>
          <w:b/>
          <w:bCs/>
          <w:color w:val="5C1010"/>
          <w:sz w:val="40"/>
          <w:szCs w:val="40"/>
        </w:rPr>
        <w:t>WorkCycleAI</w:t>
      </w:r>
      <w:proofErr w:type="spellEnd"/>
      <w:r>
        <w:rPr>
          <w:b/>
          <w:bCs/>
          <w:color w:val="5C1010"/>
          <w:sz w:val="40"/>
          <w:szCs w:val="40"/>
        </w:rPr>
        <w:t xml:space="preserve"> — Presentation Script</w:t>
      </w:r>
    </w:p>
    <w:p w14:paraId="6F0BDAD8" w14:textId="77777777" w:rsidR="00126F20" w:rsidRDefault="00000000">
      <w:pPr>
        <w:spacing w:after="260"/>
        <w:jc w:val="center"/>
      </w:pPr>
      <w:r>
        <w:rPr>
          <w:i/>
          <w:iCs/>
          <w:color w:val="4B5563"/>
          <w:sz w:val="19"/>
          <w:szCs w:val="19"/>
        </w:rPr>
        <w:t>Speaking notes · ~</w:t>
      </w:r>
      <w:proofErr w:type="gramStart"/>
      <w:r>
        <w:rPr>
          <w:i/>
          <w:iCs/>
          <w:color w:val="4B5563"/>
          <w:sz w:val="19"/>
          <w:szCs w:val="19"/>
        </w:rPr>
        <w:t>10 minute</w:t>
      </w:r>
      <w:proofErr w:type="gramEnd"/>
      <w:r>
        <w:rPr>
          <w:i/>
          <w:iCs/>
          <w:color w:val="4B5563"/>
          <w:sz w:val="19"/>
          <w:szCs w:val="19"/>
        </w:rPr>
        <w:t xml:space="preserve"> stakeholder walkthrough · mixed technical / business audience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9"/>
        <w:gridCol w:w="6531"/>
      </w:tblGrid>
      <w:tr w:rsidR="00126F20" w14:paraId="1C8F9BD0" w14:textId="77777777">
        <w:tblPrEx>
          <w:tblCellMar>
            <w:top w:w="0" w:type="dxa"/>
            <w:bottom w:w="0" w:type="dxa"/>
          </w:tblCellMar>
        </w:tblPrEx>
        <w:trPr>
          <w:tblHeader/>
        </w:trPr>
        <w:tc>
          <w:tcPr>
            <w:tcW w:w="3200" w:type="dxa"/>
            <w:shd w:val="clear" w:color="auto" w:fill="7A1515"/>
            <w:tcMar>
              <w:top w:w="90" w:type="dxa"/>
              <w:left w:w="140" w:type="dxa"/>
              <w:bottom w:w="90" w:type="dxa"/>
              <w:right w:w="140" w:type="dxa"/>
            </w:tcMar>
          </w:tcPr>
          <w:p w14:paraId="34D77540" w14:textId="77777777" w:rsidR="00126F20" w:rsidRDefault="00000000">
            <w:r>
              <w:rPr>
                <w:b/>
                <w:bCs/>
                <w:color w:val="FFFFFF"/>
                <w:sz w:val="19"/>
                <w:szCs w:val="19"/>
              </w:rPr>
              <w:t>Time</w:t>
            </w:r>
          </w:p>
        </w:tc>
        <w:tc>
          <w:tcPr>
            <w:tcW w:w="6150" w:type="dxa"/>
            <w:shd w:val="clear" w:color="auto" w:fill="7A1515"/>
            <w:tcMar>
              <w:top w:w="90" w:type="dxa"/>
              <w:left w:w="140" w:type="dxa"/>
              <w:bottom w:w="90" w:type="dxa"/>
              <w:right w:w="140" w:type="dxa"/>
            </w:tcMar>
          </w:tcPr>
          <w:p w14:paraId="48B9D790" w14:textId="77777777" w:rsidR="00126F20" w:rsidRDefault="00000000">
            <w:r>
              <w:rPr>
                <w:b/>
                <w:bCs/>
                <w:color w:val="FFFFFF"/>
                <w:sz w:val="19"/>
                <w:szCs w:val="19"/>
              </w:rPr>
              <w:t>Segment</w:t>
            </w:r>
          </w:p>
        </w:tc>
      </w:tr>
      <w:tr w:rsidR="00126F20" w14:paraId="1C8063DA" w14:textId="77777777">
        <w:tblPrEx>
          <w:tblCellMar>
            <w:top w:w="0" w:type="dxa"/>
            <w:bottom w:w="0" w:type="dxa"/>
          </w:tblCellMar>
        </w:tblPrEx>
        <w:tc>
          <w:tcPr>
            <w:tcW w:w="3200" w:type="dxa"/>
            <w:shd w:val="clear" w:color="auto" w:fill="FFFFFF"/>
            <w:tcMar>
              <w:top w:w="80" w:type="dxa"/>
              <w:left w:w="140" w:type="dxa"/>
              <w:bottom w:w="80" w:type="dxa"/>
              <w:right w:w="140" w:type="dxa"/>
            </w:tcMar>
          </w:tcPr>
          <w:p w14:paraId="4C592EA3" w14:textId="77777777" w:rsidR="00126F20" w:rsidRDefault="00000000">
            <w:r>
              <w:rPr>
                <w:sz w:val="19"/>
                <w:szCs w:val="19"/>
              </w:rPr>
              <w:t>0:00 – 0:45</w:t>
            </w:r>
          </w:p>
        </w:tc>
        <w:tc>
          <w:tcPr>
            <w:tcW w:w="6150" w:type="dxa"/>
            <w:shd w:val="clear" w:color="auto" w:fill="FFFFFF"/>
            <w:tcMar>
              <w:top w:w="80" w:type="dxa"/>
              <w:left w:w="140" w:type="dxa"/>
              <w:bottom w:w="80" w:type="dxa"/>
              <w:right w:w="140" w:type="dxa"/>
            </w:tcMar>
          </w:tcPr>
          <w:p w14:paraId="145F0646" w14:textId="77777777" w:rsidR="00126F20" w:rsidRDefault="00000000">
            <w:r>
              <w:rPr>
                <w:sz w:val="19"/>
                <w:szCs w:val="19"/>
              </w:rPr>
              <w:t>Opening hook</w:t>
            </w:r>
          </w:p>
        </w:tc>
      </w:tr>
      <w:tr w:rsidR="00126F20" w14:paraId="21B90384" w14:textId="77777777">
        <w:tblPrEx>
          <w:tblCellMar>
            <w:top w:w="0" w:type="dxa"/>
            <w:bottom w:w="0" w:type="dxa"/>
          </w:tblCellMar>
        </w:tblPrEx>
        <w:tc>
          <w:tcPr>
            <w:tcW w:w="3200" w:type="dxa"/>
            <w:shd w:val="clear" w:color="auto" w:fill="F3F4F6"/>
            <w:tcMar>
              <w:top w:w="80" w:type="dxa"/>
              <w:left w:w="140" w:type="dxa"/>
              <w:bottom w:w="80" w:type="dxa"/>
              <w:right w:w="140" w:type="dxa"/>
            </w:tcMar>
          </w:tcPr>
          <w:p w14:paraId="0483736C" w14:textId="77777777" w:rsidR="00126F20" w:rsidRDefault="00000000">
            <w:r>
              <w:rPr>
                <w:sz w:val="19"/>
                <w:szCs w:val="19"/>
              </w:rPr>
              <w:t>0:45 – 2:30</w:t>
            </w:r>
          </w:p>
        </w:tc>
        <w:tc>
          <w:tcPr>
            <w:tcW w:w="6150" w:type="dxa"/>
            <w:shd w:val="clear" w:color="auto" w:fill="F3F4F6"/>
            <w:tcMar>
              <w:top w:w="80" w:type="dxa"/>
              <w:left w:w="140" w:type="dxa"/>
              <w:bottom w:w="80" w:type="dxa"/>
              <w:right w:w="140" w:type="dxa"/>
            </w:tcMar>
          </w:tcPr>
          <w:p w14:paraId="41EFA5D0" w14:textId="77777777" w:rsidR="00126F20" w:rsidRDefault="00000000">
            <w:r>
              <w:rPr>
                <w:sz w:val="19"/>
                <w:szCs w:val="19"/>
              </w:rPr>
              <w:t>Problem statement + data</w:t>
            </w:r>
          </w:p>
        </w:tc>
      </w:tr>
      <w:tr w:rsidR="00126F20" w14:paraId="2B5A5719" w14:textId="77777777">
        <w:tblPrEx>
          <w:tblCellMar>
            <w:top w:w="0" w:type="dxa"/>
            <w:bottom w:w="0" w:type="dxa"/>
          </w:tblCellMar>
        </w:tblPrEx>
        <w:tc>
          <w:tcPr>
            <w:tcW w:w="3200" w:type="dxa"/>
            <w:shd w:val="clear" w:color="auto" w:fill="FFFFFF"/>
            <w:tcMar>
              <w:top w:w="80" w:type="dxa"/>
              <w:left w:w="140" w:type="dxa"/>
              <w:bottom w:w="80" w:type="dxa"/>
              <w:right w:w="140" w:type="dxa"/>
            </w:tcMar>
          </w:tcPr>
          <w:p w14:paraId="51C8A875" w14:textId="77777777" w:rsidR="00126F20" w:rsidRDefault="00000000">
            <w:r>
              <w:rPr>
                <w:sz w:val="19"/>
                <w:szCs w:val="19"/>
              </w:rPr>
              <w:t>2:30 – 3:15</w:t>
            </w:r>
          </w:p>
        </w:tc>
        <w:tc>
          <w:tcPr>
            <w:tcW w:w="6150" w:type="dxa"/>
            <w:shd w:val="clear" w:color="auto" w:fill="FFFFFF"/>
            <w:tcMar>
              <w:top w:w="80" w:type="dxa"/>
              <w:left w:w="140" w:type="dxa"/>
              <w:bottom w:w="80" w:type="dxa"/>
              <w:right w:w="140" w:type="dxa"/>
            </w:tcMar>
          </w:tcPr>
          <w:p w14:paraId="19F3719D" w14:textId="77777777" w:rsidR="00126F20" w:rsidRDefault="00000000">
            <w:r>
              <w:rPr>
                <w:sz w:val="19"/>
                <w:szCs w:val="19"/>
              </w:rPr>
              <w:t>Proposed solution</w:t>
            </w:r>
          </w:p>
        </w:tc>
      </w:tr>
      <w:tr w:rsidR="00126F20" w14:paraId="79C92355" w14:textId="77777777">
        <w:tblPrEx>
          <w:tblCellMar>
            <w:top w:w="0" w:type="dxa"/>
            <w:bottom w:w="0" w:type="dxa"/>
          </w:tblCellMar>
        </w:tblPrEx>
        <w:tc>
          <w:tcPr>
            <w:tcW w:w="3200" w:type="dxa"/>
            <w:shd w:val="clear" w:color="auto" w:fill="F3F4F6"/>
            <w:tcMar>
              <w:top w:w="80" w:type="dxa"/>
              <w:left w:w="140" w:type="dxa"/>
              <w:bottom w:w="80" w:type="dxa"/>
              <w:right w:w="140" w:type="dxa"/>
            </w:tcMar>
          </w:tcPr>
          <w:p w14:paraId="43CC235D" w14:textId="77777777" w:rsidR="00126F20" w:rsidRDefault="00000000">
            <w:r>
              <w:rPr>
                <w:sz w:val="19"/>
                <w:szCs w:val="19"/>
              </w:rPr>
              <w:t>3:15 – 5:00</w:t>
            </w:r>
          </w:p>
        </w:tc>
        <w:tc>
          <w:tcPr>
            <w:tcW w:w="6150" w:type="dxa"/>
            <w:shd w:val="clear" w:color="auto" w:fill="F3F4F6"/>
            <w:tcMar>
              <w:top w:w="80" w:type="dxa"/>
              <w:left w:w="140" w:type="dxa"/>
              <w:bottom w:w="80" w:type="dxa"/>
              <w:right w:w="140" w:type="dxa"/>
            </w:tcMar>
          </w:tcPr>
          <w:p w14:paraId="097572FE" w14:textId="77777777" w:rsidR="00126F20" w:rsidRDefault="00000000">
            <w:r>
              <w:rPr>
                <w:sz w:val="19"/>
                <w:szCs w:val="19"/>
              </w:rPr>
              <w:t>Architecture walkthrough</w:t>
            </w:r>
          </w:p>
        </w:tc>
      </w:tr>
      <w:tr w:rsidR="00126F20" w14:paraId="4DAC7409" w14:textId="77777777">
        <w:tblPrEx>
          <w:tblCellMar>
            <w:top w:w="0" w:type="dxa"/>
            <w:bottom w:w="0" w:type="dxa"/>
          </w:tblCellMar>
        </w:tblPrEx>
        <w:tc>
          <w:tcPr>
            <w:tcW w:w="3200" w:type="dxa"/>
            <w:shd w:val="clear" w:color="auto" w:fill="FFFFFF"/>
            <w:tcMar>
              <w:top w:w="80" w:type="dxa"/>
              <w:left w:w="140" w:type="dxa"/>
              <w:bottom w:w="80" w:type="dxa"/>
              <w:right w:w="140" w:type="dxa"/>
            </w:tcMar>
          </w:tcPr>
          <w:p w14:paraId="345D6266" w14:textId="77777777" w:rsidR="00126F20" w:rsidRDefault="00000000">
            <w:r>
              <w:rPr>
                <w:sz w:val="19"/>
                <w:szCs w:val="19"/>
              </w:rPr>
              <w:t>5:00 – 8:30</w:t>
            </w:r>
          </w:p>
        </w:tc>
        <w:tc>
          <w:tcPr>
            <w:tcW w:w="6150" w:type="dxa"/>
            <w:shd w:val="clear" w:color="auto" w:fill="FFFFFF"/>
            <w:tcMar>
              <w:top w:w="80" w:type="dxa"/>
              <w:left w:w="140" w:type="dxa"/>
              <w:bottom w:w="80" w:type="dxa"/>
              <w:right w:w="140" w:type="dxa"/>
            </w:tcMar>
          </w:tcPr>
          <w:p w14:paraId="7D94B9E5" w14:textId="77777777" w:rsidR="00126F20" w:rsidRDefault="00000000">
            <w:r>
              <w:rPr>
                <w:sz w:val="19"/>
                <w:szCs w:val="19"/>
              </w:rPr>
              <w:t>Technical implementation</w:t>
            </w:r>
          </w:p>
        </w:tc>
      </w:tr>
      <w:tr w:rsidR="00126F20" w14:paraId="594DD5D3" w14:textId="77777777">
        <w:tblPrEx>
          <w:tblCellMar>
            <w:top w:w="0" w:type="dxa"/>
            <w:bottom w:w="0" w:type="dxa"/>
          </w:tblCellMar>
        </w:tblPrEx>
        <w:tc>
          <w:tcPr>
            <w:tcW w:w="3200" w:type="dxa"/>
            <w:shd w:val="clear" w:color="auto" w:fill="F3F4F6"/>
            <w:tcMar>
              <w:top w:w="80" w:type="dxa"/>
              <w:left w:w="140" w:type="dxa"/>
              <w:bottom w:w="80" w:type="dxa"/>
              <w:right w:w="140" w:type="dxa"/>
            </w:tcMar>
          </w:tcPr>
          <w:p w14:paraId="6BEC6232" w14:textId="77777777" w:rsidR="00126F20" w:rsidRDefault="00000000">
            <w:r>
              <w:rPr>
                <w:sz w:val="19"/>
                <w:szCs w:val="19"/>
              </w:rPr>
              <w:t>8:30 – 10:00</w:t>
            </w:r>
          </w:p>
        </w:tc>
        <w:tc>
          <w:tcPr>
            <w:tcW w:w="6150" w:type="dxa"/>
            <w:shd w:val="clear" w:color="auto" w:fill="F3F4F6"/>
            <w:tcMar>
              <w:top w:w="80" w:type="dxa"/>
              <w:left w:w="140" w:type="dxa"/>
              <w:bottom w:w="80" w:type="dxa"/>
              <w:right w:w="140" w:type="dxa"/>
            </w:tcMar>
          </w:tcPr>
          <w:p w14:paraId="66800BB4" w14:textId="77777777" w:rsidR="00126F20" w:rsidRDefault="00000000">
            <w:r>
              <w:rPr>
                <w:sz w:val="19"/>
                <w:szCs w:val="19"/>
              </w:rPr>
              <w:t>Scalability, roadmap, close</w:t>
            </w:r>
          </w:p>
        </w:tc>
      </w:tr>
    </w:tbl>
    <w:p w14:paraId="1A10ECE7" w14:textId="77777777" w:rsidR="00126F20" w:rsidRDefault="00000000">
      <w:pPr>
        <w:pBdr>
          <w:bottom w:val="single" w:sz="8" w:space="3" w:color="7A1515"/>
        </w:pBdr>
        <w:spacing w:before="220" w:after="60"/>
      </w:pPr>
      <w:r>
        <w:rPr>
          <w:b/>
          <w:bCs/>
          <w:color w:val="B7862B"/>
          <w:sz w:val="18"/>
          <w:szCs w:val="18"/>
        </w:rPr>
        <w:t xml:space="preserve">0:00   </w:t>
      </w:r>
      <w:r>
        <w:rPr>
          <w:b/>
          <w:bCs/>
          <w:color w:val="5C1010"/>
          <w:sz w:val="22"/>
          <w:szCs w:val="22"/>
        </w:rPr>
        <w:t>Opening</w:t>
      </w:r>
    </w:p>
    <w:p w14:paraId="165D06F4" w14:textId="77777777" w:rsidR="00126F20" w:rsidRDefault="00000000">
      <w:pPr>
        <w:spacing w:after="110" w:line="268" w:lineRule="auto"/>
        <w:jc w:val="both"/>
      </w:pPr>
      <w:r>
        <w:t>Good [morning/afternoon], everyone. Thank you for the time. I want to open with the question this project is actually trying to answer, not the feature list first.</w:t>
      </w:r>
    </w:p>
    <w:p w14:paraId="09E0787D" w14:textId="77777777" w:rsidR="00126F20" w:rsidRDefault="00000000">
      <w:pPr>
        <w:spacing w:after="110" w:line="268" w:lineRule="auto"/>
        <w:jc w:val="both"/>
      </w:pPr>
      <w:r>
        <w:t xml:space="preserve">Every team in this room now has access to AI. Licenses aren't the differentiator anymore. </w:t>
      </w:r>
      <w:proofErr w:type="gramStart"/>
      <w:r>
        <w:t>So</w:t>
      </w:r>
      <w:proofErr w:type="gramEnd"/>
      <w:r>
        <w:t xml:space="preserve"> the real question for us as a team, and for the org, is: what actually separates a team that delivers well at scale from one that doesn't, once everyone has the same tools?</w:t>
      </w:r>
    </w:p>
    <w:p w14:paraId="037B0F95" w14:textId="77777777" w:rsidR="00126F20" w:rsidRDefault="00000000">
      <w:pPr>
        <w:spacing w:after="130"/>
      </w:pPr>
      <w:r>
        <w:rPr>
          <w:i/>
          <w:iCs/>
          <w:color w:val="4B5563"/>
          <w:sz w:val="17"/>
          <w:szCs w:val="17"/>
        </w:rPr>
        <w:t>[Pause here — let the question land before moving to the data.]</w:t>
      </w:r>
    </w:p>
    <w:p w14:paraId="23117523" w14:textId="77777777" w:rsidR="00126F20" w:rsidRDefault="00000000">
      <w:pPr>
        <w:pBdr>
          <w:bottom w:val="single" w:sz="8" w:space="3" w:color="7A1515"/>
        </w:pBdr>
        <w:spacing w:before="220" w:after="60"/>
      </w:pPr>
      <w:r>
        <w:rPr>
          <w:b/>
          <w:bCs/>
          <w:color w:val="B7862B"/>
          <w:sz w:val="18"/>
          <w:szCs w:val="18"/>
        </w:rPr>
        <w:t xml:space="preserve">0:45   </w:t>
      </w:r>
      <w:r>
        <w:rPr>
          <w:b/>
          <w:bCs/>
          <w:color w:val="5C1010"/>
          <w:sz w:val="22"/>
          <w:szCs w:val="22"/>
        </w:rPr>
        <w:t>The Problem</w:t>
      </w:r>
    </w:p>
    <w:p w14:paraId="6FC7876B" w14:textId="77777777" w:rsidR="00126F20" w:rsidRDefault="00000000">
      <w:pPr>
        <w:spacing w:after="110" w:line="268" w:lineRule="auto"/>
        <w:jc w:val="both"/>
      </w:pPr>
      <w:r>
        <w:t>The honest answer is skill depth. A good prompt only produces a good result when the person behind it already understands the domain well enough to judge what comes back. Without that, we get plausible-looking output that fails quietly, and we find out mid-delivery, not before it.</w:t>
      </w:r>
    </w:p>
    <w:p w14:paraId="54A30D8E" w14:textId="77777777" w:rsidR="00126F20" w:rsidRDefault="00000000">
      <w:pPr>
        <w:spacing w:after="110" w:line="268" w:lineRule="auto"/>
        <w:jc w:val="both"/>
      </w:pPr>
      <w:r>
        <w:t xml:space="preserve">This isn't just our team's observation — it's an industry-wide pattern, and the numbers are sharp. Almost every company now uses AI somewhere in the business, but only about one percent </w:t>
      </w:r>
      <w:proofErr w:type="gramStart"/>
      <w:r>
        <w:t>consider</w:t>
      </w:r>
      <w:proofErr w:type="gramEnd"/>
      <w:r>
        <w:t xml:space="preserve"> themselves actually AI-mature, according to McKinsey. Deloitte's latest enterprise AI report puts insufficient worker skill — not budget, not leadership buy-in — as the top barrier to real AI integration. BCG found that companies with formal AI training adopt roughly two-point-three times faster and see about sixty-seven percent higher ROI. And on the people side: LinkedIn's Workplace Learning research found ninety-four percent of employees would stay at a company longer if it simply invested in their learning.</w:t>
      </w:r>
    </w:p>
    <w:p w14:paraId="0E4BD9D4" w14:textId="77777777" w:rsidR="00126F20" w:rsidRDefault="00000000">
      <w:pPr>
        <w:spacing w:after="110" w:line="268" w:lineRule="auto"/>
        <w:jc w:val="both"/>
      </w:pPr>
      <w:r>
        <w:t>Inside CIA Technology specifically, this shows up as three very concrete problems: skill data lives in scattered spreadsheets, learning plans get built from scratch and instinct for every new project, and managers have no reliable answer to where we're strong and where we're not. That's what drives saturated delivery and skill gaps that surface too late.</w:t>
      </w:r>
    </w:p>
    <w:p w14:paraId="0EF05A4F" w14:textId="77777777" w:rsidR="00126F20" w:rsidRDefault="00000000">
      <w:pPr>
        <w:pBdr>
          <w:bottom w:val="single" w:sz="8" w:space="3" w:color="7A1515"/>
        </w:pBdr>
        <w:spacing w:before="220" w:after="60"/>
      </w:pPr>
      <w:r>
        <w:rPr>
          <w:b/>
          <w:bCs/>
          <w:color w:val="B7862B"/>
          <w:sz w:val="18"/>
          <w:szCs w:val="18"/>
        </w:rPr>
        <w:t xml:space="preserve">2:30   </w:t>
      </w:r>
      <w:r>
        <w:rPr>
          <w:b/>
          <w:bCs/>
          <w:color w:val="5C1010"/>
          <w:sz w:val="22"/>
          <w:szCs w:val="22"/>
        </w:rPr>
        <w:t>The Solution</w:t>
      </w:r>
    </w:p>
    <w:p w14:paraId="35C53655" w14:textId="77777777" w:rsidR="00126F20" w:rsidRDefault="00000000">
      <w:pPr>
        <w:spacing w:after="110" w:line="268" w:lineRule="auto"/>
        <w:jc w:val="both"/>
      </w:pPr>
      <w:proofErr w:type="gramStart"/>
      <w:r>
        <w:t>So</w:t>
      </w:r>
      <w:proofErr w:type="gramEnd"/>
      <w:r>
        <w:t xml:space="preserve"> here's what we built. </w:t>
      </w:r>
      <w:proofErr w:type="spellStart"/>
      <w:r>
        <w:t>WorkCycleAI</w:t>
      </w:r>
      <w:proofErr w:type="spellEnd"/>
      <w:r>
        <w:t xml:space="preserve"> is a single platform that reads project documentation, extracts the technologies it actually requires, compares that against each employee's real skill matrix, and turns the gap into a personalized, trackable learning plan — automatically, and continuously, instead of a spreadsheet exercise we redo every time.</w:t>
      </w:r>
    </w:p>
    <w:p w14:paraId="69C2261B" w14:textId="77777777" w:rsidR="00126F20" w:rsidRDefault="00000000">
      <w:pPr>
        <w:pBdr>
          <w:bottom w:val="single" w:sz="8" w:space="3" w:color="7A1515"/>
        </w:pBdr>
        <w:spacing w:before="220" w:after="60"/>
      </w:pPr>
      <w:r>
        <w:rPr>
          <w:b/>
          <w:bCs/>
          <w:color w:val="B7862B"/>
          <w:sz w:val="18"/>
          <w:szCs w:val="18"/>
        </w:rPr>
        <w:t xml:space="preserve">3:15   </w:t>
      </w:r>
      <w:r>
        <w:rPr>
          <w:b/>
          <w:bCs/>
          <w:color w:val="5C1010"/>
          <w:sz w:val="22"/>
          <w:szCs w:val="22"/>
        </w:rPr>
        <w:t>Architecture</w:t>
      </w:r>
    </w:p>
    <w:p w14:paraId="583CC1BC" w14:textId="77777777" w:rsidR="00126F20" w:rsidRDefault="00000000">
      <w:pPr>
        <w:spacing w:after="130"/>
      </w:pPr>
      <w:r>
        <w:rPr>
          <w:i/>
          <w:iCs/>
          <w:color w:val="4B5563"/>
          <w:sz w:val="17"/>
          <w:szCs w:val="17"/>
        </w:rPr>
        <w:t>[Show Figure 1 / the architecture diagram here.]</w:t>
      </w:r>
    </w:p>
    <w:p w14:paraId="2DE120AA" w14:textId="77777777" w:rsidR="00126F20" w:rsidRDefault="00000000">
      <w:pPr>
        <w:spacing w:after="110" w:line="268" w:lineRule="auto"/>
        <w:jc w:val="both"/>
      </w:pPr>
      <w:r>
        <w:t xml:space="preserve">At a high level: a React and TypeScript frontend, a </w:t>
      </w:r>
      <w:proofErr w:type="spellStart"/>
      <w:r>
        <w:t>FastAPI</w:t>
      </w:r>
      <w:proofErr w:type="spellEnd"/>
      <w:r>
        <w:t xml:space="preserve"> backend, and SQL Server for storage. The piece worth pausing on is the local automation bridge — a Kerberos-authenticated Windows layer that lets us securely reach internal systems </w:t>
      </w:r>
      <w:r>
        <w:lastRenderedPageBreak/>
        <w:t>that can't be called directly from a browser or the cloud. That bridge talks to two things: Tachyon Studio, our enterprise LLM, for skill extraction; and an entitlement automation target, which I'll come back to in a moment.</w:t>
      </w:r>
    </w:p>
    <w:p w14:paraId="30AEEBA8" w14:textId="77777777" w:rsidR="00126F20" w:rsidRDefault="00000000">
      <w:pPr>
        <w:pBdr>
          <w:bottom w:val="single" w:sz="8" w:space="3" w:color="7A1515"/>
        </w:pBdr>
        <w:spacing w:before="220" w:after="60"/>
      </w:pPr>
      <w:r>
        <w:rPr>
          <w:b/>
          <w:bCs/>
          <w:color w:val="B7862B"/>
          <w:sz w:val="18"/>
          <w:szCs w:val="18"/>
        </w:rPr>
        <w:t xml:space="preserve">5:00   </w:t>
      </w:r>
      <w:r>
        <w:rPr>
          <w:b/>
          <w:bCs/>
          <w:color w:val="5C1010"/>
          <w:sz w:val="22"/>
          <w:szCs w:val="22"/>
        </w:rPr>
        <w:t>Technical Implementation</w:t>
      </w:r>
    </w:p>
    <w:p w14:paraId="419353F6" w14:textId="77777777" w:rsidR="00126F20" w:rsidRDefault="00000000">
      <w:pPr>
        <w:spacing w:after="110" w:line="268" w:lineRule="auto"/>
        <w:jc w:val="both"/>
      </w:pPr>
      <w:r>
        <w:t>A few things I want to highlight, briefly:</w:t>
      </w:r>
    </w:p>
    <w:p w14:paraId="4C08EC98" w14:textId="77777777" w:rsidR="00126F20" w:rsidRDefault="00000000">
      <w:pPr>
        <w:pStyle w:val="ListParagraph"/>
        <w:numPr>
          <w:ilvl w:val="0"/>
          <w:numId w:val="2"/>
        </w:numPr>
        <w:spacing w:after="55" w:line="260" w:lineRule="auto"/>
      </w:pPr>
      <w:r>
        <w:t>The AI extraction pipeline takes Confluence pages, PDFs, Word docs, even images, and turns them into structured technology-to-proficiency mappings using our enterprise LLM.</w:t>
      </w:r>
    </w:p>
    <w:p w14:paraId="0D695019" w14:textId="77777777" w:rsidR="00126F20" w:rsidRDefault="00000000">
      <w:pPr>
        <w:pStyle w:val="ListParagraph"/>
        <w:numPr>
          <w:ilvl w:val="0"/>
          <w:numId w:val="2"/>
        </w:numPr>
        <w:spacing w:after="55" w:line="260" w:lineRule="auto"/>
      </w:pPr>
      <w:r>
        <w:t>The skill recommendation engine — which is live today — compares that against each employee's actual proficiency and produces a personalized plan, not a generic one.</w:t>
      </w:r>
    </w:p>
    <w:p w14:paraId="1C32907F" w14:textId="77777777" w:rsidR="00126F20" w:rsidRDefault="00000000">
      <w:pPr>
        <w:pStyle w:val="ListParagraph"/>
        <w:numPr>
          <w:ilvl w:val="0"/>
          <w:numId w:val="2"/>
        </w:numPr>
        <w:spacing w:after="55" w:line="260" w:lineRule="auto"/>
      </w:pPr>
      <w:r>
        <w:t xml:space="preserve">On the entitlement side, I personally rewired the Playwright automation layer to target Magellan, the system replacing legacy </w:t>
      </w:r>
      <w:proofErr w:type="spellStart"/>
      <w:r>
        <w:t>GroupGrabber</w:t>
      </w:r>
      <w:proofErr w:type="spellEnd"/>
      <w:r>
        <w:t xml:space="preserve">. I didn't just do a one-off swap — I built it as a configurable, target-agnostic bridge, so it can switch back to </w:t>
      </w:r>
      <w:proofErr w:type="spellStart"/>
      <w:r>
        <w:t>GroupGrabber</w:t>
      </w:r>
      <w:proofErr w:type="spellEnd"/>
      <w:r>
        <w:t xml:space="preserve"> if needed, and that same pattern is what will power the team-member-list-based recommendation feature I'm working on next.</w:t>
      </w:r>
    </w:p>
    <w:p w14:paraId="5ADE2191" w14:textId="77777777" w:rsidR="00126F20" w:rsidRDefault="00000000">
      <w:pPr>
        <w:pBdr>
          <w:bottom w:val="single" w:sz="8" w:space="3" w:color="7A1515"/>
        </w:pBdr>
        <w:spacing w:before="220" w:after="60"/>
      </w:pPr>
      <w:r>
        <w:rPr>
          <w:b/>
          <w:bCs/>
          <w:color w:val="B7862B"/>
          <w:sz w:val="18"/>
          <w:szCs w:val="18"/>
        </w:rPr>
        <w:t xml:space="preserve">8:30   </w:t>
      </w:r>
      <w:r>
        <w:rPr>
          <w:b/>
          <w:bCs/>
          <w:color w:val="5C1010"/>
          <w:sz w:val="22"/>
          <w:szCs w:val="22"/>
        </w:rPr>
        <w:t>Scalability, Roadmap &amp; Close</w:t>
      </w:r>
    </w:p>
    <w:p w14:paraId="16BA91D1" w14:textId="77777777" w:rsidR="00126F20" w:rsidRDefault="00000000">
      <w:pPr>
        <w:spacing w:after="110" w:line="268" w:lineRule="auto"/>
        <w:jc w:val="both"/>
      </w:pPr>
      <w:r>
        <w:t xml:space="preserve">I want to be direct about why </w:t>
      </w:r>
      <w:proofErr w:type="gramStart"/>
      <w:r>
        <w:t>this matters</w:t>
      </w:r>
      <w:proofErr w:type="gramEnd"/>
      <w:r>
        <w:t xml:space="preserve"> beyond our team: nothing here is hard-coded to one document type, one system, or one team. The taxonomy is data-driven, the extraction pipeline is format-agnostic, and the automation bridge is target-agnostic — proven by the Magellan migration. This is a foundation other teams can extend, not a one-off tool.</w:t>
      </w:r>
    </w:p>
    <w:p w14:paraId="0E78C61C" w14:textId="77777777" w:rsidR="00126F20" w:rsidRDefault="00000000">
      <w:pPr>
        <w:spacing w:after="110" w:line="268" w:lineRule="auto"/>
        <w:jc w:val="both"/>
      </w:pPr>
      <w:r>
        <w:t>Next up: team-member-list-driven recommendations at the team level, a closed feedback loop so completed training updates the skill matrix automatically, and eventually predictive staffing based on real-time skill coverage.</w:t>
      </w:r>
    </w:p>
    <w:p w14:paraId="4A54E914" w14:textId="77777777" w:rsidR="00126F20" w:rsidRDefault="00000000">
      <w:pPr>
        <w:spacing w:after="110" w:line="268" w:lineRule="auto"/>
        <w:jc w:val="both"/>
      </w:pPr>
      <w:r>
        <w:t xml:space="preserve">To close: AI tooling is becoming table stakes. The differentiator is the domain and skill depth underneath it. That's the gap </w:t>
      </w:r>
      <w:proofErr w:type="spellStart"/>
      <w:r>
        <w:t>WorkCycleAI</w:t>
      </w:r>
      <w:proofErr w:type="spellEnd"/>
      <w:r>
        <w:t xml:space="preserve"> is built to close for us — and it's already proving out a reusable pattern along the way. Happy to take questions.</w:t>
      </w:r>
    </w:p>
    <w:sectPr w:rsidR="00126F20">
      <w:headerReference w:type="default" r:id="rId7"/>
      <w:footerReference w:type="default" r:id="rId8"/>
      <w:pgSz w:w="12240" w:h="15840"/>
      <w:pgMar w:top="1000" w:right="1150" w:bottom="10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C220" w14:textId="77777777" w:rsidR="00955A7D" w:rsidRDefault="00955A7D">
      <w:r>
        <w:separator/>
      </w:r>
    </w:p>
  </w:endnote>
  <w:endnote w:type="continuationSeparator" w:id="0">
    <w:p w14:paraId="3959E097" w14:textId="77777777" w:rsidR="00955A7D" w:rsidRDefault="00955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6959" w14:textId="77777777" w:rsidR="00126F20" w:rsidRDefault="00000000">
    <w:pPr>
      <w:jc w:val="center"/>
    </w:pPr>
    <w:r>
      <w:rPr>
        <w:color w:val="4B5563"/>
        <w:sz w:val="14"/>
        <w:szCs w:val="14"/>
      </w:rPr>
      <w:t xml:space="preserve">Page </w:t>
    </w:r>
    <w:r>
      <w:rPr>
        <w:color w:val="4B5563"/>
        <w:sz w:val="14"/>
        <w:szCs w:val="14"/>
      </w:rPr>
      <w:fldChar w:fldCharType="begin"/>
    </w:r>
    <w:r>
      <w:rPr>
        <w:color w:val="4B5563"/>
        <w:sz w:val="14"/>
        <w:szCs w:val="14"/>
      </w:rPr>
      <w:instrText>PAGE</w:instrText>
    </w:r>
    <w:r>
      <w:rPr>
        <w:color w:val="4B5563"/>
        <w:sz w:val="14"/>
        <w:szCs w:val="14"/>
      </w:rPr>
      <w:fldChar w:fldCharType="separate"/>
    </w:r>
    <w:r w:rsidR="00F8071E">
      <w:rPr>
        <w:noProof/>
        <w:color w:val="4B5563"/>
        <w:sz w:val="14"/>
        <w:szCs w:val="14"/>
      </w:rPr>
      <w:t>1</w:t>
    </w:r>
    <w:r>
      <w:rPr>
        <w:color w:val="4B556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BF1E" w14:textId="77777777" w:rsidR="00955A7D" w:rsidRDefault="00955A7D">
      <w:r>
        <w:separator/>
      </w:r>
    </w:p>
  </w:footnote>
  <w:footnote w:type="continuationSeparator" w:id="0">
    <w:p w14:paraId="29059B18" w14:textId="77777777" w:rsidR="00955A7D" w:rsidRDefault="00955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5E96" w14:textId="77777777" w:rsidR="00126F20" w:rsidRDefault="00000000">
    <w:pPr>
      <w:jc w:val="right"/>
    </w:pPr>
    <w:proofErr w:type="spellStart"/>
    <w:r>
      <w:rPr>
        <w:color w:val="4B5563"/>
        <w:sz w:val="14"/>
        <w:szCs w:val="14"/>
      </w:rPr>
      <w:t>WorkCycleAI</w:t>
    </w:r>
    <w:proofErr w:type="spellEnd"/>
    <w:r>
      <w:rPr>
        <w:color w:val="4B5563"/>
        <w:sz w:val="14"/>
        <w:szCs w:val="14"/>
      </w:rPr>
      <w:t xml:space="preserve"> —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A2189"/>
    <w:multiLevelType w:val="hybridMultilevel"/>
    <w:tmpl w:val="80E8C4DA"/>
    <w:lvl w:ilvl="0" w:tplc="56545476">
      <w:start w:val="1"/>
      <w:numFmt w:val="bullet"/>
      <w:lvlText w:val="•"/>
      <w:lvlJc w:val="left"/>
      <w:pPr>
        <w:ind w:left="400" w:hanging="220"/>
      </w:pPr>
    </w:lvl>
    <w:lvl w:ilvl="1" w:tplc="870406FC">
      <w:numFmt w:val="decimal"/>
      <w:lvlText w:val=""/>
      <w:lvlJc w:val="left"/>
    </w:lvl>
    <w:lvl w:ilvl="2" w:tplc="65D05DC4">
      <w:numFmt w:val="decimal"/>
      <w:lvlText w:val=""/>
      <w:lvlJc w:val="left"/>
    </w:lvl>
    <w:lvl w:ilvl="3" w:tplc="C24EDCBC">
      <w:numFmt w:val="decimal"/>
      <w:lvlText w:val=""/>
      <w:lvlJc w:val="left"/>
    </w:lvl>
    <w:lvl w:ilvl="4" w:tplc="9766C46A">
      <w:numFmt w:val="decimal"/>
      <w:lvlText w:val=""/>
      <w:lvlJc w:val="left"/>
    </w:lvl>
    <w:lvl w:ilvl="5" w:tplc="A4AA8694">
      <w:numFmt w:val="decimal"/>
      <w:lvlText w:val=""/>
      <w:lvlJc w:val="left"/>
    </w:lvl>
    <w:lvl w:ilvl="6" w:tplc="3B9419CA">
      <w:numFmt w:val="decimal"/>
      <w:lvlText w:val=""/>
      <w:lvlJc w:val="left"/>
    </w:lvl>
    <w:lvl w:ilvl="7" w:tplc="CE1CBC2A">
      <w:numFmt w:val="decimal"/>
      <w:lvlText w:val=""/>
      <w:lvlJc w:val="left"/>
    </w:lvl>
    <w:lvl w:ilvl="8" w:tplc="07440E52">
      <w:numFmt w:val="decimal"/>
      <w:lvlText w:val=""/>
      <w:lvlJc w:val="left"/>
    </w:lvl>
  </w:abstractNum>
  <w:abstractNum w:abstractNumId="1" w15:restartNumberingAfterBreak="0">
    <w:nsid w:val="5EC45121"/>
    <w:multiLevelType w:val="hybridMultilevel"/>
    <w:tmpl w:val="2DE65F8C"/>
    <w:lvl w:ilvl="0" w:tplc="E594FE1C">
      <w:start w:val="1"/>
      <w:numFmt w:val="bullet"/>
      <w:lvlText w:val="●"/>
      <w:lvlJc w:val="left"/>
      <w:pPr>
        <w:ind w:left="720" w:hanging="360"/>
      </w:pPr>
    </w:lvl>
    <w:lvl w:ilvl="1" w:tplc="13DAEA72">
      <w:start w:val="1"/>
      <w:numFmt w:val="bullet"/>
      <w:lvlText w:val="○"/>
      <w:lvlJc w:val="left"/>
      <w:pPr>
        <w:ind w:left="1440" w:hanging="360"/>
      </w:pPr>
    </w:lvl>
    <w:lvl w:ilvl="2" w:tplc="96B0453C">
      <w:start w:val="1"/>
      <w:numFmt w:val="bullet"/>
      <w:lvlText w:val="■"/>
      <w:lvlJc w:val="left"/>
      <w:pPr>
        <w:ind w:left="2160" w:hanging="360"/>
      </w:pPr>
    </w:lvl>
    <w:lvl w:ilvl="3" w:tplc="6828346A">
      <w:start w:val="1"/>
      <w:numFmt w:val="bullet"/>
      <w:lvlText w:val="●"/>
      <w:lvlJc w:val="left"/>
      <w:pPr>
        <w:ind w:left="2880" w:hanging="360"/>
      </w:pPr>
    </w:lvl>
    <w:lvl w:ilvl="4" w:tplc="4E66F518">
      <w:start w:val="1"/>
      <w:numFmt w:val="bullet"/>
      <w:lvlText w:val="○"/>
      <w:lvlJc w:val="left"/>
      <w:pPr>
        <w:ind w:left="3600" w:hanging="360"/>
      </w:pPr>
    </w:lvl>
    <w:lvl w:ilvl="5" w:tplc="356CC980">
      <w:start w:val="1"/>
      <w:numFmt w:val="bullet"/>
      <w:lvlText w:val="■"/>
      <w:lvlJc w:val="left"/>
      <w:pPr>
        <w:ind w:left="4320" w:hanging="360"/>
      </w:pPr>
    </w:lvl>
    <w:lvl w:ilvl="6" w:tplc="ACFA6D5E">
      <w:start w:val="1"/>
      <w:numFmt w:val="bullet"/>
      <w:lvlText w:val="●"/>
      <w:lvlJc w:val="left"/>
      <w:pPr>
        <w:ind w:left="5040" w:hanging="360"/>
      </w:pPr>
    </w:lvl>
    <w:lvl w:ilvl="7" w:tplc="426C7808">
      <w:start w:val="1"/>
      <w:numFmt w:val="bullet"/>
      <w:lvlText w:val="●"/>
      <w:lvlJc w:val="left"/>
      <w:pPr>
        <w:ind w:left="5760" w:hanging="360"/>
      </w:pPr>
    </w:lvl>
    <w:lvl w:ilvl="8" w:tplc="37A4EC00">
      <w:start w:val="1"/>
      <w:numFmt w:val="bullet"/>
      <w:lvlText w:val="●"/>
      <w:lvlJc w:val="left"/>
      <w:pPr>
        <w:ind w:left="6480" w:hanging="360"/>
      </w:pPr>
    </w:lvl>
  </w:abstractNum>
  <w:num w:numId="1" w16cid:durableId="792484798">
    <w:abstractNumId w:val="1"/>
    <w:lvlOverride w:ilvl="0">
      <w:startOverride w:val="1"/>
    </w:lvlOverride>
  </w:num>
  <w:num w:numId="2" w16cid:durableId="598215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F20"/>
    <w:rsid w:val="00126F20"/>
    <w:rsid w:val="00636879"/>
    <w:rsid w:val="00955A7D"/>
    <w:rsid w:val="00F80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DC0F"/>
  <w15:docId w15:val="{D349E26D-49F5-4770-ACAD-A38513D9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Kaartik Arora</cp:lastModifiedBy>
  <cp:revision>2</cp:revision>
  <dcterms:created xsi:type="dcterms:W3CDTF">2026-07-10T03:39:00Z</dcterms:created>
  <dcterms:modified xsi:type="dcterms:W3CDTF">2026-07-10T03:39:00Z</dcterms:modified>
</cp:coreProperties>
</file>